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325755</wp:posOffset>
            </wp:positionH>
            <wp:positionV relativeFrom="page">
              <wp:posOffset>165100</wp:posOffset>
            </wp:positionV>
            <wp:extent cx="6897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page">
              <wp:posOffset>325755</wp:posOffset>
            </wp:positionH>
            <wp:positionV relativeFrom="page">
              <wp:posOffset>207010</wp:posOffset>
            </wp:positionV>
            <wp:extent cx="689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7370" cy="8255"/>
                    </a:xfrm>
                    <a:prstGeom prst="rect">
                      <a:avLst/>
                    </a:prstGeom>
                    <a:noFill/>
                  </pic:spPr>
                </pic:pic>
              </a:graphicData>
            </a:graphic>
          </wp:anchor>
        </w:drawing>
        <w:t>UNITED STATES</w:t>
      </w:r>
    </w:p>
    <w:p>
      <w:pPr>
        <w:spacing w:after="0" w:line="33"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2721610</wp:posOffset>
            </wp:positionH>
            <wp:positionV relativeFrom="paragraph">
              <wp:posOffset>220980</wp:posOffset>
            </wp:positionV>
            <wp:extent cx="1454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2721610</wp:posOffset>
            </wp:positionH>
            <wp:positionV relativeFrom="paragraph">
              <wp:posOffset>244475</wp:posOffset>
            </wp:positionV>
            <wp:extent cx="1454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4"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3"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2721610</wp:posOffset>
            </wp:positionH>
            <wp:positionV relativeFrom="paragraph">
              <wp:posOffset>247015</wp:posOffset>
            </wp:positionV>
            <wp:extent cx="1454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49"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2721610</wp:posOffset>
            </wp:positionH>
            <wp:positionV relativeFrom="paragraph">
              <wp:posOffset>222250</wp:posOffset>
            </wp:positionV>
            <wp:extent cx="145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ectPr>
          <w:pgSz w:w="11900" w:h="16838" w:orient="portrait"/>
          <w:cols w:equalWidth="0" w:num="1">
            <w:col w:w="10867"/>
          </w:cols>
          <w:pgMar w:left="513" w:top="372"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487"/>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17" w:lineRule="exact"/>
        <w:rPr>
          <w:sz w:val="24"/>
          <w:szCs w:val="24"/>
          <w:color w:val="auto"/>
        </w:rPr>
      </w:pPr>
    </w:p>
    <w:p>
      <w:pPr>
        <w:sectPr>
          <w:pgSz w:w="11900" w:h="16838" w:orient="portrait"/>
          <w:cols w:equalWidth="0" w:num="3">
            <w:col w:w="4447" w:space="720"/>
            <w:col w:w="2820" w:space="720"/>
            <w:col w:w="2160"/>
          </w:cols>
          <w:pgMar w:left="513" w:top="372" w:right="519" w:bottom="1440" w:gutter="0" w:footer="0" w:header="0"/>
          <w:type w:val="continuous"/>
        </w:sectPr>
      </w:pPr>
    </w:p>
    <w:p>
      <w:pPr>
        <w:jc w:val="center"/>
        <w:ind w:right="713"/>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13"/>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8" w:lineRule="exact"/>
        <w:rPr>
          <w:sz w:val="24"/>
          <w:szCs w:val="24"/>
          <w:color w:val="auto"/>
        </w:rPr>
      </w:pPr>
    </w:p>
    <w:p>
      <w:pPr>
        <w:sectPr>
          <w:pgSz w:w="11900" w:h="16838" w:orient="portrait"/>
          <w:cols w:equalWidth="0" w:num="3">
            <w:col w:w="4407" w:space="720"/>
            <w:col w:w="2720" w:space="720"/>
            <w:col w:w="2300"/>
          </w:cols>
          <w:pgMar w:left="513" w:top="372" w:right="519" w:bottom="1440" w:gutter="0" w:footer="0" w:header="0"/>
          <w:type w:val="continuous"/>
        </w:sectPr>
      </w:pPr>
    </w:p>
    <w:p>
      <w:pPr>
        <w:ind w:left="4227"/>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26" w:lineRule="exact"/>
        <w:rPr>
          <w:sz w:val="24"/>
          <w:szCs w:val="24"/>
          <w:color w:val="auto"/>
        </w:rPr>
      </w:pPr>
    </w:p>
    <w:p>
      <w:pPr>
        <w:ind w:left="4227"/>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5"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0"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5"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p>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2721610</wp:posOffset>
            </wp:positionH>
            <wp:positionV relativeFrom="paragraph">
              <wp:posOffset>214630</wp:posOffset>
            </wp:positionV>
            <wp:extent cx="145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ectPr>
          <w:pgSz w:w="11900" w:h="16838" w:orient="portrait"/>
          <w:cols w:equalWidth="0" w:num="1">
            <w:col w:w="10867"/>
          </w:cols>
          <w:pgMar w:left="513" w:top="372" w:right="519" w:bottom="1440" w:gutter="0" w:footer="0" w:header="0"/>
          <w:type w:val="continuous"/>
        </w:sectPr>
      </w:pPr>
    </w:p>
    <w:p>
      <w:pPr>
        <w:spacing w:after="0" w:line="200" w:lineRule="exact"/>
        <w:rPr>
          <w:sz w:val="24"/>
          <w:szCs w:val="24"/>
          <w:color w:val="auto"/>
        </w:rPr>
      </w:pPr>
    </w:p>
    <w:p>
      <w:pPr>
        <w:spacing w:after="0" w:line="346" w:lineRule="exact"/>
        <w:rPr>
          <w:sz w:val="24"/>
          <w:szCs w:val="24"/>
          <w:color w:val="auto"/>
        </w:rPr>
      </w:pPr>
    </w:p>
    <w:p>
      <w:pPr>
        <w:ind w:left="7" w:right="40" w:firstLine="434"/>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0" w:lineRule="exact"/>
        <w:rPr>
          <w:sz w:val="24"/>
          <w:szCs w:val="24"/>
          <w:color w:val="auto"/>
        </w:rPr>
      </w:pPr>
    </w:p>
    <w:p>
      <w:pPr>
        <w:ind w:left="427" w:hanging="427"/>
        <w:spacing w:after="0"/>
        <w:tabs>
          <w:tab w:leader="none" w:pos="4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5" w:lineRule="exact"/>
        <w:rPr>
          <w:rFonts w:ascii="MS PGothic" w:cs="MS PGothic" w:eastAsia="MS PGothic" w:hAnsi="MS PGothic"/>
          <w:sz w:val="18"/>
          <w:szCs w:val="18"/>
          <w:color w:val="auto"/>
        </w:rPr>
      </w:pPr>
    </w:p>
    <w:p>
      <w:pPr>
        <w:ind w:left="427" w:hanging="427"/>
        <w:spacing w:after="0"/>
        <w:tabs>
          <w:tab w:leader="none" w:pos="4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5" w:lineRule="exact"/>
        <w:rPr>
          <w:rFonts w:ascii="MS PGothic" w:cs="MS PGothic" w:eastAsia="MS PGothic" w:hAnsi="MS PGothic"/>
          <w:sz w:val="18"/>
          <w:szCs w:val="18"/>
          <w:color w:val="auto"/>
        </w:rPr>
      </w:pPr>
    </w:p>
    <w:p>
      <w:pPr>
        <w:ind w:left="427" w:hanging="427"/>
        <w:spacing w:after="0"/>
        <w:tabs>
          <w:tab w:leader="none" w:pos="4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5" w:lineRule="exact"/>
        <w:rPr>
          <w:rFonts w:ascii="MS PGothic" w:cs="MS PGothic" w:eastAsia="MS PGothic" w:hAnsi="MS PGothic"/>
          <w:sz w:val="18"/>
          <w:szCs w:val="18"/>
          <w:color w:val="auto"/>
        </w:rPr>
      </w:pPr>
    </w:p>
    <w:p>
      <w:pPr>
        <w:ind w:left="427" w:hanging="427"/>
        <w:spacing w:after="0"/>
        <w:tabs>
          <w:tab w:leader="none" w:pos="4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7" w:type="dxa"/>
        <w:tblCellMar>
          <w:top w:w="0" w:type="dxa"/>
          <w:left w:w="0" w:type="dxa"/>
          <w:bottom w:w="0" w:type="dxa"/>
          <w:right w:w="0" w:type="dxa"/>
        </w:tblCellMar>
      </w:tblPr>
      <w:tr>
        <w:trPr>
          <w:trHeight w:val="161"/>
        </w:trPr>
        <w:tc>
          <w:tcPr>
            <w:tcW w:w="3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Exchange</w:t>
            </w:r>
          </w:p>
        </w:tc>
        <w:tc>
          <w:tcPr>
            <w:tcW w:w="0" w:type="dxa"/>
            <w:vAlign w:val="bottom"/>
          </w:tcPr>
          <w:p>
            <w:pPr>
              <w:spacing w:after="0"/>
              <w:rPr>
                <w:sz w:val="1"/>
                <w:szCs w:val="1"/>
                <w:color w:val="auto"/>
              </w:rPr>
            </w:pPr>
          </w:p>
        </w:tc>
      </w:tr>
      <w:tr>
        <w:trPr>
          <w:trHeight w:val="184"/>
        </w:trPr>
        <w:tc>
          <w:tcPr>
            <w:tcW w:w="3800" w:type="dxa"/>
            <w:vAlign w:val="bottom"/>
            <w:gridSpan w:val="2"/>
            <w:vMerge w:val="continue"/>
          </w:tcPr>
          <w:p>
            <w:pPr>
              <w:spacing w:after="0"/>
              <w:rPr>
                <w:sz w:val="16"/>
                <w:szCs w:val="16"/>
                <w:color w:val="auto"/>
              </w:rPr>
            </w:pP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5"/>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$0.01 par value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SHC</w:t>
            </w:r>
          </w:p>
        </w:tc>
        <w:tc>
          <w:tcPr>
            <w:tcW w:w="10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both"/>
        <w:ind w:left="7" w:right="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4" w:lineRule="exact"/>
        <w:rPr>
          <w:sz w:val="24"/>
          <w:szCs w:val="24"/>
          <w:color w:val="auto"/>
        </w:rPr>
      </w:pPr>
    </w:p>
    <w:p>
      <w:pPr>
        <w:ind w:left="8727"/>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left="7" w:right="300"/>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689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897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7370" cy="8255"/>
                    </a:xfrm>
                    <a:prstGeom prst="rect">
                      <a:avLst/>
                    </a:prstGeom>
                    <a:noFill/>
                  </pic:spPr>
                </pic:pic>
              </a:graphicData>
            </a:graphic>
          </wp:anchor>
        </w:drawing>
      </w:r>
    </w:p>
    <w:p>
      <w:pPr>
        <w:sectPr>
          <w:pgSz w:w="11900" w:h="16838" w:orient="portrait"/>
          <w:cols w:equalWidth="0" w:num="1">
            <w:col w:w="10867"/>
          </w:cols>
          <w:pgMar w:left="513" w:top="372" w:right="519" w:bottom="1440" w:gutter="0" w:footer="0" w:header="0"/>
          <w:type w:val="continuous"/>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6, 2025, Sotera Health Company, certain stockholders named in Schedule 2 thereto (the “Selling Stockholders”) and Goldman Sachs &amp; Co. LLC, as underwriter (the “Underwriter”), entered into an underwriting agreement (the “Underwriting Agreement”) relating to the sale of 30,000,000 shares (the “Shares”) of the Company’s common stock, par value $0.01 per share (“Common Stock”) by the Selling Stockholders, at a price of $15.651 per share, subject to and upon the terms and conditions set forth therein. On November 10, 2025, the Selling Stockholders sold the Shares to the Underwriter pursuant to the Underwriting Agreement. The Company did not issue or sell any shares of Common Stock in that transaction and will not receive any proceeds from the sale of the Shares by the Selling Stockholders.</w:t>
      </w:r>
    </w:p>
    <w:p>
      <w:pPr>
        <w:spacing w:after="0" w:line="18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filed herewith as Exhibit 1.1 and is incorporated herein by reference. The opinion of Cleary Gottlieb Steen &amp; Hamilton LLP, relating to the validity of the Shares, is filed as Exhibit 5.1 hereto.</w:t>
      </w:r>
    </w:p>
    <w:p>
      <w:pPr>
        <w:sectPr>
          <w:pgSz w:w="11900" w:h="16838" w:orient="portrait"/>
          <w:cols w:equalWidth="0" w:num="1">
            <w:col w:w="10760"/>
          </w:cols>
          <w:pgMar w:left="520" w:top="292" w:right="6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1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2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Underwriting Agreement, dated November 6, 2025, among the Company, Goldman Sachs &amp; Co. LLC, as underwriter, and the selling</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9840" w:type="dxa"/>
            <w:vAlign w:val="bottom"/>
            <w:gridSpan w:val="5"/>
          </w:tcPr>
          <w:p>
            <w:pPr>
              <w:spacing w:after="0" w:line="193" w:lineRule="exact"/>
              <w:rPr>
                <w:sz w:val="20"/>
                <w:szCs w:val="20"/>
                <w:color w:val="auto"/>
              </w:rPr>
            </w:pPr>
            <w:r>
              <w:rPr>
                <w:rFonts w:ascii="Times New Roman" w:cs="Times New Roman" w:eastAsia="Times New Roman" w:hAnsi="Times New Roman"/>
                <w:sz w:val="18"/>
                <w:szCs w:val="18"/>
                <w:color w:val="0000EE"/>
              </w:rPr>
              <w:t>stockholders named in Schedule 2 thereto.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Opinion of Cleary Gottlieb Steen &amp; Hamilton LLP.</w:t>
            </w:r>
          </w:p>
        </w:tc>
        <w:tc>
          <w:tcPr>
            <w:tcW w:w="6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Cleary Gottlieb Steen &amp; Hamilton LLP (included as part of Exhibit 5.1).</w:t>
            </w: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60"/>
          </w:cols>
          <w:pgMar w:left="520" w:top="292" w:right="5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552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55245"/>
                    </a:xfrm>
                    <a:prstGeom prst="rect">
                      <a:avLst/>
                    </a:prstGeom>
                    <a:noFill/>
                  </pic:spPr>
                </pic:pic>
              </a:graphicData>
            </a:graphic>
          </wp:anchor>
        </w:drawing>
        <w:t>SIGNATURES</w:t>
      </w:r>
    </w:p>
    <w:p>
      <w:pPr>
        <w:spacing w:after="0" w:line="221" w:lineRule="exact"/>
        <w:rPr>
          <w:sz w:val="20"/>
          <w:szCs w:val="20"/>
          <w:color w:val="auto"/>
        </w:rPr>
      </w:pPr>
    </w:p>
    <w:p>
      <w:pPr>
        <w:ind w:firstLine="43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   (Registrant)</w:t>
      </w:r>
    </w:p>
    <w:p>
      <w:pPr>
        <w:spacing w:after="0" w:line="200" w:lineRule="exact"/>
        <w:rPr>
          <w:sz w:val="20"/>
          <w:szCs w:val="20"/>
          <w:color w:val="auto"/>
        </w:rPr>
      </w:pPr>
    </w:p>
    <w:p>
      <w:pPr>
        <w:spacing w:after="0"/>
        <w:tabs>
          <w:tab w:leader="none" w:pos="5520" w:val="left"/>
          <w:tab w:leader="none" w:pos="594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15240</wp:posOffset>
            </wp:positionV>
            <wp:extent cx="31019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01975" cy="825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560"/>
          </w:cols>
          <w:pgMar w:left="520" w:top="292" w:right="8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SOTERA HEALTH COMPANY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 Shares of Common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1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color w:val="auto"/>
        </w:rPr>
        <w:t>November 6,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2"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Certain stockholders named in Schedule 2 hereto (the “Selling Stockholders”) of Sotera Health Company, a Delaware corporation (the “Company”), propose to sell to the several underwriters listed in Schedule 1 hereto (the “Underwriters”), an aggregate of 30,000,000 shares (the “Underwritten Shares”) of common stock, par value $0.01 per share (“Common Stock”), of the Company. The Underwritten Shares are herein referred to as the “Shares.” The shares of Common Stock of the Company to be outstanding after giving effect to the sale of the Shares are referred to herein as the “Stock.” In the event only one underwriter is listed in Schedule 1 hereto, any references in this Agreement to the “Underwriters” shall be deemed to refer to the sole underwriter in the singular form listed in such Schedule 1.</w:t>
      </w:r>
    </w:p>
    <w:p>
      <w:pPr>
        <w:spacing w:after="0" w:line="187" w:lineRule="exact"/>
        <w:rPr>
          <w:sz w:val="20"/>
          <w:szCs w:val="20"/>
          <w:color w:val="auto"/>
        </w:rPr>
      </w:pPr>
    </w:p>
    <w:p>
      <w:pPr>
        <w:ind w:right="60" w:firstLine="434"/>
        <w:spacing w:after="0" w:line="276" w:lineRule="auto"/>
        <w:rPr>
          <w:sz w:val="20"/>
          <w:szCs w:val="20"/>
          <w:color w:val="auto"/>
        </w:rPr>
      </w:pPr>
      <w:r>
        <w:rPr>
          <w:rFonts w:ascii="Times New Roman" w:cs="Times New Roman" w:eastAsia="Times New Roman" w:hAnsi="Times New Roman"/>
          <w:sz w:val="18"/>
          <w:szCs w:val="18"/>
          <w:color w:val="auto"/>
        </w:rPr>
        <w:t>The Company and the Selling Stockholders hereby confirm their agreement with the Underwriters concerning the purchase and sale of the Shares, as follows:</w:t>
      </w:r>
    </w:p>
    <w:p>
      <w:pPr>
        <w:spacing w:after="0" w:line="56" w:lineRule="exact"/>
        <w:rPr>
          <w:sz w:val="20"/>
          <w:szCs w:val="20"/>
          <w:color w:val="auto"/>
        </w:rPr>
      </w:pPr>
    </w:p>
    <w:p>
      <w:pPr>
        <w:ind w:right="80" w:firstLine="427"/>
        <w:spacing w:after="0" w:line="249" w:lineRule="auto"/>
        <w:tabs>
          <w:tab w:leader="none" w:pos="61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333-277418),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including any preliminary prospectus supplement,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w:t>
      </w:r>
    </w:p>
    <w:p>
      <w:pPr>
        <w:sectPr>
          <w:pgSz w:w="11900" w:h="16838" w:orient="portrait"/>
          <w:cols w:equalWidth="0" w:num="1">
            <w:col w:w="10860"/>
          </w:cols>
          <w:pgMar w:left="520" w:top="119" w:right="51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185" w:lineRule="exact"/>
        <w:rPr>
          <w:sz w:val="20"/>
          <w:szCs w:val="20"/>
          <w:color w:val="auto"/>
        </w:rPr>
      </w:pPr>
    </w:p>
    <w:p>
      <w:pPr>
        <w:jc w:val="both"/>
        <w:ind w:right="600" w:firstLine="434"/>
        <w:spacing w:after="0" w:line="261"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A, the “Pricing Disclosure Package”): a Preliminary Prospectus dated November 6, 2025 and each “free-writing prospectus” (as defined pursuant to Rule 405 under the Securities Act) listed on Annex A hereto.</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“Applicable Time” means 4:40 P.M., New York City time, on November 6, 2025.</w:t>
      </w:r>
    </w:p>
    <w:p>
      <w:pPr>
        <w:spacing w:after="0" w:line="219" w:lineRule="exact"/>
        <w:rPr>
          <w:sz w:val="20"/>
          <w:szCs w:val="20"/>
          <w:color w:val="auto"/>
        </w:rPr>
      </w:pPr>
    </w:p>
    <w:p>
      <w:pPr>
        <w:ind w:left="600" w:hanging="173"/>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80" w:firstLine="427"/>
        <w:spacing w:after="0" w:line="251" w:lineRule="auto"/>
        <w:tabs>
          <w:tab w:leader="none" w:pos="6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agrees, severally and not jointly, to sell the Underwritten Shares to the Underwriters as provided in this Agreement, and each Underwriter, on the basis of the representations, warranties and agreements set forth herein and subject to the conditions set forth herein, agrees, severally and not jointly, to purchase at a price per share of $ 15.651 (the “Purchase Price”) from each of the Selling Stockholders the number of Underwritten Shares (to be adjusted by the Underwriters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w:t>
      </w:r>
    </w:p>
    <w:p>
      <w:pPr>
        <w:spacing w:after="0" w:line="185" w:lineRule="exact"/>
        <w:rPr>
          <w:rFonts w:ascii="Times New Roman" w:cs="Times New Roman" w:eastAsia="Times New Roman" w:hAnsi="Times New Roman"/>
          <w:sz w:val="18"/>
          <w:szCs w:val="18"/>
          <w:color w:val="auto"/>
        </w:rPr>
      </w:pPr>
    </w:p>
    <w:p>
      <w:pPr>
        <w:jc w:val="both"/>
        <w:ind w:right="120" w:firstLine="427"/>
        <w:spacing w:after="0" w:line="261" w:lineRule="auto"/>
        <w:tabs>
          <w:tab w:leader="none" w:pos="6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w:t>
      </w:r>
    </w:p>
    <w:p>
      <w:pPr>
        <w:spacing w:after="0" w:line="176" w:lineRule="exact"/>
        <w:rPr>
          <w:rFonts w:ascii="Times New Roman" w:cs="Times New Roman" w:eastAsia="Times New Roman" w:hAnsi="Times New Roman"/>
          <w:sz w:val="18"/>
          <w:szCs w:val="18"/>
          <w:color w:val="auto"/>
        </w:rPr>
      </w:pPr>
    </w:p>
    <w:p>
      <w:pPr>
        <w:ind w:left="660" w:hanging="2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each of the Selling</w:t>
      </w:r>
    </w:p>
    <w:p>
      <w:pPr>
        <w:spacing w:after="0" w:line="25" w:lineRule="exact"/>
        <w:rPr>
          <w:rFonts w:ascii="Times New Roman" w:cs="Times New Roman" w:eastAsia="Times New Roman" w:hAnsi="Times New Roman"/>
          <w:sz w:val="18"/>
          <w:szCs w:val="18"/>
          <w:color w:val="auto"/>
        </w:rPr>
      </w:pPr>
    </w:p>
    <w:p>
      <w:pPr>
        <w:jc w:val="both"/>
        <w:ind w:right="10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Stockholders to the Underwriters in the case of the Underwritten Shares, via teleconference at 10:00 A.M. New York City time on November 10, 2025, or at such other time or place on the same or such other date, not later than the fifth business day thereafter, as the Underwriters and each of the Selling Stockholders may agree upon in writing. The time and date of such payment for the Underwritten Shares is referred to herein as the “Closing Date.”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520" w:top="268" w:right="559" w:bottom="1440" w:gutter="0" w:footer="0" w:header="0"/>
        </w:sectPr>
      </w:pPr>
    </w:p>
    <w:bookmarkStart w:id="6" w:name="page7"/>
    <w:bookmarkEnd w:id="6"/>
    <w:p>
      <w:pPr>
        <w:jc w:val="both"/>
        <w:ind w:right="120" w:firstLine="43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Payment for the Shares to be purchased on the Closing Date shall be made against delivery to the Underwriters of the Shares to be purchased on such date with any transfer taxes payable in connection with the sale of such Shares duly paid by the Selling Stockholders. Delivery of the Shares shall be made through the facilities of The Depository Trust Company (“DTC”) unless the Underwriters shall otherwise instruct.</w:t>
      </w:r>
    </w:p>
    <w:p>
      <w:pPr>
        <w:spacing w:after="0" w:line="177" w:lineRule="exact"/>
        <w:rPr>
          <w:sz w:val="20"/>
          <w:szCs w:val="20"/>
          <w:color w:val="auto"/>
        </w:rPr>
      </w:pPr>
    </w:p>
    <w:p>
      <w:pPr>
        <w:ind w:firstLine="427"/>
        <w:spacing w:after="0" w:line="249" w:lineRule="auto"/>
        <w:tabs>
          <w:tab w:leader="none" w:pos="6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Selling Stockholder acknowledges and agrees that the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no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no Underwriter shall have any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Underwriters may be required or choose to provide certain Selling Stockholders with certain Regulation Best Interest and Form CRS disclosures in connection with the offering, the Underwriters are not making a recommendation to any Selling Stockholder to participate in the offering, enter into a “lock-up” agreement, or sell any Shares at the price determined in the offering, and nothing set forth in such disclosures is intended to suggest that any Underwriter is making such a recommendation.</w:t>
      </w:r>
    </w:p>
    <w:p>
      <w:pPr>
        <w:spacing w:after="0" w:line="190" w:lineRule="exact"/>
        <w:rPr>
          <w:sz w:val="20"/>
          <w:szCs w:val="20"/>
          <w:color w:val="auto"/>
        </w:rPr>
      </w:pPr>
    </w:p>
    <w:p>
      <w:pPr>
        <w:ind w:left="600" w:hanging="173"/>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represents and warrants to each Underwriter and each Selling Stockholder that:</w:t>
      </w:r>
    </w:p>
    <w:p>
      <w:pPr>
        <w:spacing w:after="0" w:line="121" w:lineRule="exact"/>
        <w:rPr>
          <w:rFonts w:ascii="Times New Roman" w:cs="Times New Roman" w:eastAsia="Times New Roman" w:hAnsi="Times New Roman"/>
          <w:sz w:val="17"/>
          <w:szCs w:val="17"/>
          <w:color w:val="auto"/>
        </w:rPr>
      </w:pPr>
    </w:p>
    <w:p>
      <w:pPr>
        <w:ind w:left="420" w:right="140" w:firstLine="424"/>
        <w:spacing w:after="0" w:line="251" w:lineRule="auto"/>
        <w:tabs>
          <w:tab w:leader="none" w:pos="10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any Preliminary Prospectus, it being understood and agreed that the only such information furnished by any Underwriter consists of the information described as such in Section 9(d) hereof.</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520" w:top="268" w:right="559" w:bottom="1440" w:gutter="0" w:footer="0" w:header="0"/>
        </w:sectPr>
      </w:pPr>
    </w:p>
    <w:bookmarkStart w:id="7" w:name="page8"/>
    <w:bookmarkEnd w:id="7"/>
    <w:p>
      <w:pPr>
        <w:ind w:right="100" w:firstLine="424"/>
        <w:spacing w:after="0" w:line="251" w:lineRule="auto"/>
        <w:tabs>
          <w:tab w:leader="none" w:pos="6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Pricing Disclosure Package. </w:t>
      </w:r>
      <w:r>
        <w:rPr>
          <w:rFonts w:ascii="Times New Roman" w:cs="Times New Roman" w:eastAsia="Times New Roman" w:hAnsi="Times New Roman"/>
          <w:sz w:val="18"/>
          <w:szCs w:val="18"/>
          <w:color w:val="auto"/>
        </w:rPr>
        <w:t>The Pricing Disclosure Package as of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expressly for use in such Pricing Disclosure Package, it being understood and agreed that the only such information furnished by any Underwriter consists of the information described as such in Section 9(d)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78" w:lineRule="exact"/>
        <w:rPr>
          <w:rFonts w:ascii="Times New Roman" w:cs="Times New Roman" w:eastAsia="Times New Roman" w:hAnsi="Times New Roman"/>
          <w:sz w:val="18"/>
          <w:szCs w:val="18"/>
          <w:color w:val="auto"/>
        </w:rPr>
      </w:pPr>
    </w:p>
    <w:p>
      <w:pPr>
        <w:ind w:firstLine="424"/>
        <w:spacing w:after="0" w:line="248" w:lineRule="auto"/>
        <w:tabs>
          <w:tab w:leader="none" w:pos="6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Underwriters.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expressly for use in such Issuer Free Writing Prospectus or Preliminary Prospectus, it being understood and agreed that the only such information furnished by any Underwriter consists of the information described as such in Section 9(d) hereof.</w:t>
      </w:r>
    </w:p>
    <w:p>
      <w:pPr>
        <w:spacing w:after="0" w:line="91" w:lineRule="exact"/>
        <w:rPr>
          <w:rFonts w:ascii="Times New Roman" w:cs="Times New Roman" w:eastAsia="Times New Roman" w:hAnsi="Times New Roman"/>
          <w:sz w:val="18"/>
          <w:szCs w:val="18"/>
          <w:color w:val="auto"/>
        </w:rPr>
      </w:pPr>
    </w:p>
    <w:p>
      <w:pPr>
        <w:ind w:left="680" w:hanging="25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20"/>
          </w:cols>
          <w:pgMar w:left="940" w:top="266" w:right="539" w:bottom="1440" w:gutter="0" w:footer="0" w:header="0"/>
        </w:sectPr>
      </w:pPr>
    </w:p>
    <w:bookmarkStart w:id="8" w:name="page9"/>
    <w:bookmarkEnd w:id="8"/>
    <w:p>
      <w:pPr>
        <w:ind w:right="60" w:firstLine="424"/>
        <w:spacing w:after="0" w:line="273" w:lineRule="auto"/>
        <w:tabs>
          <w:tab w:leader="none" w:pos="65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Testing-the-Waters Materials. </w:t>
      </w:r>
      <w:r>
        <w:rPr>
          <w:rFonts w:ascii="Times New Roman" w:cs="Times New Roman" w:eastAsia="Times New Roman" w:hAnsi="Times New Roman"/>
          <w:sz w:val="17"/>
          <w:szCs w:val="17"/>
          <w:color w:val="auto"/>
        </w:rPr>
        <w:t>The Company (i) has not alone engaged in any Testing-the-Waters Communications and (ii) has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authorized anyone to engage in Testing-the-Waters Communications. The Company has not distributed or approved for distribution any Written Testing-the-Waters Communications.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w:t>
      </w:r>
    </w:p>
    <w:p>
      <w:pPr>
        <w:spacing w:after="0" w:line="59" w:lineRule="exact"/>
        <w:rPr>
          <w:rFonts w:ascii="Times New Roman" w:cs="Times New Roman" w:eastAsia="Times New Roman" w:hAnsi="Times New Roman"/>
          <w:sz w:val="17"/>
          <w:szCs w:val="17"/>
          <w:color w:val="auto"/>
        </w:rPr>
      </w:pPr>
    </w:p>
    <w:p>
      <w:pPr>
        <w:ind w:firstLine="424"/>
        <w:spacing w:after="0" w:line="249" w:lineRule="auto"/>
        <w:tabs>
          <w:tab w:leader="none" w:pos="6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the Registration Statement and the Prospectus and any amendment or supplement thereto, it being understood and agreed that the only such information furnished by any Underwriter consists of the information described as such in Section 9(d) hereof.</w:t>
      </w:r>
    </w:p>
    <w:p>
      <w:pPr>
        <w:spacing w:after="0" w:line="78" w:lineRule="exact"/>
        <w:rPr>
          <w:rFonts w:ascii="Times New Roman" w:cs="Times New Roman" w:eastAsia="Times New Roman" w:hAnsi="Times New Roman"/>
          <w:sz w:val="18"/>
          <w:szCs w:val="18"/>
          <w:color w:val="auto"/>
        </w:rPr>
      </w:pPr>
    </w:p>
    <w:p>
      <w:pPr>
        <w:ind w:right="120" w:firstLine="424"/>
        <w:spacing w:after="0" w:line="269" w:lineRule="auto"/>
        <w:tabs>
          <w:tab w:leader="none" w:pos="66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Incorporated Documents. </w:t>
      </w:r>
      <w:r>
        <w:rPr>
          <w:rFonts w:ascii="Times New Roman" w:cs="Times New Roman" w:eastAsia="Times New Roman" w:hAnsi="Times New Roman"/>
          <w:sz w:val="17"/>
          <w:szCs w:val="17"/>
          <w:color w:val="auto"/>
        </w:rPr>
        <w:t>The documents incorporated by reference in the Registration Statement, the Prospectus and the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20"/>
          </w:cols>
          <w:pgMar w:left="940" w:top="266" w:right="539" w:bottom="1440" w:gutter="0" w:footer="0" w:header="0"/>
        </w:sectPr>
      </w:pPr>
    </w:p>
    <w:bookmarkStart w:id="9" w:name="page10"/>
    <w:bookmarkEnd w:id="9"/>
    <w:p>
      <w:pPr>
        <w:ind w:firstLine="424"/>
        <w:spacing w:after="0" w:line="264" w:lineRule="auto"/>
        <w:tabs>
          <w:tab w:leader="none" w:pos="66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Financial Statements. </w:t>
      </w:r>
      <w:r>
        <w:rPr>
          <w:rFonts w:ascii="Times New Roman" w:cs="Times New Roman" w:eastAsia="Times New Roman" w:hAnsi="Times New Roman"/>
          <w:sz w:val="17"/>
          <w:szCs w:val="17"/>
          <w:color w:val="auto"/>
        </w:rPr>
        <w:t>The historical financial statements (including the related notes and supporting schedules) and the other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or incorporated by reference in each of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or incorporated by reference in the Registration Statement, Pricing Disclosure Package and the Prospectus, any pro forma financial information and the related notes thereto included or incorporated by reference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w:t>
      </w:r>
    </w:p>
    <w:p>
      <w:pPr>
        <w:spacing w:after="0" w:line="73" w:lineRule="exact"/>
        <w:rPr>
          <w:rFonts w:ascii="Times New Roman" w:cs="Times New Roman" w:eastAsia="Times New Roman" w:hAnsi="Times New Roman"/>
          <w:sz w:val="17"/>
          <w:szCs w:val="17"/>
          <w:color w:val="auto"/>
        </w:rPr>
      </w:pPr>
    </w:p>
    <w:p>
      <w:pPr>
        <w:ind w:right="140" w:firstLine="424"/>
        <w:spacing w:after="0" w:line="265" w:lineRule="auto"/>
        <w:tabs>
          <w:tab w:leader="none" w:pos="62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Since the date of the most recent financial statements of the Company included or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 the Registration Statement, the Pricing Disclosure Package and the Prospectus, (i) there has not been any change in the capital stock (other than the grant or forfeiture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w:t>
      </w:r>
    </w:p>
    <w:p>
      <w:pPr>
        <w:spacing w:after="0" w:line="1" w:lineRule="exact"/>
        <w:rPr>
          <w:rFonts w:ascii="Times New Roman" w:cs="Times New Roman" w:eastAsia="Times New Roman" w:hAnsi="Times New Roman"/>
          <w:sz w:val="17"/>
          <w:szCs w:val="17"/>
          <w:color w:val="auto"/>
        </w:rPr>
      </w:pPr>
    </w:p>
    <w:p>
      <w:pPr>
        <w:ind w:right="100" w:firstLine="7"/>
        <w:spacing w:after="0" w:line="248"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00"/>
          </w:cols>
          <w:pgMar w:left="940" w:top="266" w:right="559" w:bottom="1440" w:gutter="0" w:footer="0" w:header="0"/>
        </w:sectPr>
      </w:pPr>
    </w:p>
    <w:bookmarkStart w:id="10" w:name="page11"/>
    <w:bookmarkEnd w:id="10"/>
    <w:p>
      <w:pPr>
        <w:ind w:right="60" w:firstLine="424"/>
        <w:spacing w:after="0" w:line="250" w:lineRule="auto"/>
        <w:tabs>
          <w:tab w:leader="none" w:pos="6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Each of the Company and its subsidiaries has been duly organized, is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its properties and to conduct the businesses in which it is engaged, except where the failure to be so qualified or in good standing or have such power or authority could not, in the aggregate,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to the Company’s Annual Report on Form 10-K filed with the Commission on February 27, 2025.</w:t>
      </w:r>
    </w:p>
    <w:p>
      <w:pPr>
        <w:spacing w:after="0" w:line="82" w:lineRule="exact"/>
        <w:rPr>
          <w:rFonts w:ascii="Times New Roman" w:cs="Times New Roman" w:eastAsia="Times New Roman" w:hAnsi="Times New Roman"/>
          <w:sz w:val="18"/>
          <w:szCs w:val="18"/>
          <w:color w:val="auto"/>
        </w:rPr>
      </w:pPr>
    </w:p>
    <w:p>
      <w:pPr>
        <w:ind w:firstLine="424"/>
        <w:spacing w:after="0" w:line="249"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“Description of Common Stock – Authorized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40"/>
          </w:cols>
          <w:pgMar w:left="940" w:top="266" w:right="519" w:bottom="1440" w:gutter="0" w:footer="0" w:header="0"/>
        </w:sectPr>
      </w:pPr>
    </w:p>
    <w:bookmarkStart w:id="11" w:name="page12"/>
    <w:bookmarkEnd w:id="11"/>
    <w:p>
      <w:pPr>
        <w:ind w:firstLine="424"/>
        <w:spacing w:after="0" w:line="249" w:lineRule="auto"/>
        <w:tabs>
          <w:tab w:leader="none" w:pos="6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Stock Options. </w:t>
      </w:r>
      <w:r>
        <w:rPr>
          <w:rFonts w:ascii="Times New Roman" w:cs="Times New Roman" w:eastAsia="Times New Roman" w:hAnsi="Times New Roman"/>
          <w:sz w:val="18"/>
          <w:szCs w:val="18"/>
          <w:color w:val="auto"/>
        </w:rPr>
        <w:t>With respect to the stock options (the “Stock Options”) and other equity awards granted pursuant to the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plans of the Company and its subsidiaries (the “Company Stock Plans”), (i) each Stock Option 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GAAP in the financial statements (including the related notes) of the Company and included in the disclosures in the Company’s filings with the Commission in accordance with the Exchange Act and all other applicable laws to the extent required to be disclosed. 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w:t>
      </w:r>
    </w:p>
    <w:p>
      <w:pPr>
        <w:spacing w:after="0" w:line="81" w:lineRule="exact"/>
        <w:rPr>
          <w:rFonts w:ascii="Times New Roman" w:cs="Times New Roman" w:eastAsia="Times New Roman" w:hAnsi="Times New Roman"/>
          <w:sz w:val="18"/>
          <w:szCs w:val="18"/>
          <w:color w:val="auto"/>
        </w:rPr>
      </w:pPr>
    </w:p>
    <w:p>
      <w:pPr>
        <w:ind w:right="120" w:firstLine="424"/>
        <w:spacing w:after="0" w:line="262" w:lineRule="auto"/>
        <w:tabs>
          <w:tab w:leader="none" w:pos="7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requisite corporate power and authority to execute, deliver and perform its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all corporate action required to be taken for the due and proper authorization, execution and delivery by it of this Agreement and the consummation by it of the transactions contemplated hereby has been duly and validly taken.</w:t>
      </w:r>
    </w:p>
    <w:p>
      <w:pPr>
        <w:spacing w:after="0" w:line="67" w:lineRule="exact"/>
        <w:rPr>
          <w:rFonts w:ascii="Times New Roman" w:cs="Times New Roman" w:eastAsia="Times New Roman" w:hAnsi="Times New Roman"/>
          <w:sz w:val="18"/>
          <w:szCs w:val="18"/>
          <w:color w:val="auto"/>
        </w:rPr>
      </w:pPr>
    </w:p>
    <w:p>
      <w:pPr>
        <w:ind w:left="680" w:hanging="256"/>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2" w:lineRule="exact"/>
        <w:rPr>
          <w:rFonts w:ascii="Times New Roman" w:cs="Times New Roman" w:eastAsia="Times New Roman" w:hAnsi="Times New Roman"/>
          <w:sz w:val="18"/>
          <w:szCs w:val="18"/>
          <w:color w:val="auto"/>
        </w:rPr>
      </w:pPr>
    </w:p>
    <w:p>
      <w:pPr>
        <w:ind w:left="680" w:hanging="256"/>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right="80" w:firstLine="424"/>
        <w:spacing w:after="0" w:line="278"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 of the Underwriting Agreement. </w:t>
      </w:r>
      <w:r>
        <w:rPr>
          <w:rFonts w:ascii="Times New Roman" w:cs="Times New Roman" w:eastAsia="Times New Roman" w:hAnsi="Times New Roman"/>
          <w:sz w:val="18"/>
          <w:szCs w:val="18"/>
          <w:color w:val="auto"/>
        </w:rPr>
        <w:t>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52" w:lineRule="exact"/>
        <w:rPr>
          <w:rFonts w:ascii="Times New Roman" w:cs="Times New Roman" w:eastAsia="Times New Roman" w:hAnsi="Times New Roman"/>
          <w:sz w:val="18"/>
          <w:szCs w:val="18"/>
          <w:color w:val="auto"/>
        </w:rPr>
      </w:pPr>
    </w:p>
    <w:p>
      <w:pPr>
        <w:ind w:left="680" w:hanging="256"/>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w:t>
      </w:r>
    </w:p>
    <w:p>
      <w:pPr>
        <w:spacing w:after="0" w:line="27" w:lineRule="exact"/>
        <w:rPr>
          <w:rFonts w:ascii="Times New Roman" w:cs="Times New Roman" w:eastAsia="Times New Roman" w:hAnsi="Times New Roman"/>
          <w:sz w:val="18"/>
          <w:szCs w:val="18"/>
          <w:color w:val="auto"/>
        </w:rPr>
      </w:pPr>
    </w:p>
    <w:p>
      <w:pPr>
        <w:ind w:right="6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40"/>
          </w:cols>
          <w:pgMar w:left="940" w:top="266" w:right="519" w:bottom="1440" w:gutter="0" w:footer="0" w:header="0"/>
        </w:sectPr>
      </w:pPr>
    </w:p>
    <w:bookmarkStart w:id="12" w:name="page13"/>
    <w:bookmarkEnd w:id="12"/>
    <w:p>
      <w:pPr>
        <w:ind w:firstLine="424"/>
        <w:spacing w:after="0" w:line="250"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No Conflicts. </w:t>
      </w:r>
      <w:r>
        <w:rPr>
          <w:rFonts w:ascii="Times New Roman" w:cs="Times New Roman" w:eastAsia="Times New Roman" w:hAnsi="Times New Roman"/>
          <w:sz w:val="18"/>
          <w:szCs w:val="18"/>
          <w:color w:val="auto"/>
        </w:rPr>
        <w:t>The execution, delivery and performance by the Company of this Agreement and the consummation of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40" w:firstLine="424"/>
        <w:spacing w:after="0" w:line="250"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 order of, or filing, registration or qualification with any U.S. court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agency or body, or to the knowledge of the Company, any non-U.S. court or governmental agency or body, having jurisdiction over the Company, any of the subsidiaries of the Company or any of their respective properties or assets is required for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the Financial Industry Regulatory Authority, Inc.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w:t>
      </w:r>
    </w:p>
    <w:p>
      <w:pPr>
        <w:spacing w:after="0" w:line="82" w:lineRule="exact"/>
        <w:rPr>
          <w:rFonts w:ascii="Times New Roman" w:cs="Times New Roman" w:eastAsia="Times New Roman" w:hAnsi="Times New Roman"/>
          <w:sz w:val="18"/>
          <w:szCs w:val="18"/>
          <w:color w:val="auto"/>
        </w:rPr>
      </w:pPr>
    </w:p>
    <w:p>
      <w:pPr>
        <w:ind w:right="20" w:firstLine="424"/>
        <w:spacing w:after="0" w:line="270" w:lineRule="auto"/>
        <w:tabs>
          <w:tab w:leader="none" w:pos="6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Legal Proceedings. </w:t>
      </w:r>
      <w:r>
        <w:rPr>
          <w:rFonts w:ascii="Times New Roman" w:cs="Times New Roman" w:eastAsia="Times New Roman" w:hAnsi="Times New Roman"/>
          <w:sz w:val="17"/>
          <w:szCs w:val="17"/>
          <w:color w:val="auto"/>
        </w:rPr>
        <w:t>Except as described in each of the Registration Statement, the Pricing Disclosure Package and the Prospectus, there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w:t>
      </w:r>
    </w:p>
    <w:p>
      <w:pPr>
        <w:spacing w:after="0" w:line="1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380"/>
          </w:cols>
          <w:pgMar w:left="940" w:top="266" w:right="579" w:bottom="1440" w:gutter="0" w:footer="0" w:header="0"/>
        </w:sectPr>
      </w:pPr>
    </w:p>
    <w:bookmarkStart w:id="13" w:name="page14"/>
    <w:bookmarkEnd w:id="13"/>
    <w:p>
      <w:pPr>
        <w:ind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such Actions are threatened in writing by any governmental or regulatory authority or by others or, to the knowledge of the Company, contemplated by any governmental or regulatory authority or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67" w:lineRule="exact"/>
        <w:rPr>
          <w:sz w:val="20"/>
          <w:szCs w:val="20"/>
          <w:color w:val="auto"/>
        </w:rPr>
      </w:pPr>
    </w:p>
    <w:p>
      <w:pPr>
        <w:ind w:right="100" w:firstLine="424"/>
        <w:spacing w:after="0" w:line="254" w:lineRule="auto"/>
        <w:tabs>
          <w:tab w:leader="none" w:pos="6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has audited certain financial statements of the Company and its subsidiaries,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is included or incorporated by reference in the Registration Statement, the Pricing Disclosure Package and the Prospectus and who have delivered the initial letter referred to in Section 8(f) hereof, is an independent registered public accounting firm within the meaning of the Securities Act and the applicable rules and regulations adopted by the Commission and Public Company Accounting Oversight Board (United States) and as required by the Securities Act.</w:t>
      </w:r>
    </w:p>
    <w:p>
      <w:pPr>
        <w:spacing w:after="0" w:line="76" w:lineRule="exact"/>
        <w:rPr>
          <w:rFonts w:ascii="Times New Roman" w:cs="Times New Roman" w:eastAsia="Times New Roman" w:hAnsi="Times New Roman"/>
          <w:sz w:val="18"/>
          <w:szCs w:val="18"/>
          <w:color w:val="auto"/>
        </w:rPr>
      </w:pPr>
    </w:p>
    <w:p>
      <w:pPr>
        <w:ind w:right="100" w:firstLine="424"/>
        <w:spacing w:after="0" w:line="278" w:lineRule="auto"/>
        <w:tabs>
          <w:tab w:leader="none" w:pos="6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The Company and its subsidiaries own or lease all such real and personal property necessary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their respective businesses, except as would not reasonably be expected to have a Material Adverse Effect.</w:t>
      </w:r>
    </w:p>
    <w:p>
      <w:pPr>
        <w:spacing w:after="0" w:line="52" w:lineRule="exact"/>
        <w:rPr>
          <w:rFonts w:ascii="Times New Roman" w:cs="Times New Roman" w:eastAsia="Times New Roman" w:hAnsi="Times New Roman"/>
          <w:sz w:val="18"/>
          <w:szCs w:val="18"/>
          <w:color w:val="auto"/>
        </w:rPr>
      </w:pPr>
    </w:p>
    <w:p>
      <w:pPr>
        <w:ind w:firstLine="424"/>
        <w:spacing w:after="0" w:line="269" w:lineRule="auto"/>
        <w:tabs>
          <w:tab w:leader="none" w:pos="7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Intellectual Property. </w:t>
      </w:r>
      <w:r>
        <w:rPr>
          <w:rFonts w:ascii="Times New Roman" w:cs="Times New Roman" w:eastAsia="Times New Roman" w:hAnsi="Times New Roman"/>
          <w:sz w:val="17"/>
          <w:szCs w:val="17"/>
          <w:color w:val="auto"/>
        </w:rPr>
        <w:t>Except as would not, individually or in the aggregate, reasonably be expected to have a Material Adverse Effect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w:t>
      </w:r>
    </w:p>
    <w:p>
      <w:pPr>
        <w:spacing w:after="0" w:line="63" w:lineRule="exact"/>
        <w:rPr>
          <w:rFonts w:ascii="Times New Roman" w:cs="Times New Roman" w:eastAsia="Times New Roman" w:hAnsi="Times New Roman"/>
          <w:sz w:val="17"/>
          <w:szCs w:val="17"/>
          <w:color w:val="auto"/>
        </w:rPr>
      </w:pPr>
    </w:p>
    <w:p>
      <w:pPr>
        <w:ind w:firstLine="424"/>
        <w:spacing w:after="0" w:line="257" w:lineRule="auto"/>
        <w:tabs>
          <w:tab w:leader="none" w:pos="6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20"/>
          </w:cols>
          <w:pgMar w:left="940" w:top="268" w:right="539" w:bottom="1440" w:gutter="0" w:footer="0" w:header="0"/>
        </w:sectPr>
      </w:pPr>
    </w:p>
    <w:bookmarkStart w:id="14" w:name="page15"/>
    <w:bookmarkEnd w:id="14"/>
    <w:p>
      <w:pPr>
        <w:ind w:firstLine="424"/>
        <w:spacing w:after="0" w:line="278"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is not an “investment company” within the meaning of the Investment Company Act of 1940,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the rules and regulations of the Commission thereunder (collectively, the “Investment Company Act”).</w:t>
      </w:r>
    </w:p>
    <w:p>
      <w:pPr>
        <w:spacing w:after="0" w:line="52" w:lineRule="exact"/>
        <w:rPr>
          <w:rFonts w:ascii="Times New Roman" w:cs="Times New Roman" w:eastAsia="Times New Roman" w:hAnsi="Times New Roman"/>
          <w:sz w:val="18"/>
          <w:szCs w:val="18"/>
          <w:color w:val="auto"/>
        </w:rPr>
      </w:pPr>
    </w:p>
    <w:p>
      <w:pPr>
        <w:ind w:right="120" w:firstLine="424"/>
        <w:spacing w:after="0" w:line="253" w:lineRule="auto"/>
        <w:tabs>
          <w:tab w:leader="none" w:pos="6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in each case, as would not have a Material Adverse Effect, (i) the Company and its subsidiaries have filed all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local and foreign tax returns required to be filed by them through the date hereof, subject to permitted extensions, and have paid all taxes required to be paid by them, to the extent that any of 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w:t>
      </w:r>
    </w:p>
    <w:p>
      <w:pPr>
        <w:spacing w:after="0" w:line="75" w:lineRule="exact"/>
        <w:rPr>
          <w:sz w:val="20"/>
          <w:szCs w:val="20"/>
          <w:color w:val="auto"/>
        </w:rPr>
      </w:pPr>
    </w:p>
    <w:p>
      <w:pPr>
        <w:ind w:right="20" w:firstLine="424"/>
        <w:spacing w:after="0" w:line="250" w:lineRule="auto"/>
        <w:tabs>
          <w:tab w:leader="none" w:pos="7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each of its subsidiaries have such permits, licenses, approvals, clearances, exemptions,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w:t>
      </w:r>
    </w:p>
    <w:p>
      <w:pPr>
        <w:spacing w:after="0" w:line="82" w:lineRule="exact"/>
        <w:rPr>
          <w:rFonts w:ascii="Times New Roman" w:cs="Times New Roman" w:eastAsia="Times New Roman" w:hAnsi="Times New Roman"/>
          <w:sz w:val="18"/>
          <w:szCs w:val="18"/>
          <w:color w:val="auto"/>
        </w:rPr>
      </w:pPr>
    </w:p>
    <w:p>
      <w:pPr>
        <w:ind w:right="140" w:firstLine="424"/>
        <w:spacing w:after="0" w:line="257" w:lineRule="auto"/>
        <w:tabs>
          <w:tab w:leader="none" w:pos="7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Except as would not have a Material Adverse Effect, no labor disturbance by or dispute with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right="120" w:firstLine="424"/>
        <w:spacing w:after="0" w:line="253" w:lineRule="auto"/>
        <w:tabs>
          <w:tab w:leader="none" w:pos="7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Except as described in each of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0"/>
          </w:cols>
          <w:pgMar w:left="940" w:top="266" w:right="519" w:bottom="1440" w:gutter="0" w:footer="0" w:header="0"/>
        </w:sectPr>
      </w:pPr>
    </w:p>
    <w:bookmarkStart w:id="15" w:name="page16"/>
    <w:bookmarkEnd w:id="15"/>
    <w:p>
      <w:pPr>
        <w:ind w:right="4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threatened, and (ii) there are no costs or liabilities associated with Environmental Laws of or relating to the Company or its subsidiaries or the conduct of their respective businesses, except in the case of each of (i) and (ii) above, for any such failure to comply, or failure to receive, or cost or liability, as would not, individually or in the aggregate, have a Material Adverse Effect; and (iii)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w:t>
      </w:r>
    </w:p>
    <w:p>
      <w:pPr>
        <w:spacing w:after="0" w:line="70" w:lineRule="exact"/>
        <w:rPr>
          <w:sz w:val="20"/>
          <w:szCs w:val="20"/>
          <w:color w:val="auto"/>
        </w:rPr>
      </w:pPr>
    </w:p>
    <w:p>
      <w:pPr>
        <w:ind w:firstLine="424"/>
        <w:spacing w:after="0" w:line="263" w:lineRule="auto"/>
        <w:tabs>
          <w:tab w:leader="none" w:pos="75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Compliance with ERISA. </w:t>
      </w:r>
      <w:r>
        <w:rPr>
          <w:rFonts w:ascii="Times New Roman" w:cs="Times New Roman" w:eastAsia="Times New Roman" w:hAnsi="Times New Roman"/>
          <w:sz w:val="17"/>
          <w:szCs w:val="17"/>
          <w:color w:val="auto"/>
        </w:rPr>
        <w:t>Except, in each case, as would not have a Material Adverse Effect or as described in each of the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w:t>
      </w:r>
    </w:p>
    <w:p>
      <w:pPr>
        <w:spacing w:after="0" w:line="3" w:lineRule="exact"/>
        <w:rPr>
          <w:rFonts w:ascii="Times New Roman" w:cs="Times New Roman" w:eastAsia="Times New Roman" w:hAnsi="Times New Roman"/>
          <w:sz w:val="17"/>
          <w:szCs w:val="17"/>
          <w:color w:val="auto"/>
        </w:rPr>
      </w:pPr>
    </w:p>
    <w:p>
      <w:pPr>
        <w:ind w:right="200" w:firstLine="7"/>
        <w:spacing w:after="0" w:line="253"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intended to be qualified under Section 401(a) of the Code is so qualified and nothing has occurred, whether by action or by failure to act, which would cause the loss of such qualification; and (v) with respect to (A) each employee</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40"/>
          </w:cols>
          <w:pgMar w:left="940" w:top="268" w:right="519" w:bottom="1440" w:gutter="0" w:footer="0" w:header="0"/>
        </w:sectPr>
      </w:pPr>
    </w:p>
    <w:bookmarkStart w:id="16" w:name="page17"/>
    <w:bookmarkEnd w:id="16"/>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 accounting practices, any employer or employee contributions, and any insurance premium payments (if applicable), required by applicable law or by the terms of such Foreign Plan or Foreign Benefit Arrangement, (y) there has been no failure to register or 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 (z) 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w:t>
      </w:r>
    </w:p>
    <w:p>
      <w:pPr>
        <w:spacing w:after="0" w:line="80" w:lineRule="exact"/>
        <w:rPr>
          <w:sz w:val="20"/>
          <w:szCs w:val="20"/>
          <w:color w:val="auto"/>
        </w:rPr>
      </w:pPr>
    </w:p>
    <w:p>
      <w:pPr>
        <w:ind w:firstLine="424"/>
        <w:spacing w:after="0" w:line="252" w:lineRule="auto"/>
        <w:tabs>
          <w:tab w:leader="none" w:pos="7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 system of “disclosure controls and procedures”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76" w:lineRule="exact"/>
        <w:rPr>
          <w:rFonts w:ascii="Times New Roman" w:cs="Times New Roman" w:eastAsia="Times New Roman" w:hAnsi="Times New Roman"/>
          <w:sz w:val="18"/>
          <w:szCs w:val="18"/>
          <w:color w:val="auto"/>
        </w:rPr>
      </w:pPr>
    </w:p>
    <w:p>
      <w:pPr>
        <w:ind w:right="100" w:firstLine="424"/>
        <w:spacing w:after="0" w:line="251" w:lineRule="auto"/>
        <w:tabs>
          <w:tab w:leader="none" w:pos="6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maintain systems of “internal control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40"/>
          </w:cols>
          <w:pgMar w:left="940" w:top="268" w:right="519" w:bottom="1440" w:gutter="0" w:footer="0" w:header="0"/>
        </w:sectPr>
      </w:pPr>
    </w:p>
    <w:bookmarkStart w:id="17" w:name="page18"/>
    <w:bookmarkEnd w:id="17"/>
    <w:p>
      <w:pPr>
        <w:ind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8" w:lineRule="exact"/>
        <w:rPr>
          <w:sz w:val="20"/>
          <w:szCs w:val="20"/>
          <w:color w:val="auto"/>
        </w:rPr>
      </w:pPr>
    </w:p>
    <w:p>
      <w:pPr>
        <w:ind w:right="100" w:firstLine="424"/>
        <w:spacing w:after="0" w:line="278" w:lineRule="auto"/>
        <w:tabs>
          <w:tab w:leader="none" w:pos="7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taken as a whole, are insured against such losses and risks and in such amounts as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reasonable judgment of the Company, prudent and customary in the businesses in which they are engaged or as required by law.</w:t>
      </w:r>
    </w:p>
    <w:p>
      <w:pPr>
        <w:spacing w:after="0" w:line="52" w:lineRule="exact"/>
        <w:rPr>
          <w:rFonts w:ascii="Times New Roman" w:cs="Times New Roman" w:eastAsia="Times New Roman" w:hAnsi="Times New Roman"/>
          <w:sz w:val="18"/>
          <w:szCs w:val="18"/>
          <w:color w:val="auto"/>
        </w:rPr>
      </w:pPr>
    </w:p>
    <w:p>
      <w:pPr>
        <w:ind w:firstLine="424"/>
        <w:spacing w:after="0" w:line="264" w:lineRule="auto"/>
        <w:tabs>
          <w:tab w:leader="none" w:pos="75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Cybersecurity; Data Protection. </w:t>
      </w:r>
      <w:r>
        <w:rPr>
          <w:rFonts w:ascii="Times New Roman" w:cs="Times New Roman" w:eastAsia="Times New Roman" w:hAnsi="Times New Roman"/>
          <w:sz w:val="17"/>
          <w:szCs w:val="17"/>
          <w:color w:val="auto"/>
        </w:rPr>
        <w:t>Except as would not, individually or in the aggregate, reasonably be expected to have a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collected, stored, processed, transferred, disclosed or used by the Company or its subsidiaries.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40"/>
          </w:cols>
          <w:pgMar w:left="940" w:top="268" w:right="519" w:bottom="1440" w:gutter="0" w:footer="0" w:header="0"/>
        </w:sectPr>
      </w:pPr>
    </w:p>
    <w:bookmarkStart w:id="18" w:name="page19"/>
    <w:bookmarkEnd w:id="18"/>
    <w:p>
      <w:pPr>
        <w:ind w:firstLine="424"/>
        <w:spacing w:after="0" w:line="249" w:lineRule="auto"/>
        <w:tabs>
          <w:tab w:leader="none" w:pos="6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taken any action, directly or knowingly indirectly, that would result in a violation by such person of the Foreign Corrupt Practices Act of 1977, as amended, or the 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w:t>
      </w:r>
    </w:p>
    <w:p>
      <w:pPr>
        <w:spacing w:after="0" w:line="81" w:lineRule="exact"/>
        <w:rPr>
          <w:rFonts w:ascii="Times New Roman" w:cs="Times New Roman" w:eastAsia="Times New Roman" w:hAnsi="Times New Roman"/>
          <w:sz w:val="18"/>
          <w:szCs w:val="18"/>
          <w:color w:val="auto"/>
        </w:rPr>
      </w:pPr>
    </w:p>
    <w:p>
      <w:pPr>
        <w:ind w:right="140" w:firstLine="424"/>
        <w:spacing w:after="0" w:line="253" w:lineRule="auto"/>
        <w:tabs>
          <w:tab w:leader="none" w:pos="6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 and Cannabis Laws</w:t>
      </w:r>
      <w:r>
        <w:rPr>
          <w:rFonts w:ascii="Times New Roman" w:cs="Times New Roman" w:eastAsia="Times New Roman" w:hAnsi="Times New Roman"/>
          <w:sz w:val="18"/>
          <w:szCs w:val="18"/>
          <w:color w:val="auto"/>
        </w:rPr>
        <w:t>. In the past five years, the operations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w:t>
      </w:r>
    </w:p>
    <w:p>
      <w:pPr>
        <w:spacing w:after="0" w:line="77" w:lineRule="exact"/>
        <w:rPr>
          <w:sz w:val="20"/>
          <w:szCs w:val="20"/>
          <w:color w:val="auto"/>
        </w:rPr>
      </w:pPr>
    </w:p>
    <w:p>
      <w:pPr>
        <w:ind w:firstLine="417"/>
        <w:spacing w:after="0" w:line="254" w:lineRule="auto"/>
        <w:rPr>
          <w:sz w:val="20"/>
          <w:szCs w:val="20"/>
          <w:color w:val="auto"/>
        </w:rPr>
      </w:pPr>
      <w:r>
        <w:rPr>
          <w:rFonts w:ascii="Times New Roman" w:cs="Times New Roman" w:eastAsia="Times New Roman" w:hAnsi="Times New Roman"/>
          <w:sz w:val="18"/>
          <w:szCs w:val="18"/>
          <w:color w:val="auto"/>
        </w:rPr>
        <w:t xml:space="preserve">The operations of the Company and its subsidiaries are and have been conducted for each of the last three years (i) in compliance with the Controlled Substances Act (21 U.S.C. § 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20"/>
          </w:cols>
          <w:pgMar w:left="940" w:top="266" w:right="539" w:bottom="1440" w:gutter="0" w:footer="0" w:header="0"/>
        </w:sectPr>
      </w:pPr>
    </w:p>
    <w:bookmarkStart w:id="19" w:name="page20"/>
    <w:bookmarkEnd w:id="19"/>
    <w:p>
      <w:pPr>
        <w:ind w:right="140" w:firstLine="417"/>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 action, suit or proceeding by or before any court or governmental agency, authority or body or any arbitrator involving the Company or any of its subsidiaries with respect to the Anti-Money Laundering Laws or Cannabis Laws is pending or, to the knowledge of the Company, threatened.</w:t>
      </w:r>
    </w:p>
    <w:p>
      <w:pPr>
        <w:spacing w:after="0" w:line="70" w:lineRule="exact"/>
        <w:rPr>
          <w:sz w:val="20"/>
          <w:szCs w:val="20"/>
          <w:color w:val="auto"/>
        </w:rPr>
      </w:pPr>
    </w:p>
    <w:p>
      <w:pPr>
        <w:ind w:right="400" w:firstLine="417"/>
        <w:spacing w:after="0" w:line="276" w:lineRule="auto"/>
        <w:rPr>
          <w:sz w:val="20"/>
          <w:szCs w:val="20"/>
          <w:color w:val="auto"/>
        </w:rPr>
      </w:pPr>
      <w:r>
        <w:rPr>
          <w:rFonts w:ascii="Times New Roman" w:cs="Times New Roman" w:eastAsia="Times New Roman" w:hAnsi="Times New Roman"/>
          <w:sz w:val="18"/>
          <w:szCs w:val="18"/>
          <w:color w:val="auto"/>
        </w:rPr>
        <w:t>The proceeds from the offering of the Shares will not be lent, used, or otherwise made available in any way that would cause a material violation of Anti-Money Laundering Laws or a violation of Cannabis Laws by the Company or its subsidiaries.</w:t>
      </w:r>
    </w:p>
    <w:p>
      <w:pPr>
        <w:spacing w:after="0" w:line="54" w:lineRule="exact"/>
        <w:rPr>
          <w:sz w:val="20"/>
          <w:szCs w:val="20"/>
          <w:color w:val="auto"/>
        </w:rPr>
      </w:pPr>
    </w:p>
    <w:p>
      <w:pPr>
        <w:ind w:right="40" w:firstLine="424"/>
        <w:spacing w:after="0" w:line="249" w:lineRule="auto"/>
        <w:tabs>
          <w:tab w:leader="none" w:pos="7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nor any directors or officers of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His Majesty’s Treasury of the United Kingdom or Canada (collectively, “Sanctions”) (“Sanctioned Person”) or (ii) located, organized or resident in a country or territory that is the subject or target of Sanctions that broadly prohibit dealings with such country or territory (currently, the so-called Donetsk People’s Republic, the so-called Luhansk People’s Republic, the Crimea Region of Ukraine, Cuba, Iran, North Korea, and Syria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w:t>
      </w:r>
    </w:p>
    <w:p>
      <w:pPr>
        <w:spacing w:after="0" w:line="80" w:lineRule="exact"/>
        <w:rPr>
          <w:rFonts w:ascii="Times New Roman" w:cs="Times New Roman" w:eastAsia="Times New Roman" w:hAnsi="Times New Roman"/>
          <w:sz w:val="18"/>
          <w:szCs w:val="18"/>
          <w:color w:val="auto"/>
        </w:rPr>
      </w:pPr>
    </w:p>
    <w:p>
      <w:pPr>
        <w:ind w:firstLine="424"/>
        <w:spacing w:after="0" w:line="254"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excluding any joint venture, is currently prohibited,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w:t>
      </w:r>
    </w:p>
    <w:p>
      <w:pPr>
        <w:spacing w:after="0" w:line="76" w:lineRule="exact"/>
        <w:rPr>
          <w:rFonts w:ascii="Times New Roman" w:cs="Times New Roman" w:eastAsia="Times New Roman" w:hAnsi="Times New Roman"/>
          <w:sz w:val="18"/>
          <w:szCs w:val="18"/>
          <w:color w:val="auto"/>
        </w:rPr>
      </w:pPr>
    </w:p>
    <w:p>
      <w:pPr>
        <w:ind w:right="320" w:firstLine="424"/>
        <w:spacing w:after="0" w:line="262" w:lineRule="auto"/>
        <w:tabs>
          <w:tab w:leader="none" w:pos="8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this Agreement) that could give rise to a valid claim against any of them or any Underwriter for a brokerage commission, finder’s fee or like payment in connection with the offering and sale of the Shares.</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20"/>
          </w:cols>
          <w:pgMar w:left="940" w:top="268" w:right="539" w:bottom="1440" w:gutter="0" w:footer="0" w:header="0"/>
        </w:sectPr>
      </w:pPr>
    </w:p>
    <w:bookmarkStart w:id="20" w:name="page21"/>
    <w:bookmarkEnd w:id="20"/>
    <w:p>
      <w:pPr>
        <w:ind w:firstLine="424"/>
        <w:spacing w:after="0" w:line="262" w:lineRule="auto"/>
        <w:tabs>
          <w:tab w:leader="none" w:pos="7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by reason of the filing of the Registration Statement with the Commission except for such rights that are described in the Registration Statement, the Pricing Disclosure Package and the Prospectus.</w:t>
      </w:r>
    </w:p>
    <w:p>
      <w:pPr>
        <w:spacing w:after="0" w:line="67" w:lineRule="exact"/>
        <w:rPr>
          <w:rFonts w:ascii="Times New Roman" w:cs="Times New Roman" w:eastAsia="Times New Roman" w:hAnsi="Times New Roman"/>
          <w:sz w:val="18"/>
          <w:szCs w:val="18"/>
          <w:color w:val="auto"/>
        </w:rPr>
      </w:pPr>
    </w:p>
    <w:p>
      <w:pPr>
        <w:ind w:right="40" w:firstLine="424"/>
        <w:spacing w:after="0" w:line="262" w:lineRule="auto"/>
        <w:tabs>
          <w:tab w:leader="none" w:pos="7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its affiliates has taken or will take, directly or indirectly, without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by the Underwriters, any action designed to or that could reasonably be expected to cause or result in the stabilization or manipulation of the price of any security of the Company or any of its subsidiaries in connection with the offering of the Shares.</w:t>
      </w:r>
    </w:p>
    <w:p>
      <w:pPr>
        <w:spacing w:after="0" w:line="67" w:lineRule="exact"/>
        <w:rPr>
          <w:rFonts w:ascii="Times New Roman" w:cs="Times New Roman" w:eastAsia="Times New Roman" w:hAnsi="Times New Roman"/>
          <w:sz w:val="18"/>
          <w:szCs w:val="18"/>
          <w:color w:val="auto"/>
        </w:rPr>
      </w:pPr>
    </w:p>
    <w:p>
      <w:pPr>
        <w:jc w:val="both"/>
        <w:ind w:right="40" w:firstLine="424"/>
        <w:spacing w:after="0" w:line="262" w:lineRule="auto"/>
        <w:tabs>
          <w:tab w:leader="none" w:pos="7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67" w:lineRule="exact"/>
        <w:rPr>
          <w:rFonts w:ascii="Times New Roman" w:cs="Times New Roman" w:eastAsia="Times New Roman" w:hAnsi="Times New Roman"/>
          <w:sz w:val="18"/>
          <w:szCs w:val="18"/>
          <w:color w:val="auto"/>
        </w:rPr>
      </w:pPr>
    </w:p>
    <w:p>
      <w:pPr>
        <w:ind w:right="60" w:firstLine="424"/>
        <w:spacing w:after="0" w:line="262" w:lineRule="auto"/>
        <w:tabs>
          <w:tab w:leader="none" w:pos="7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or incorporated by reference in each of the Registration Statement, the Pricing Disclosure Package and the Prospectus is not based on or derived from sources that are reasonably reliable and accurate in all material respects.</w:t>
      </w:r>
    </w:p>
    <w:p>
      <w:pPr>
        <w:spacing w:after="0" w:line="67" w:lineRule="exact"/>
        <w:rPr>
          <w:rFonts w:ascii="Times New Roman" w:cs="Times New Roman" w:eastAsia="Times New Roman" w:hAnsi="Times New Roman"/>
          <w:sz w:val="18"/>
          <w:szCs w:val="18"/>
          <w:color w:val="auto"/>
        </w:rPr>
      </w:pPr>
    </w:p>
    <w:p>
      <w:pPr>
        <w:ind w:right="140" w:firstLine="424"/>
        <w:spacing w:after="0" w:line="285" w:lineRule="auto"/>
        <w:tabs>
          <w:tab w:leader="none" w:pos="69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Sarbanes-Oxley Act</w:t>
      </w:r>
      <w:r>
        <w:rPr>
          <w:rFonts w:ascii="Times New Roman" w:cs="Times New Roman" w:eastAsia="Times New Roman" w:hAnsi="Times New Roman"/>
          <w:sz w:val="17"/>
          <w:szCs w:val="17"/>
          <w:color w:val="auto"/>
        </w:rPr>
        <w:t>. There is and has been no failure on the part of the Company or any of the Company’s directors or officers, in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49" w:lineRule="exact"/>
        <w:rPr>
          <w:rFonts w:ascii="Times New Roman" w:cs="Times New Roman" w:eastAsia="Times New Roman" w:hAnsi="Times New Roman"/>
          <w:sz w:val="17"/>
          <w:szCs w:val="17"/>
          <w:color w:val="auto"/>
        </w:rPr>
      </w:pPr>
    </w:p>
    <w:p>
      <w:pPr>
        <w:ind w:right="40" w:firstLine="424"/>
        <w:spacing w:after="0" w:line="253" w:lineRule="auto"/>
        <w:tabs>
          <w:tab w:leader="none" w:pos="7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At the time of filing the Registration Statement and any post-effective amendment thereto, at the earliest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thereafter that the Company or any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440"/>
          </w:cols>
          <w:pgMar w:left="940" w:top="266" w:right="519" w:bottom="1440" w:gutter="0" w:footer="0" w:header="0"/>
        </w:sectPr>
      </w:pPr>
    </w:p>
    <w:bookmarkStart w:id="21" w:name="page22"/>
    <w:bookmarkEnd w:id="21"/>
    <w:p>
      <w:pPr>
        <w:ind w:firstLine="424"/>
        <w:spacing w:after="0" w:line="263" w:lineRule="auto"/>
        <w:tabs>
          <w:tab w:leader="none" w:pos="6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Compliance with Healthcare Laws. </w:t>
      </w:r>
      <w:r>
        <w:rPr>
          <w:rFonts w:ascii="Times New Roman" w:cs="Times New Roman" w:eastAsia="Times New Roman" w:hAnsi="Times New Roman"/>
          <w:sz w:val="17"/>
          <w:szCs w:val="17"/>
          <w:color w:val="auto"/>
        </w:rPr>
        <w:t>In the past three years, the Company and its subsidiaries (i) are and at all times have been in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compliance with all statutes, rules or regulations of the U.S. Food and Drug Administration (“FDA”), the U.S. Department of Health and Human Services (“HHS”), Drug Enforcement Administration (“DEA”)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 have been resolved as of the date hereof or as would not have a Material Adverse Effect. 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except in the case of the employees of the Company or its subsidiaries, as would not have a material effect on the Company or its subsidiaries. In the past three years, the Company has complied with DEA instructions with respect to the irradiation of cannabis in the United States, including cannabis that meets the definition of “marihuana” under 21 U.S.C. § 802(16).</w:t>
      </w:r>
    </w:p>
    <w:p>
      <w:pPr>
        <w:spacing w:after="0" w:line="79" w:lineRule="exact"/>
        <w:rPr>
          <w:rFonts w:ascii="Times New Roman" w:cs="Times New Roman" w:eastAsia="Times New Roman" w:hAnsi="Times New Roman"/>
          <w:sz w:val="17"/>
          <w:szCs w:val="17"/>
          <w:color w:val="auto"/>
        </w:rPr>
      </w:pPr>
    </w:p>
    <w:p>
      <w:pPr>
        <w:ind w:firstLine="424"/>
        <w:spacing w:after="0" w:line="251" w:lineRule="auto"/>
        <w:tabs>
          <w:tab w:leader="none" w:pos="7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and Regulatory Compliance</w:t>
      </w:r>
      <w:r>
        <w:rPr>
          <w:rFonts w:ascii="Times New Roman" w:cs="Times New Roman" w:eastAsia="Times New Roman" w:hAnsi="Times New Roman"/>
          <w:sz w:val="18"/>
          <w:szCs w:val="18"/>
          <w:color w:val="auto"/>
        </w:rPr>
        <w:t>. (i) The tests, studies, and clinical trials conducted by or on behalf of or sponsored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subsidiaries (“Studies”), or in which any of the Company or its subsidiaries has participated, were and, if still ongoing, are being conducted in accordance with protocols, procedures and controls designed and approved for such tests, studies, and clinical trials and with accepted professional medical and scientific research procedures and standards and all applicable Food and Drug Laws, and Authorizations of the jurisdiction in which such Studies are being conducted in all material respects; and (ii) the Company and its subsidiaries have not received any material written notices, correspondence or other communications from the FDA, HHS, DEA or DOJ or any governmental or regulatory authority or similar entity requiring or threatening the termination or suspension of any Studies or with respect to the performance of such Studies, except for such notices, correspondence or communications that have been resolved as of the date hereof or as</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80"/>
          </w:cols>
          <w:pgMar w:left="940" w:top="266" w:right="579" w:bottom="1440" w:gutter="0" w:footer="0" w:header="0"/>
        </w:sectPr>
      </w:pPr>
    </w:p>
    <w:bookmarkStart w:id="22" w:name="page23"/>
    <w:bookmarkEnd w:id="22"/>
    <w:p>
      <w:pPr>
        <w:ind w:left="420"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w:t>
      </w:r>
    </w:p>
    <w:p>
      <w:pPr>
        <w:spacing w:after="0" w:line="73" w:lineRule="exact"/>
        <w:rPr>
          <w:sz w:val="20"/>
          <w:szCs w:val="20"/>
          <w:color w:val="auto"/>
        </w:rPr>
      </w:pPr>
    </w:p>
    <w:p>
      <w:pPr>
        <w:jc w:val="both"/>
        <w:ind w:left="420" w:right="80" w:firstLine="424"/>
        <w:spacing w:after="0" w:line="262" w:lineRule="auto"/>
        <w:tabs>
          <w:tab w:leader="none" w:pos="11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176" w:lineRule="exact"/>
        <w:rPr>
          <w:rFonts w:ascii="Times New Roman" w:cs="Times New Roman" w:eastAsia="Times New Roman" w:hAnsi="Times New Roman"/>
          <w:sz w:val="18"/>
          <w:szCs w:val="18"/>
          <w:color w:val="auto"/>
        </w:rPr>
      </w:pPr>
    </w:p>
    <w:p>
      <w:pPr>
        <w:ind w:right="120" w:firstLine="427"/>
        <w:spacing w:after="0" w:line="276" w:lineRule="auto"/>
        <w:tabs>
          <w:tab w:leader="none" w:pos="6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Selling Stockholders</w:t>
      </w:r>
      <w:r>
        <w:rPr>
          <w:rFonts w:ascii="Times New Roman" w:cs="Times New Roman" w:eastAsia="Times New Roman" w:hAnsi="Times New Roman"/>
          <w:sz w:val="18"/>
          <w:szCs w:val="18"/>
          <w:color w:val="auto"/>
        </w:rPr>
        <w:t>. Each of the Selling Stockholders severally and not jointly represents and warrants to each Underwriter and the Company that:</w:t>
      </w:r>
    </w:p>
    <w:p>
      <w:pPr>
        <w:spacing w:after="0" w:line="54" w:lineRule="exact"/>
        <w:rPr>
          <w:rFonts w:ascii="Times New Roman" w:cs="Times New Roman" w:eastAsia="Times New Roman" w:hAnsi="Times New Roman"/>
          <w:sz w:val="18"/>
          <w:szCs w:val="18"/>
          <w:color w:val="auto"/>
        </w:rPr>
      </w:pPr>
    </w:p>
    <w:p>
      <w:pPr>
        <w:ind w:left="420" w:firstLine="424"/>
        <w:spacing w:after="0" w:line="269" w:lineRule="auto"/>
        <w:tabs>
          <w:tab w:leader="none" w:pos="1078"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Required Consents; Authority</w:t>
      </w:r>
      <w:r>
        <w:rPr>
          <w:rFonts w:ascii="Times New Roman" w:cs="Times New Roman" w:eastAsia="Times New Roman" w:hAnsi="Times New Roman"/>
          <w:sz w:val="17"/>
          <w:szCs w:val="17"/>
          <w:color w:val="auto"/>
        </w:rPr>
        <w:t>. Except (i) as may be required under foreign or state securities (or Blue Sky) laws or by FINRA or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Nasdaq Market in connection with the purchase and distribution of Shares by the Underwriters and (ii) as would not, individually or in the aggregate, reasonably be expected to impair such Selling Stockholder’s ability to perform its obligations under this Agreement in any material respect, all consents, approvals, authorizations and orders necessary for the execution and delivery by such Selling Stockholder of this Agreement hereinafter referred to, and for 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w:t>
      </w:r>
    </w:p>
    <w:p>
      <w:pPr>
        <w:spacing w:after="0" w:line="63" w:lineRule="exact"/>
        <w:rPr>
          <w:rFonts w:ascii="Times New Roman" w:cs="Times New Roman" w:eastAsia="Times New Roman" w:hAnsi="Times New Roman"/>
          <w:sz w:val="17"/>
          <w:szCs w:val="17"/>
          <w:color w:val="auto"/>
        </w:rPr>
      </w:pPr>
    </w:p>
    <w:p>
      <w:pPr>
        <w:ind w:left="420" w:right="80" w:firstLine="424"/>
        <w:spacing w:after="0" w:line="266" w:lineRule="auto"/>
        <w:tabs>
          <w:tab w:leader="none" w:pos="1088"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Conflicts</w:t>
      </w:r>
      <w:r>
        <w:rPr>
          <w:rFonts w:ascii="Times New Roman" w:cs="Times New Roman" w:eastAsia="Times New Roman" w:hAnsi="Times New Roman"/>
          <w:sz w:val="17"/>
          <w:szCs w:val="17"/>
          <w:color w:val="auto"/>
        </w:rPr>
        <w:t>. The execution, delivery and performance by such Selling Stockholder of this Agreement, the sale of the Shares to be sold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such Selling Stockholder and the consummation by such Selling Stockholder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(i) and (iii), as would not, individually or in the aggregate, reasonably be expected to impair such Selling Stockholder’s ability to perform its obligations under this Agreement in any material respect.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40"/>
          </w:cols>
          <w:pgMar w:left="520" w:top="268" w:right="539" w:bottom="1440" w:gutter="0" w:footer="0" w:header="0"/>
        </w:sectPr>
      </w:pPr>
    </w:p>
    <w:bookmarkStart w:id="23" w:name="page24"/>
    <w:bookmarkEnd w:id="23"/>
    <w:p>
      <w:pPr>
        <w:ind w:firstLine="424"/>
        <w:spacing w:after="0" w:line="250" w:lineRule="auto"/>
        <w:tabs>
          <w:tab w:leader="none" w:pos="65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Title to Shares. </w:t>
      </w:r>
      <w:r>
        <w:rPr>
          <w:rFonts w:ascii="Times New Roman" w:cs="Times New Roman" w:eastAsia="Times New Roman" w:hAnsi="Times New Roman"/>
          <w:sz w:val="18"/>
          <w:szCs w:val="18"/>
          <w:color w:val="auto"/>
        </w:rPr>
        <w:t>Such Selling Stockholder has good and valid title to the Shares to be sold at the Closing Date by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free and clear of all liens, encumbrances, equities or adverse claims; such Selling Stockholder will have, immediately prior to the Closing Date good and valid title to the Shares to be sold at the Closing Date by such Selling Stockholder, free and clear of all liens, encumbrances, equities or adverse claims; and upon payment for the Shares to be sold by such Selling Stockholder pursuant to this Agreement, delivery of such Shares, as directed by the Underwriters, to Cede &amp; Co. (“Cede”) or such other nominee as may be designated by DTC, registration of such Shares in the name of Cede or such other nominee and the crediting of such Shares on the books of DTC to the securities account of the Underwriters, as provided herein (assuming that neither DTC nor the Underwriters has notice of any adverse claim (within the meaning of Section 8-105 of the New York Uniform Commercial Code (“UCC”)) to such Shares), (A) the Underwriters will, under Section 8-501 of the UCC, acquire a valid security entitlement in respect of such Shares and (B) no action based on any adverse claim (within the meaning of Section 8-102 of the UCC) to such Shares may be asserted against the Underwriters with respect to such security entitlement.</w:t>
      </w:r>
    </w:p>
    <w:p>
      <w:pPr>
        <w:spacing w:after="0" w:line="80" w:lineRule="exact"/>
        <w:rPr>
          <w:rFonts w:ascii="Times New Roman" w:cs="Times New Roman" w:eastAsia="Times New Roman" w:hAnsi="Times New Roman"/>
          <w:sz w:val="18"/>
          <w:szCs w:val="18"/>
          <w:color w:val="auto"/>
        </w:rPr>
      </w:pPr>
    </w:p>
    <w:p>
      <w:pPr>
        <w:ind w:right="340" w:firstLine="424"/>
        <w:spacing w:after="0" w:line="278" w:lineRule="auto"/>
        <w:tabs>
          <w:tab w:leader="none" w:pos="6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has not taken and will not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Shares.</w:t>
      </w:r>
    </w:p>
    <w:p>
      <w:pPr>
        <w:spacing w:after="0" w:line="52" w:lineRule="exact"/>
        <w:rPr>
          <w:rFonts w:ascii="Times New Roman" w:cs="Times New Roman" w:eastAsia="Times New Roman" w:hAnsi="Times New Roman"/>
          <w:sz w:val="18"/>
          <w:szCs w:val="18"/>
          <w:color w:val="auto"/>
        </w:rPr>
      </w:pPr>
    </w:p>
    <w:p>
      <w:pPr>
        <w:ind w:right="60" w:firstLine="424"/>
        <w:spacing w:after="0" w:line="250" w:lineRule="auto"/>
        <w:tabs>
          <w:tab w:leader="none" w:pos="65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at the Applicable Time did not, and as of the Closing Date,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each Selling Stockholder consists of (A) the legal name and address of such Selling Stockholder and the other information about such Selling Stockholder set forth in the footnote relating to such Selling Stockholder under the caption “Principal and Selling Stockholders,” (B) the number of shares of common stock beneficially owned by such Selling Stockholder before and after the offering (excluding percentages) that appears in the table (and corresponding footnotes) under the caption “Selling Stockholders” and (C) the information about such Selling Stockholder under the caption “Summary—Principal Stockholders” (collectively, the “Selling Stockholder Information”).</w:t>
      </w:r>
    </w:p>
    <w:p>
      <w:pPr>
        <w:spacing w:after="0" w:line="77" w:lineRule="exact"/>
        <w:rPr>
          <w:rFonts w:ascii="Times New Roman" w:cs="Times New Roman" w:eastAsia="Times New Roman" w:hAnsi="Times New Roman"/>
          <w:sz w:val="18"/>
          <w:szCs w:val="18"/>
          <w:color w:val="auto"/>
        </w:rPr>
      </w:pPr>
    </w:p>
    <w:p>
      <w:pPr>
        <w:ind w:right="180" w:firstLine="424"/>
        <w:spacing w:after="0" w:line="270" w:lineRule="auto"/>
        <w:tabs>
          <w:tab w:leader="none" w:pos="63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Issuer Free Writing Prospectus. </w:t>
      </w:r>
      <w:r>
        <w:rPr>
          <w:rFonts w:ascii="Times New Roman" w:cs="Times New Roman" w:eastAsia="Times New Roman" w:hAnsi="Times New Roman"/>
          <w:sz w:val="17"/>
          <w:szCs w:val="17"/>
          <w:color w:val="auto"/>
        </w:rPr>
        <w:t>Other than the Registration Statement, the Preliminary Prospectus and the Prospectus, such Selling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(including its agents and representatives, other than the Underwriters in their capacity as such) has not prepared, made, used, authorized, approved or referred to and will not prepare, make, use, authorize, approve or refer to any Issuer Free Writing Prospectus, other than</w:t>
      </w:r>
    </w:p>
    <w:p>
      <w:pPr>
        <w:ind w:right="40" w:firstLine="7"/>
        <w:spacing w:after="0" w:line="250" w:lineRule="auto"/>
        <w:tabs>
          <w:tab w:leader="none" w:pos="2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not constituting a prospectus pursuant to Section 2(a)(10)(a) of the Securities Act or Rule 134 under the Securities Act or (ii) the documents listed on Annex A hereto, each electronic road show and any other written communications approved in writing in advance by the Company and the Underwriters.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20"/>
          </w:cols>
          <w:pgMar w:left="940" w:top="266" w:right="539" w:bottom="1440" w:gutter="0" w:footer="0" w:header="0"/>
        </w:sectPr>
      </w:pPr>
    </w:p>
    <w:bookmarkStart w:id="24" w:name="page25"/>
    <w:bookmarkEnd w:id="24"/>
    <w:p>
      <w:pPr>
        <w:ind w:left="680" w:hanging="256"/>
        <w:spacing w:after="0"/>
        <w:tabs>
          <w:tab w:leader="none" w:pos="6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Registration Statement and Prospectus. </w:t>
      </w:r>
      <w:r>
        <w:rPr>
          <w:rFonts w:ascii="Times New Roman" w:cs="Times New Roman" w:eastAsia="Times New Roman" w:hAnsi="Times New Roman"/>
          <w:sz w:val="18"/>
          <w:szCs w:val="18"/>
          <w:color w:val="auto"/>
        </w:rPr>
        <w:t>As of the applicable effective date of the Registration Statement and any post-effective</w:t>
      </w:r>
    </w:p>
    <w:p>
      <w:pPr>
        <w:spacing w:after="0" w:line="27" w:lineRule="exact"/>
        <w:rPr>
          <w:rFonts w:ascii="Times New Roman" w:cs="Times New Roman" w:eastAsia="Times New Roman" w:hAnsi="Times New Roman"/>
          <w:sz w:val="18"/>
          <w:szCs w:val="18"/>
          <w:color w:val="auto"/>
        </w:rPr>
      </w:pPr>
    </w:p>
    <w:p>
      <w:pPr>
        <w:ind w:right="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Selling Stockholder’s representation under this Section 4(g) shall apply only to any untrue statement of a material fact or omission to state a material fact made in reliance upon and in conformity with the Selling Stockholder Information.</w:t>
      </w:r>
    </w:p>
    <w:p>
      <w:pPr>
        <w:spacing w:after="0" w:line="79" w:lineRule="exact"/>
        <w:rPr>
          <w:rFonts w:ascii="Times New Roman" w:cs="Times New Roman" w:eastAsia="Times New Roman" w:hAnsi="Times New Roman"/>
          <w:sz w:val="18"/>
          <w:szCs w:val="18"/>
          <w:color w:val="auto"/>
        </w:rPr>
      </w:pPr>
    </w:p>
    <w:p>
      <w:pPr>
        <w:ind w:firstLine="424"/>
        <w:spacing w:after="0" w:line="251" w:lineRule="auto"/>
        <w:tabs>
          <w:tab w:leader="none" w:pos="6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Such Selling Stockholder will not use, directly or knowingly indirectly, the proceeds of the offering in furtherance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payment, promise to pay, or authorization of the payment or giving of money, or anything else of value, to any person in violation of any applicable Anti-Corruption Laws; and such Selling Stockholder will not directly or knowingly indirectly use the proceeds of the offering of the Shares to be sold by such Selling Stockholder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78" w:lineRule="exact"/>
        <w:rPr>
          <w:rFonts w:ascii="Times New Roman" w:cs="Times New Roman" w:eastAsia="Times New Roman" w:hAnsi="Times New Roman"/>
          <w:sz w:val="18"/>
          <w:szCs w:val="18"/>
          <w:color w:val="auto"/>
        </w:rPr>
      </w:pPr>
    </w:p>
    <w:p>
      <w:pPr>
        <w:ind w:right="180" w:firstLine="424"/>
        <w:spacing w:after="0" w:line="278" w:lineRule="auto"/>
        <w:tabs>
          <w:tab w:leader="none" w:pos="62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Such Selling Stockholder has been duly organized and is validly existing and in good standing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its respective jurisdictions of organization.</w:t>
      </w:r>
    </w:p>
    <w:p>
      <w:pPr>
        <w:spacing w:after="0" w:line="52" w:lineRule="exact"/>
        <w:rPr>
          <w:rFonts w:ascii="Times New Roman" w:cs="Times New Roman" w:eastAsia="Times New Roman" w:hAnsi="Times New Roman"/>
          <w:sz w:val="18"/>
          <w:szCs w:val="18"/>
          <w:color w:val="auto"/>
        </w:rPr>
      </w:pPr>
    </w:p>
    <w:p>
      <w:pPr>
        <w:ind w:left="640" w:hanging="216"/>
        <w:spacing w:after="0"/>
        <w:tabs>
          <w:tab w:leader="none" w:pos="6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ERISA. </w:t>
      </w:r>
      <w:r>
        <w:rPr>
          <w:rFonts w:ascii="Times New Roman" w:cs="Times New Roman" w:eastAsia="Times New Roman" w:hAnsi="Times New Roman"/>
          <w:sz w:val="17"/>
          <w:szCs w:val="17"/>
          <w:color w:val="auto"/>
        </w:rPr>
        <w:t>Such Selling Stockholder is not (i) an employee benefit plan subject to Title I of ERISA, (ii) a plan as defined in Section 4975(e)</w:t>
      </w:r>
    </w:p>
    <w:p>
      <w:pPr>
        <w:spacing w:after="0" w:line="38" w:lineRule="exact"/>
        <w:rPr>
          <w:rFonts w:ascii="Times New Roman" w:cs="Times New Roman" w:eastAsia="Times New Roman" w:hAnsi="Times New Roman"/>
          <w:sz w:val="17"/>
          <w:szCs w:val="17"/>
          <w:color w:val="auto"/>
        </w:rPr>
      </w:pPr>
    </w:p>
    <w:p>
      <w:pPr>
        <w:ind w:right="560" w:firstLine="7"/>
        <w:spacing w:after="0" w:line="253" w:lineRule="auto"/>
        <w:tabs>
          <w:tab w:leader="none" w:pos="2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that is subject to Section 4975 of the Code or (iii) an entity deemed to hold “plan assets” of any such plan or account under Section 3(42) of ERISA, 29 C.F.R. 2510.3-101, or otherwise.</w:t>
      </w:r>
    </w:p>
    <w:p>
      <w:pPr>
        <w:spacing w:after="0" w:line="74" w:lineRule="exact"/>
        <w:rPr>
          <w:rFonts w:ascii="Times New Roman" w:cs="Times New Roman" w:eastAsia="Times New Roman" w:hAnsi="Times New Roman"/>
          <w:sz w:val="18"/>
          <w:szCs w:val="18"/>
          <w:color w:val="auto"/>
        </w:rPr>
      </w:pPr>
    </w:p>
    <w:p>
      <w:pPr>
        <w:ind w:right="100" w:firstLine="424"/>
        <w:spacing w:after="0" w:line="254" w:lineRule="auto"/>
        <w:tabs>
          <w:tab w:leader="none" w:pos="6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Stamp Taxes</w:t>
      </w:r>
      <w:r>
        <w:rPr>
          <w:rFonts w:ascii="Times New Roman" w:cs="Times New Roman" w:eastAsia="Times New Roman" w:hAnsi="Times New Roman"/>
          <w:sz w:val="18"/>
          <w:szCs w:val="18"/>
          <w:color w:val="auto"/>
        </w:rPr>
        <w:t>. No stamp duties or other issuance or transfer taxes are payable by or on behalf of the Underwriters in the United States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case, any political subdivision or taxing authority thereof in connection with (A) the execution, delivery and performance of this Agreement, (B) the sale and the delivery to the Underwriters of the Shares to be sold by such Selling Stockholder in the manner contemplated by this Agreement and the Prospectus or (C) the sale and delivery by the Underwriters to the initial purchasers thereof of the Shares to be sold by such Selling Stockholder as contemplated herein and in the Prospectus.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20"/>
          </w:cols>
          <w:pgMar w:left="940" w:top="266" w:right="539" w:bottom="1440" w:gutter="0" w:footer="0" w:header="0"/>
        </w:sectPr>
      </w:pPr>
    </w:p>
    <w:bookmarkStart w:id="25" w:name="page26"/>
    <w:bookmarkEnd w:id="25"/>
    <w:p>
      <w:pPr>
        <w:ind w:right="140" w:firstLine="424"/>
        <w:spacing w:after="0" w:line="277" w:lineRule="auto"/>
        <w:tabs>
          <w:tab w:leader="none" w:pos="62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Enforcement of Foreign Judgments</w:t>
      </w:r>
      <w:r>
        <w:rPr>
          <w:rFonts w:ascii="Times New Roman" w:cs="Times New Roman" w:eastAsia="Times New Roman" w:hAnsi="Times New Roman"/>
          <w:sz w:val="17"/>
          <w:szCs w:val="17"/>
          <w:color w:val="auto"/>
        </w:rPr>
        <w:t>. Any final judgment for a fixed or determined sum of money rendered by any U.S. federal or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York State court located in the State of New York having jurisdiction under its own laws in respect of any suit, action or proceeding against such Selling Stockholder based upon this Agreement would be declared enforceable against such Selling Stockholder by the courts of such Selling Stockholder’s jurisdiction of organization (if other than the United States), without reconsideration or reexamination of the merits.</w:t>
      </w:r>
    </w:p>
    <w:p>
      <w:pPr>
        <w:spacing w:after="0" w:line="55" w:lineRule="exact"/>
        <w:rPr>
          <w:rFonts w:ascii="Times New Roman" w:cs="Times New Roman" w:eastAsia="Times New Roman" w:hAnsi="Times New Roman"/>
          <w:sz w:val="17"/>
          <w:szCs w:val="17"/>
          <w:color w:val="auto"/>
        </w:rPr>
      </w:pPr>
    </w:p>
    <w:p>
      <w:pPr>
        <w:ind w:firstLine="424"/>
        <w:spacing w:after="0" w:line="253" w:lineRule="auto"/>
        <w:tabs>
          <w:tab w:leader="none" w:pos="71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Choice of Law</w:t>
      </w:r>
      <w:r>
        <w:rPr>
          <w:rFonts w:ascii="Times New Roman" w:cs="Times New Roman" w:eastAsia="Times New Roman" w:hAnsi="Times New Roman"/>
          <w:sz w:val="18"/>
          <w:szCs w:val="18"/>
          <w:color w:val="auto"/>
        </w:rPr>
        <w:t>. The choice of laws of the State of New York as the governing law of this Agreement is a valid choice of law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laws of such Selling Stockholder’s jurisdiction of organization (if other than the United States) and will be honored by the courts of such Selling Stockholder’s jurisdiction of organization (if other than the United States).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75" w:lineRule="exact"/>
        <w:rPr>
          <w:rFonts w:ascii="Times New Roman" w:cs="Times New Roman" w:eastAsia="Times New Roman" w:hAnsi="Times New Roman"/>
          <w:sz w:val="18"/>
          <w:szCs w:val="18"/>
          <w:color w:val="auto"/>
        </w:rPr>
      </w:pPr>
    </w:p>
    <w:p>
      <w:pPr>
        <w:ind w:right="120" w:firstLine="424"/>
        <w:spacing w:after="0" w:line="254" w:lineRule="auto"/>
        <w:tabs>
          <w:tab w:leader="none" w:pos="6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To the extent any payment is to be made by such Selling Stockholder pursuant to this Agreement, such Selling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access, subject to the laws of such Selling Stockholder’s jurisdiction of organization (if other than the United States), to the internal currency market in such Selling Stockholder’s jurisdiction of organization (if other than the United States) and, to the extent necessary, valid agreements with commercial banks of such Selling Stockholder’s jurisdiction of organization (if other than the United States) for purchasing U.S. dollars to make payments of amounts which may be payable under this Agreement.</w:t>
      </w:r>
    </w:p>
    <w:p>
      <w:pPr>
        <w:spacing w:after="0" w:line="184"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0" w:lineRule="exact"/>
        <w:rPr>
          <w:rFonts w:ascii="Times New Roman" w:cs="Times New Roman" w:eastAsia="Times New Roman" w:hAnsi="Times New Roman"/>
          <w:sz w:val="18"/>
          <w:szCs w:val="18"/>
          <w:color w:val="auto"/>
        </w:rPr>
      </w:pPr>
    </w:p>
    <w:p>
      <w:pPr>
        <w:ind w:firstLine="424"/>
        <w:spacing w:after="0" w:line="250" w:lineRule="auto"/>
        <w:tabs>
          <w:tab w:leader="none" w:pos="65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(or such later time as may be agreed by the Company and the Underwriters) in such quantities as the Underwriters may reasonably request. The Company will pay the registration fee for this offering within the time period required by Rule 456(b)(1) under the Securities Act (without giving effect to the proviso therein) and in any event prior to the Closing Date.</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00"/>
          </w:cols>
          <w:pgMar w:left="940" w:top="266" w:right="559" w:bottom="1440" w:gutter="0" w:footer="0" w:header="0"/>
        </w:sectPr>
      </w:pPr>
    </w:p>
    <w:bookmarkStart w:id="26" w:name="page27"/>
    <w:bookmarkEnd w:id="26"/>
    <w:p>
      <w:pPr>
        <w:ind w:right="40" w:firstLine="424"/>
        <w:spacing w:after="0" w:line="250" w:lineRule="auto"/>
        <w:tabs>
          <w:tab w:leader="none" w:pos="6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Delivery of Copies. </w:t>
      </w:r>
      <w:r>
        <w:rPr>
          <w:rFonts w:ascii="Times New Roman" w:cs="Times New Roman" w:eastAsia="Times New Roman" w:hAnsi="Times New Roman"/>
          <w:sz w:val="18"/>
          <w:szCs w:val="18"/>
          <w:color w:val="auto"/>
        </w:rPr>
        <w:t>The Company will deliver, without charge, (i) to the Underwriters, two signed copies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upon request of the Underwriters and (B) during the Prospectus Delivery Period (as defined below), as many copies of the Prospectus (including all amendments and supplements thereto and documents incorporated by reference therein and each Issuer Free Writing Prospectus) as the Underwriters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82" w:lineRule="exact"/>
        <w:rPr>
          <w:rFonts w:ascii="Times New Roman" w:cs="Times New Roman" w:eastAsia="Times New Roman" w:hAnsi="Times New Roman"/>
          <w:sz w:val="18"/>
          <w:szCs w:val="18"/>
          <w:color w:val="auto"/>
        </w:rPr>
      </w:pPr>
    </w:p>
    <w:p>
      <w:pPr>
        <w:ind w:right="100" w:firstLine="424"/>
        <w:spacing w:after="0" w:line="253" w:lineRule="auto"/>
        <w:tabs>
          <w:tab w:leader="none" w:pos="65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Underwriters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Underwriters reasonably object in a timely manner.</w:t>
      </w:r>
    </w:p>
    <w:p>
      <w:pPr>
        <w:spacing w:after="0" w:line="75" w:lineRule="exact"/>
        <w:rPr>
          <w:rFonts w:ascii="Times New Roman" w:cs="Times New Roman" w:eastAsia="Times New Roman" w:hAnsi="Times New Roman"/>
          <w:sz w:val="18"/>
          <w:szCs w:val="18"/>
          <w:color w:val="auto"/>
        </w:rPr>
      </w:pPr>
    </w:p>
    <w:p>
      <w:pPr>
        <w:ind w:right="500" w:firstLine="424"/>
        <w:spacing w:after="0" w:line="274" w:lineRule="auto"/>
        <w:tabs>
          <w:tab w:leader="none" w:pos="66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to the Underwriters. </w:t>
      </w:r>
      <w:r>
        <w:rPr>
          <w:rFonts w:ascii="Times New Roman" w:cs="Times New Roman" w:eastAsia="Times New Roman" w:hAnsi="Times New Roman"/>
          <w:sz w:val="17"/>
          <w:szCs w:val="17"/>
          <w:color w:val="auto"/>
        </w:rPr>
        <w:t>The Company will advise the Underwriters promptly, and confirm such advice in writing, (i) when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Statement has become effective; (ii) when any amendment to the Registration Statement has been filed or becomes effective;</w:t>
      </w:r>
    </w:p>
    <w:p>
      <w:pPr>
        <w:ind w:firstLine="7"/>
        <w:spacing w:after="0" w:line="264" w:lineRule="auto"/>
        <w:tabs>
          <w:tab w:leader="none" w:pos="3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supplement to the Pricing Disclosure Package, the Prospectus,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40"/>
          </w:cols>
          <w:pgMar w:left="940" w:top="266" w:right="519" w:bottom="1440" w:gutter="0" w:footer="0" w:header="0"/>
        </w:sectPr>
      </w:pPr>
    </w:p>
    <w:bookmarkStart w:id="27" w:name="page28"/>
    <w:bookmarkEnd w:id="27"/>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Pricing Disclosure Package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its reasonable best efforts to obtain as soon as possible the withdrawal thereof.</w:t>
      </w:r>
    </w:p>
    <w:p>
      <w:pPr>
        <w:spacing w:after="0" w:line="67" w:lineRule="exact"/>
        <w:rPr>
          <w:sz w:val="20"/>
          <w:szCs w:val="20"/>
          <w:color w:val="auto"/>
        </w:rPr>
      </w:pPr>
    </w:p>
    <w:p>
      <w:pPr>
        <w:ind w:right="40" w:firstLine="424"/>
        <w:spacing w:after="0" w:line="248" w:lineRule="auto"/>
        <w:tabs>
          <w:tab w:leader="none" w:pos="6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Underwriters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Underwriters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3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380"/>
          </w:cols>
          <w:pgMar w:left="940" w:top="268" w:right="579" w:bottom="1440" w:gutter="0" w:footer="0" w:header="0"/>
        </w:sectPr>
      </w:pPr>
    </w:p>
    <w:bookmarkStart w:id="28" w:name="page29"/>
    <w:bookmarkEnd w:id="28"/>
    <w:p>
      <w:pPr>
        <w:ind w:firstLine="424"/>
        <w:spacing w:after="0" w:line="253"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Blue Sky Compliance. </w:t>
      </w:r>
      <w:r>
        <w:rPr>
          <w:rFonts w:ascii="Times New Roman" w:cs="Times New Roman" w:eastAsia="Times New Roman" w:hAnsi="Times New Roman"/>
          <w:sz w:val="18"/>
          <w:szCs w:val="18"/>
          <w:color w:val="auto"/>
        </w:rPr>
        <w:t>The Company will use its reasonable best efforts, in cooperation with the Underwriters, to qualify the Shares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and sale under the securities or Blue Sky laws of such jurisdictions as the Underwriters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5" w:lineRule="exact"/>
        <w:rPr>
          <w:rFonts w:ascii="Times New Roman" w:cs="Times New Roman" w:eastAsia="Times New Roman" w:hAnsi="Times New Roman"/>
          <w:sz w:val="18"/>
          <w:szCs w:val="18"/>
          <w:color w:val="auto"/>
        </w:rPr>
      </w:pPr>
    </w:p>
    <w:p>
      <w:pPr>
        <w:ind w:right="140" w:firstLine="424"/>
        <w:spacing w:after="0" w:line="273" w:lineRule="auto"/>
        <w:tabs>
          <w:tab w:leader="none" w:pos="66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Earning Statement. </w:t>
      </w:r>
      <w:r>
        <w:rPr>
          <w:rFonts w:ascii="Times New Roman" w:cs="Times New Roman" w:eastAsia="Times New Roman" w:hAnsi="Times New Roman"/>
          <w:sz w:val="17"/>
          <w:szCs w:val="17"/>
          <w:color w:val="auto"/>
        </w:rPr>
        <w:t>The Company will make generally available to its security holders and the Underwriters as soon as practicable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will be deemed to have complied with such requirement by filing such earnings statement on the Commission’s Electronic Data Gathering, Analysis, and Retrieval system (or any successor system) (“EDGAR”).</w:t>
      </w:r>
    </w:p>
    <w:p>
      <w:pPr>
        <w:spacing w:after="0" w:line="59" w:lineRule="exact"/>
        <w:rPr>
          <w:rFonts w:ascii="Times New Roman" w:cs="Times New Roman" w:eastAsia="Times New Roman" w:hAnsi="Times New Roman"/>
          <w:sz w:val="17"/>
          <w:szCs w:val="17"/>
          <w:color w:val="auto"/>
        </w:rPr>
      </w:pPr>
    </w:p>
    <w:p>
      <w:pPr>
        <w:ind w:right="20" w:firstLine="424"/>
        <w:spacing w:after="0" w:line="250" w:lineRule="auto"/>
        <w:tabs>
          <w:tab w:leader="none" w:pos="6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30 days after the date of the Prospectus, the Company will not (i) offer, pledge, sell, contract to sell,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Common Stock or any securities convertible into or exercisable or exchangeable for Common Stock, or publicly disclose the intention to undertake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provide written notice to the Underwriters at least two business days prior to any confidential or non-public submission of a registration statement described in this clause (i)),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Underwriters, other than the Shares to be sold hereunder.</w:t>
      </w:r>
    </w:p>
    <w:p>
      <w:pPr>
        <w:spacing w:after="0" w:line="85" w:lineRule="exact"/>
        <w:rPr>
          <w:sz w:val="20"/>
          <w:szCs w:val="20"/>
          <w:color w:val="auto"/>
        </w:rPr>
      </w:pPr>
    </w:p>
    <w:p>
      <w:pPr>
        <w:ind w:firstLine="938"/>
        <w:spacing w:after="0" w:line="250" w:lineRule="auto"/>
        <w:rPr>
          <w:sz w:val="20"/>
          <w:szCs w:val="20"/>
          <w:color w:val="auto"/>
        </w:rPr>
      </w:pPr>
      <w:r>
        <w:rPr>
          <w:rFonts w:ascii="Times New Roman" w:cs="Times New Roman" w:eastAsia="Times New Roman" w:hAnsi="Times New Roman"/>
          <w:sz w:val="18"/>
          <w:szCs w:val="18"/>
          <w:color w:val="auto"/>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or performance stock units (including net settlement), in each case outstanding on the date of this Agreement and described in the Prospectus; (ii) grants of stock options, stock awards, restricted stock, RSUs, performance stock units,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recipients that are executive officers or directors of the Company enter into a lock-up agreement with the Underwriters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(iii) entry into one or more agreements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20"/>
          </w:cols>
          <w:pgMar w:left="940" w:top="266" w:right="539" w:bottom="1440" w:gutter="0" w:footer="0" w:header="0"/>
        </w:sectPr>
      </w:pPr>
    </w:p>
    <w:bookmarkStart w:id="29" w:name="page30"/>
    <w:bookmarkEnd w:id="29"/>
    <w:p>
      <w:pPr>
        <w:ind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w:t>
      </w:r>
    </w:p>
    <w:p>
      <w:pPr>
        <w:spacing w:after="0" w:line="78" w:lineRule="exact"/>
        <w:rPr>
          <w:sz w:val="20"/>
          <w:szCs w:val="20"/>
          <w:color w:val="auto"/>
        </w:rPr>
      </w:pPr>
    </w:p>
    <w:p>
      <w:pPr>
        <w:ind w:left="640" w:hanging="2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right="20" w:firstLine="424"/>
        <w:spacing w:after="0" w:line="278" w:lineRule="auto"/>
        <w:tabs>
          <w:tab w:leader="none" w:pos="6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without giving effect to the activities by the Underwriters,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Stock.</w:t>
      </w:r>
    </w:p>
    <w:p>
      <w:pPr>
        <w:spacing w:after="0" w:line="52" w:lineRule="exact"/>
        <w:rPr>
          <w:rFonts w:ascii="Times New Roman" w:cs="Times New Roman" w:eastAsia="Times New Roman" w:hAnsi="Times New Roman"/>
          <w:sz w:val="18"/>
          <w:szCs w:val="18"/>
          <w:color w:val="auto"/>
        </w:rPr>
      </w:pPr>
    </w:p>
    <w:p>
      <w:pPr>
        <w:ind w:right="100" w:firstLine="424"/>
        <w:spacing w:after="0" w:line="278" w:lineRule="auto"/>
        <w:tabs>
          <w:tab w:leader="none" w:pos="6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For so long as the Company is a reporting company pursuant to Section 12 or 15 of the Exchange Act,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use its reasonable best efforts to maintain the listing of the Shares on the Nasdaq Market.</w:t>
      </w:r>
    </w:p>
    <w:p>
      <w:pPr>
        <w:spacing w:after="0" w:line="52" w:lineRule="exact"/>
        <w:rPr>
          <w:rFonts w:ascii="Times New Roman" w:cs="Times New Roman" w:eastAsia="Times New Roman" w:hAnsi="Times New Roman"/>
          <w:sz w:val="18"/>
          <w:szCs w:val="18"/>
          <w:color w:val="auto"/>
        </w:rPr>
      </w:pPr>
    </w:p>
    <w:p>
      <w:pPr>
        <w:ind w:right="200" w:firstLine="424"/>
        <w:spacing w:after="0" w:line="277" w:lineRule="auto"/>
        <w:tabs>
          <w:tab w:leader="none" w:pos="62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Reports. </w:t>
      </w:r>
      <w:r>
        <w:rPr>
          <w:rFonts w:ascii="Times New Roman" w:cs="Times New Roman" w:eastAsia="Times New Roman" w:hAnsi="Times New Roman"/>
          <w:sz w:val="17"/>
          <w:szCs w:val="17"/>
          <w:color w:val="auto"/>
        </w:rPr>
        <w:t>For a period of two years from the date of this Agreement, the Company will furnish to the Underwriters, as soon as they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Company will be deemed to have furnished such reports and financial statements to the Underwriters to the extent they are filed on EDGAR.</w:t>
      </w:r>
    </w:p>
    <w:p>
      <w:pPr>
        <w:spacing w:after="0" w:line="55" w:lineRule="exact"/>
        <w:rPr>
          <w:rFonts w:ascii="Times New Roman" w:cs="Times New Roman" w:eastAsia="Times New Roman" w:hAnsi="Times New Roman"/>
          <w:sz w:val="17"/>
          <w:szCs w:val="17"/>
          <w:color w:val="auto"/>
        </w:rPr>
      </w:pPr>
    </w:p>
    <w:p>
      <w:pPr>
        <w:ind w:right="380" w:firstLine="424"/>
        <w:spacing w:after="0" w:line="278" w:lineRule="auto"/>
        <w:tabs>
          <w:tab w:leader="none" w:pos="7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52" w:lineRule="exact"/>
        <w:rPr>
          <w:rFonts w:ascii="Times New Roman" w:cs="Times New Roman" w:eastAsia="Times New Roman" w:hAnsi="Times New Roman"/>
          <w:sz w:val="18"/>
          <w:szCs w:val="18"/>
          <w:color w:val="auto"/>
        </w:rPr>
      </w:pPr>
    </w:p>
    <w:p>
      <w:pPr>
        <w:ind w:firstLine="424"/>
        <w:spacing w:after="0" w:line="250" w:lineRule="auto"/>
        <w:tabs>
          <w:tab w:leader="none" w:pos="6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Renewal</w:t>
      </w:r>
      <w:r>
        <w:rPr>
          <w:rFonts w:ascii="Times New Roman" w:cs="Times New Roman" w:eastAsia="Times New Roman" w:hAnsi="Times New Roman"/>
          <w:sz w:val="18"/>
          <w:szCs w:val="18"/>
          <w:color w:val="auto"/>
        </w:rPr>
        <w:t>. If immediately prior to the third anniversary (the “Renewal Deadline”) of the initial effective date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any of the Shares remain un-sold by the Underwriters, the Company will, prior to the Renewal Deadline, file, if it has not already done so and is eligible to do so, a new automatic shelf registration statement relating to the Shares, in a form satisfactory to the Underwriters. If the Company is not eligible to file an automatic shelf registration statement, the Company will, prior to the Renewal Deadline, if it has not already done so, file a new shelf registration statement relating to the Shares, in a form satisfactory to the Underwriters,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360"/>
          </w:cols>
          <w:pgMar w:left="940" w:top="268" w:right="599" w:bottom="1440" w:gutter="0" w:footer="0" w:header="0"/>
        </w:sectPr>
      </w:pPr>
    </w:p>
    <w:bookmarkStart w:id="30" w:name="page31"/>
    <w:bookmarkEnd w:id="30"/>
    <w:p>
      <w:pPr>
        <w:ind w:left="180" w:hanging="173"/>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Further Agreements of the Selling Stockholders</w:t>
      </w:r>
      <w:r>
        <w:rPr>
          <w:rFonts w:ascii="Times New Roman" w:cs="Times New Roman" w:eastAsia="Times New Roman" w:hAnsi="Times New Roman"/>
          <w:sz w:val="18"/>
          <w:szCs w:val="18"/>
          <w:color w:val="auto"/>
        </w:rPr>
        <w:t>. Each of the Selling Stockholders severally covenants and agrees with each Underwriter that:</w:t>
      </w:r>
    </w:p>
    <w:p>
      <w:pPr>
        <w:spacing w:after="0" w:line="110" w:lineRule="exact"/>
        <w:rPr>
          <w:rFonts w:ascii="Times New Roman" w:cs="Times New Roman" w:eastAsia="Times New Roman" w:hAnsi="Times New Roman"/>
          <w:sz w:val="18"/>
          <w:szCs w:val="18"/>
          <w:color w:val="auto"/>
        </w:rPr>
      </w:pPr>
    </w:p>
    <w:p>
      <w:pPr>
        <w:ind w:right="580" w:firstLine="424"/>
        <w:spacing w:after="0" w:line="278" w:lineRule="auto"/>
        <w:tabs>
          <w:tab w:leader="none" w:pos="65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will not take, directly or indirectly, any action designed to or that could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cause or result in any stabilization or manipulation of the price of the Stock.</w:t>
      </w:r>
    </w:p>
    <w:p>
      <w:pPr>
        <w:spacing w:after="0" w:line="52" w:lineRule="exact"/>
        <w:rPr>
          <w:rFonts w:ascii="Times New Roman" w:cs="Times New Roman" w:eastAsia="Times New Roman" w:hAnsi="Times New Roman"/>
          <w:sz w:val="18"/>
          <w:szCs w:val="18"/>
          <w:color w:val="auto"/>
        </w:rPr>
      </w:pPr>
    </w:p>
    <w:p>
      <w:pPr>
        <w:jc w:val="both"/>
        <w:ind w:firstLine="424"/>
        <w:spacing w:after="0" w:line="257" w:lineRule="auto"/>
        <w:tabs>
          <w:tab w:leader="none" w:pos="6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Form. </w:t>
      </w:r>
      <w:r>
        <w:rPr>
          <w:rFonts w:ascii="Times New Roman" w:cs="Times New Roman" w:eastAsia="Times New Roman" w:hAnsi="Times New Roman"/>
          <w:sz w:val="18"/>
          <w:szCs w:val="18"/>
          <w:color w:val="auto"/>
        </w:rPr>
        <w:t>It will deliver to the Underwriters prior to or at the Closing Date a properly completed and executed United States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Form W-9 or Form W-8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72" w:lineRule="exact"/>
        <w:rPr>
          <w:sz w:val="20"/>
          <w:szCs w:val="20"/>
          <w:color w:val="auto"/>
        </w:rPr>
      </w:pPr>
    </w:p>
    <w:p>
      <w:pPr>
        <w:ind w:right="20" w:firstLine="424"/>
        <w:spacing w:after="0" w:line="254" w:lineRule="auto"/>
        <w:tabs>
          <w:tab w:leader="none" w:pos="6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It will not directly or indirectly use the proceeds of the offering of the Shares hereunder, or lend, contribute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w:t>
      </w:r>
    </w:p>
    <w:p>
      <w:pPr>
        <w:spacing w:after="0" w:line="184"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2" w:lineRule="exact"/>
        <w:rPr>
          <w:rFonts w:ascii="Times New Roman" w:cs="Times New Roman" w:eastAsia="Times New Roman" w:hAnsi="Times New Roman"/>
          <w:sz w:val="18"/>
          <w:szCs w:val="18"/>
          <w:color w:val="auto"/>
        </w:rPr>
      </w:pPr>
    </w:p>
    <w:p>
      <w:pPr>
        <w:ind w:right="100" w:firstLine="424"/>
        <w:spacing w:after="0" w:line="267" w:lineRule="auto"/>
        <w:tabs>
          <w:tab w:leader="none" w:pos="65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(including through incorporation by reference) that was not included in the Preliminary Prospectus or a previously filed Issuer Free Writing Prospectus, (ii) any Issuer Free Writing Prospectus listed on Annex A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1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400"/>
          </w:cols>
          <w:pgMar w:left="940" w:top="268" w:right="559" w:bottom="1440" w:gutter="0" w:footer="0" w:header="0"/>
        </w:sectPr>
      </w:pPr>
    </w:p>
    <w:bookmarkStart w:id="31" w:name="page32"/>
    <w:bookmarkEnd w:id="31"/>
    <w:p>
      <w:pPr>
        <w:ind w:left="420" w:right="100" w:firstLine="424"/>
        <w:spacing w:after="0" w:line="276" w:lineRule="auto"/>
        <w:tabs>
          <w:tab w:leader="none" w:pos="10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56" w:lineRule="exact"/>
        <w:rPr>
          <w:rFonts w:ascii="Times New Roman" w:cs="Times New Roman" w:eastAsia="Times New Roman" w:hAnsi="Times New Roman"/>
          <w:sz w:val="18"/>
          <w:szCs w:val="18"/>
          <w:color w:val="auto"/>
        </w:rPr>
      </w:pPr>
    </w:p>
    <w:p>
      <w:pPr>
        <w:ind w:left="420" w:right="160" w:firstLine="424"/>
        <w:spacing w:after="0" w:line="276" w:lineRule="auto"/>
        <w:tabs>
          <w:tab w:leader="none" w:pos="10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62" w:lineRule="exact"/>
        <w:rPr>
          <w:rFonts w:ascii="Times New Roman" w:cs="Times New Roman" w:eastAsia="Times New Roman" w:hAnsi="Times New Roman"/>
          <w:sz w:val="18"/>
          <w:szCs w:val="18"/>
          <w:color w:val="auto"/>
        </w:rPr>
      </w:pPr>
    </w:p>
    <w:p>
      <w:pPr>
        <w:ind w:right="180" w:firstLine="427"/>
        <w:spacing w:after="0" w:line="261" w:lineRule="auto"/>
        <w:tabs>
          <w:tab w:leader="none" w:pos="6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as provided herein is subject to the performance by the Company and each of the Selling Stockholders of their respective covenants and other obligations hereunder and to the following additional conditions:</w:t>
      </w:r>
    </w:p>
    <w:p>
      <w:pPr>
        <w:spacing w:after="0" w:line="68" w:lineRule="exact"/>
        <w:rPr>
          <w:rFonts w:ascii="Times New Roman" w:cs="Times New Roman" w:eastAsia="Times New Roman" w:hAnsi="Times New Roman"/>
          <w:sz w:val="18"/>
          <w:szCs w:val="18"/>
          <w:color w:val="auto"/>
        </w:rPr>
      </w:pPr>
    </w:p>
    <w:p>
      <w:pPr>
        <w:ind w:left="420" w:firstLine="424"/>
        <w:spacing w:after="0" w:line="253" w:lineRule="auto"/>
        <w:tabs>
          <w:tab w:leader="none" w:pos="10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Underwriters.</w:t>
      </w:r>
    </w:p>
    <w:p>
      <w:pPr>
        <w:spacing w:after="0" w:line="75" w:lineRule="exact"/>
        <w:rPr>
          <w:rFonts w:ascii="Times New Roman" w:cs="Times New Roman" w:eastAsia="Times New Roman" w:hAnsi="Times New Roman"/>
          <w:sz w:val="18"/>
          <w:szCs w:val="18"/>
          <w:color w:val="auto"/>
        </w:rPr>
      </w:pPr>
    </w:p>
    <w:p>
      <w:pPr>
        <w:ind w:left="420" w:right="20" w:firstLine="424"/>
        <w:spacing w:after="0" w:line="257" w:lineRule="auto"/>
        <w:tabs>
          <w:tab w:leader="none" w:pos="10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respective representations and warranties of the Company and the Selling Stockholders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shall be true and correct on the date hereof and on and as of the Closing Date; and the statements of the Company and its officers and of each of the Selling Stockholders and their officers made in any certificates delivered pursuant to this Agreement shall be true and correct on and as of the Closing Date.</w:t>
      </w:r>
    </w:p>
    <w:p>
      <w:pPr>
        <w:spacing w:after="0" w:line="71" w:lineRule="exact"/>
        <w:rPr>
          <w:rFonts w:ascii="Times New Roman" w:cs="Times New Roman" w:eastAsia="Times New Roman" w:hAnsi="Times New Roman"/>
          <w:sz w:val="18"/>
          <w:szCs w:val="18"/>
          <w:color w:val="auto"/>
        </w:rPr>
      </w:pPr>
    </w:p>
    <w:p>
      <w:pPr>
        <w:ind w:left="420" w:right="160" w:firstLine="424"/>
        <w:spacing w:after="0" w:line="253" w:lineRule="auto"/>
        <w:tabs>
          <w:tab w:leader="none" w:pos="10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Applicable Time and (B) the execution and delivery of this Agreement, (i)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75" w:lineRule="exact"/>
        <w:rPr>
          <w:rFonts w:ascii="Times New Roman" w:cs="Times New Roman" w:eastAsia="Times New Roman" w:hAnsi="Times New Roman"/>
          <w:sz w:val="18"/>
          <w:szCs w:val="18"/>
          <w:color w:val="auto"/>
        </w:rPr>
      </w:pPr>
    </w:p>
    <w:p>
      <w:pPr>
        <w:ind w:left="420" w:right="200" w:firstLine="424"/>
        <w:spacing w:after="0" w:line="254" w:lineRule="auto"/>
        <w:tabs>
          <w:tab w:leader="none" w:pos="10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3(i)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Underwriters makes it impracticable or inadvisable to proceed with the offering, sale or delivery of the Shares on the Closing Date on the terms and in the manner contemplated by this Agreement, the Pricing Disclosure Package and the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60"/>
          </w:cols>
          <w:pgMar w:left="520" w:top="268" w:right="519" w:bottom="1440" w:gutter="0" w:footer="0" w:header="0"/>
        </w:sectPr>
      </w:pPr>
    </w:p>
    <w:bookmarkStart w:id="32" w:name="page33"/>
    <w:bookmarkEnd w:id="32"/>
    <w:p>
      <w:pPr>
        <w:ind w:firstLine="424"/>
        <w:spacing w:after="0" w:line="249" w:lineRule="auto"/>
        <w:tabs>
          <w:tab w:leader="none" w:pos="6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Officer’s Certificate. </w:t>
      </w:r>
      <w:r>
        <w:rPr>
          <w:rFonts w:ascii="Times New Roman" w:cs="Times New Roman" w:eastAsia="Times New Roman" w:hAnsi="Times New Roman"/>
          <w:sz w:val="18"/>
          <w:szCs w:val="18"/>
          <w:color w:val="auto"/>
        </w:rPr>
        <w:t>The Underwriters shall have received on and as of the Closing Date (x)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Underwriters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and (iii) to the effect set forth in paragraphs (a), (c) and (d) above and (y) a certificate of each of the Selling Stockholders, in form and substance reasonably satisfactory to the Underwriters, (A) confirming that the representations of such Selling Stockholder set forth in Sections 4(A)(e), 4(A)(f) and 4(A)(g) hereof is true and correct and (B) confirming that the other representations and warranties of such Selling Stockholder in this agreement are true and correct and that the such Selling Stockholder has complied in all material respects with all agreements and satisfied all conditions on their part to be performed or satisfied hereunder at or prior to such Closing Date.</w:t>
      </w:r>
    </w:p>
    <w:p>
      <w:pPr>
        <w:spacing w:after="0" w:line="85" w:lineRule="exact"/>
        <w:rPr>
          <w:rFonts w:ascii="Times New Roman" w:cs="Times New Roman" w:eastAsia="Times New Roman" w:hAnsi="Times New Roman"/>
          <w:sz w:val="18"/>
          <w:szCs w:val="18"/>
          <w:color w:val="auto"/>
        </w:rPr>
      </w:pPr>
    </w:p>
    <w:p>
      <w:pPr>
        <w:ind w:right="40" w:firstLine="424"/>
        <w:spacing w:after="0" w:line="253"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(i) On the date of this Agreement and on the Closing Date Ernst &amp; Young LLP shall have furnished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request of the Company, letters, dated the respective dates of delivery thereof and addressed to the Underwriters, in form and substance reasonably satisfactory to the Underwriters,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shall use a “cut-off” date no more than [three] business days prior to such Closing Date.</w:t>
      </w:r>
    </w:p>
    <w:p>
      <w:pPr>
        <w:spacing w:after="0" w:line="77" w:lineRule="exact"/>
        <w:rPr>
          <w:sz w:val="20"/>
          <w:szCs w:val="20"/>
          <w:color w:val="auto"/>
        </w:rPr>
      </w:pPr>
    </w:p>
    <w:p>
      <w:pPr>
        <w:ind w:right="80" w:firstLine="424"/>
        <w:spacing w:after="0" w:line="256" w:lineRule="auto"/>
        <w:tabs>
          <w:tab w:leader="none" w:pos="6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the Company shall have furnished to the Underwriters a certificate, dated the respective dates of delivery thereof and addressed to the Underwriters, of its chief financial officer with respect to certain financial data contained or incorporated by reference in the Pricing Disclosure Package and the Prospectus, providing “management comfort” with respect to such information, in form and substance reasonably satisfactory to the Underwriters.</w:t>
      </w:r>
    </w:p>
    <w:p>
      <w:pPr>
        <w:spacing w:after="0" w:line="73" w:lineRule="exact"/>
        <w:rPr>
          <w:sz w:val="20"/>
          <w:szCs w:val="20"/>
          <w:color w:val="auto"/>
        </w:rPr>
      </w:pPr>
    </w:p>
    <w:p>
      <w:pPr>
        <w:jc w:val="both"/>
        <w:ind w:right="80" w:firstLine="424"/>
        <w:spacing w:after="0" w:line="262" w:lineRule="auto"/>
        <w:tabs>
          <w:tab w:leader="none" w:pos="6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Cleary Gottlieb Steen &amp; Hamilton LLP,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and 10b-5 statement, dated the Closing Date and addressed to the Underwriters, in form and substance reasonably satisfactory to the Underwriters, to the effect set forth in Annex B-1 hereto.</w:t>
      </w:r>
    </w:p>
    <w:p>
      <w:pPr>
        <w:spacing w:after="0" w:line="1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420"/>
          </w:cols>
          <w:pgMar w:left="940" w:top="266" w:right="539" w:bottom="1440" w:gutter="0" w:footer="0" w:header="0"/>
        </w:sectPr>
      </w:pPr>
    </w:p>
    <w:bookmarkStart w:id="33" w:name="page34"/>
    <w:bookmarkEnd w:id="33"/>
    <w:p>
      <w:pPr>
        <w:ind w:right="180" w:firstLine="424"/>
        <w:spacing w:after="0" w:line="262" w:lineRule="auto"/>
        <w:tabs>
          <w:tab w:leader="none" w:pos="6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Opinion of Delaware Counsel for the Company. </w:t>
      </w:r>
      <w:r>
        <w:rPr>
          <w:rFonts w:ascii="Times New Roman" w:cs="Times New Roman" w:eastAsia="Times New Roman" w:hAnsi="Times New Roman"/>
          <w:sz w:val="18"/>
          <w:szCs w:val="18"/>
          <w:color w:val="auto"/>
        </w:rPr>
        <w:t>Richards, Layton &amp; Finger, P.A., Delaware counsel for the Company,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Underwriters, at the request of the Company, their written opinion, dated the Closing Date and addressed to the Underwriters, in form and substance reasonably satisfactory to the Underwriters, to the effect set forth in Annex B-2 hereto.</w:t>
      </w:r>
    </w:p>
    <w:p>
      <w:pPr>
        <w:spacing w:after="0" w:line="67" w:lineRule="exact"/>
        <w:rPr>
          <w:rFonts w:ascii="Times New Roman" w:cs="Times New Roman" w:eastAsia="Times New Roman" w:hAnsi="Times New Roman"/>
          <w:sz w:val="18"/>
          <w:szCs w:val="18"/>
          <w:color w:val="auto"/>
        </w:rPr>
      </w:pPr>
    </w:p>
    <w:p>
      <w:pPr>
        <w:ind w:right="240" w:firstLine="424"/>
        <w:spacing w:after="0" w:line="262" w:lineRule="auto"/>
        <w:tabs>
          <w:tab w:leader="none" w:pos="6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General Counsel for the Company</w:t>
      </w:r>
      <w:r>
        <w:rPr>
          <w:rFonts w:ascii="Times New Roman" w:cs="Times New Roman" w:eastAsia="Times New Roman" w:hAnsi="Times New Roman"/>
          <w:sz w:val="18"/>
          <w:szCs w:val="18"/>
          <w:color w:val="auto"/>
        </w:rPr>
        <w:t>. Alexander Dimitrief, Senior Vice President, General Counsel and Secretary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have furnished to the Underwriters, at the request of the Company, his written opinion, dated the Closing Date and addressed to the Underwriters, in form and substance reasonably satisfactory to the Underwriters to the effect set forth in Annex B-3 hereto.</w:t>
      </w:r>
    </w:p>
    <w:p>
      <w:pPr>
        <w:spacing w:after="0" w:line="67" w:lineRule="exact"/>
        <w:rPr>
          <w:rFonts w:ascii="Times New Roman" w:cs="Times New Roman" w:eastAsia="Times New Roman" w:hAnsi="Times New Roman"/>
          <w:sz w:val="18"/>
          <w:szCs w:val="18"/>
          <w:color w:val="auto"/>
        </w:rPr>
      </w:pPr>
    </w:p>
    <w:p>
      <w:pPr>
        <w:ind w:right="20" w:firstLine="424"/>
        <w:spacing w:after="0" w:line="257" w:lineRule="auto"/>
        <w:tabs>
          <w:tab w:leader="none" w:pos="6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Warburg Selling Stockholders. </w:t>
      </w:r>
      <w:r>
        <w:rPr>
          <w:rFonts w:ascii="Times New Roman" w:cs="Times New Roman" w:eastAsia="Times New Roman" w:hAnsi="Times New Roman"/>
          <w:sz w:val="18"/>
          <w:szCs w:val="18"/>
          <w:color w:val="auto"/>
        </w:rPr>
        <w:t>Cleary Gottlieb Steen &amp; Hamilton LLP, counsel for Bull Holdco, L.P. and Bull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Co-Invest L.P. (collectively, the “Warburg Selling Stockholders”), shall have furnished to the Underwriters, at the request of the Warburg Selling Stockholders, their written opinion, dated the Closing Date and addressed to the Underwriters, in form and substance reasonably satisfactory to the Underwriters, to the effect set forth in Annex B-4 hereto.</w:t>
      </w:r>
    </w:p>
    <w:p>
      <w:pPr>
        <w:spacing w:after="0" w:line="71" w:lineRule="exact"/>
        <w:rPr>
          <w:rFonts w:ascii="Times New Roman" w:cs="Times New Roman" w:eastAsia="Times New Roman" w:hAnsi="Times New Roman"/>
          <w:sz w:val="18"/>
          <w:szCs w:val="18"/>
          <w:color w:val="auto"/>
        </w:rPr>
      </w:pPr>
    </w:p>
    <w:p>
      <w:pPr>
        <w:ind w:firstLine="424"/>
        <w:spacing w:after="0" w:line="257" w:lineRule="auto"/>
        <w:tabs>
          <w:tab w:leader="none" w:pos="6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GTCR Selling Stockholders. </w:t>
      </w:r>
      <w:r>
        <w:rPr>
          <w:rFonts w:ascii="Times New Roman" w:cs="Times New Roman" w:eastAsia="Times New Roman" w:hAnsi="Times New Roman"/>
          <w:sz w:val="18"/>
          <w:szCs w:val="18"/>
          <w:color w:val="auto"/>
        </w:rPr>
        <w:t>Kirkland &amp; Ellis LLP, counsel for GTCR Fund XI/A LP, GTCR Fund XI/C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GTCR Co-Invest XI LP (collectively, the “GTCR 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B-5 hereto.</w:t>
      </w:r>
    </w:p>
    <w:p>
      <w:pPr>
        <w:spacing w:after="0" w:line="71" w:lineRule="exact"/>
        <w:rPr>
          <w:rFonts w:ascii="Times New Roman" w:cs="Times New Roman" w:eastAsia="Times New Roman" w:hAnsi="Times New Roman"/>
          <w:sz w:val="18"/>
          <w:szCs w:val="18"/>
          <w:color w:val="auto"/>
        </w:rPr>
      </w:pPr>
    </w:p>
    <w:p>
      <w:pPr>
        <w:ind w:right="20" w:firstLine="424"/>
        <w:spacing w:after="0" w:line="257" w:lineRule="auto"/>
        <w:tabs>
          <w:tab w:leader="none" w:pos="6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Delaware Counsel for the GTCR Selling Stockholders. </w:t>
      </w:r>
      <w:r>
        <w:rPr>
          <w:rFonts w:ascii="Times New Roman" w:cs="Times New Roman" w:eastAsia="Times New Roman" w:hAnsi="Times New Roman"/>
          <w:sz w:val="18"/>
          <w:szCs w:val="18"/>
          <w:color w:val="auto"/>
        </w:rPr>
        <w:t>Richards, Layton &amp; Finger, P.A., Delaware counsel for the GTCR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B-6 hereto.</w:t>
      </w:r>
    </w:p>
    <w:p>
      <w:pPr>
        <w:spacing w:after="0" w:line="71" w:lineRule="exact"/>
        <w:rPr>
          <w:rFonts w:ascii="Times New Roman" w:cs="Times New Roman" w:eastAsia="Times New Roman" w:hAnsi="Times New Roman"/>
          <w:sz w:val="18"/>
          <w:szCs w:val="18"/>
          <w:color w:val="auto"/>
        </w:rPr>
      </w:pPr>
    </w:p>
    <w:p>
      <w:pPr>
        <w:ind w:right="200" w:firstLine="424"/>
        <w:spacing w:after="0" w:line="257" w:lineRule="auto"/>
        <w:tabs>
          <w:tab w:leader="none" w:pos="7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Underwriters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addressed to the Underwriters, of Simpson Thacher &amp; Bartlett LLP, counsel for the Underwriters, with respect to such matters as the Underwriters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right="160" w:firstLine="424"/>
        <w:spacing w:after="0" w:line="257" w:lineRule="auto"/>
        <w:tabs>
          <w:tab w:leader="none" w:pos="6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Sale. </w:t>
      </w:r>
      <w:r>
        <w:rPr>
          <w:rFonts w:ascii="Times New Roman" w:cs="Times New Roman" w:eastAsia="Times New Roman" w:hAnsi="Times New Roman"/>
          <w:sz w:val="18"/>
          <w:szCs w:val="18"/>
          <w:color w:val="auto"/>
        </w:rPr>
        <w:t>No action shall have been taken and no statute, rule, regulation or order shall have been enacted,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issued by any federal, state or foreign governmental or regulatory authority that would, as of the Closing Date prevent the sale of the Shares; and no injunction or order of any federal, state or foreign court shall have been issued that would, as of the Closing Date prevent the sale of the Shares.</w:t>
      </w:r>
    </w:p>
    <w:p>
      <w:pPr>
        <w:spacing w:after="0" w:line="1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40"/>
          </w:cols>
          <w:pgMar w:left="940" w:top="266" w:right="519" w:bottom="1440" w:gutter="0" w:footer="0" w:header="0"/>
        </w:sectPr>
      </w:pPr>
    </w:p>
    <w:bookmarkStart w:id="34" w:name="page35"/>
    <w:bookmarkEnd w:id="34"/>
    <w:p>
      <w:pPr>
        <w:ind w:left="420" w:right="40" w:firstLine="424"/>
        <w:spacing w:after="0" w:line="257" w:lineRule="auto"/>
        <w:tabs>
          <w:tab w:leader="none" w:pos="10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Underwriters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Significant Subsidiaries in their respective jurisdictions of organization and their good standing in such other jurisdictions as the Underwriters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left="420" w:right="80" w:firstLine="424"/>
        <w:spacing w:after="0" w:line="278" w:lineRule="auto"/>
        <w:tabs>
          <w:tab w:leader="none" w:pos="10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shall have been approved for listing on the Nasdaq Market,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52" w:lineRule="exact"/>
        <w:rPr>
          <w:rFonts w:ascii="Times New Roman" w:cs="Times New Roman" w:eastAsia="Times New Roman" w:hAnsi="Times New Roman"/>
          <w:sz w:val="18"/>
          <w:szCs w:val="18"/>
          <w:color w:val="auto"/>
        </w:rPr>
      </w:pPr>
    </w:p>
    <w:p>
      <w:pPr>
        <w:ind w:left="420" w:right="120" w:firstLine="424"/>
        <w:spacing w:after="0" w:line="257" w:lineRule="auto"/>
        <w:tabs>
          <w:tab w:leader="none" w:pos="10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between the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executive officers and directors of the Company and the Selling Stockholders,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relating to sales and certain other dispositions of shares of Stock or certain other securities, delivered to the Underwriters on or before the date hereof, shall be full force and effect on the Closing Date.</w:t>
      </w:r>
    </w:p>
    <w:p>
      <w:pPr>
        <w:spacing w:after="0" w:line="71" w:lineRule="exact"/>
        <w:rPr>
          <w:rFonts w:ascii="Times New Roman" w:cs="Times New Roman" w:eastAsia="Times New Roman" w:hAnsi="Times New Roman"/>
          <w:sz w:val="18"/>
          <w:szCs w:val="18"/>
          <w:color w:val="auto"/>
        </w:rPr>
      </w:pPr>
    </w:p>
    <w:p>
      <w:pPr>
        <w:ind w:left="420" w:right="860" w:firstLine="424"/>
        <w:spacing w:after="0" w:line="278" w:lineRule="auto"/>
        <w:tabs>
          <w:tab w:leader="none" w:pos="10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and the Selling Stockholders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further certificates and documents as the Underwriters may reasonably request.</w:t>
      </w:r>
    </w:p>
    <w:p>
      <w:pPr>
        <w:spacing w:after="0" w:line="161" w:lineRule="exact"/>
        <w:rPr>
          <w:sz w:val="20"/>
          <w:szCs w:val="20"/>
          <w:color w:val="auto"/>
        </w:rPr>
      </w:pPr>
    </w:p>
    <w:p>
      <w:pPr>
        <w:ind w:right="380" w:firstLine="434"/>
        <w:spacing w:after="0" w:line="276"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3" w:lineRule="exact"/>
        <w:rPr>
          <w:sz w:val="20"/>
          <w:szCs w:val="20"/>
          <w:color w:val="auto"/>
        </w:rPr>
      </w:pPr>
    </w:p>
    <w:p>
      <w:pPr>
        <w:ind w:left="600" w:hanging="173"/>
        <w:spacing w:after="0"/>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427"/>
        <w:spacing w:after="0" w:line="249"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by the Company. </w:t>
      </w:r>
      <w:r>
        <w:rPr>
          <w:rFonts w:ascii="Times New Roman" w:cs="Times New Roman" w:eastAsia="Times New Roman" w:hAnsi="Times New Roman"/>
          <w:sz w:val="18"/>
          <w:szCs w:val="18"/>
          <w:color w:val="auto"/>
        </w:rPr>
        <w:t>The Company agrees to indemnify and hold harmless each Underwriter,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expressly for use therein, it being understood and agreed that the only such information furnished by any Underwriter consists of the information described as such in paragraph (d) below.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20"/>
          </w:cols>
          <w:pgMar w:left="520" w:top="266" w:right="559" w:bottom="1440" w:gutter="0" w:footer="0" w:header="0"/>
        </w:sectPr>
      </w:pPr>
    </w:p>
    <w:bookmarkStart w:id="35" w:name="page36"/>
    <w:bookmarkEnd w:id="35"/>
    <w:p>
      <w:pPr>
        <w:ind w:left="-20" w:firstLine="427"/>
        <w:spacing w:after="0" w:line="266" w:lineRule="auto"/>
        <w:tabs>
          <w:tab w:leader="none" w:pos="66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Indemnification of the Selling Stockholders by the Company</w:t>
      </w:r>
      <w:r>
        <w:rPr>
          <w:rFonts w:ascii="Times New Roman" w:cs="Times New Roman" w:eastAsia="Times New Roman" w:hAnsi="Times New Roman"/>
          <w:sz w:val="17"/>
          <w:szCs w:val="17"/>
          <w:color w:val="auto"/>
        </w:rPr>
        <w:t>. The Company agrees to indemnify and hold harmless each Selling Stockholder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the Selling Stockholder Information.</w:t>
      </w:r>
    </w:p>
    <w:p>
      <w:pPr>
        <w:spacing w:after="0" w:line="172" w:lineRule="exact"/>
        <w:rPr>
          <w:rFonts w:ascii="Times New Roman" w:cs="Times New Roman" w:eastAsia="Times New Roman" w:hAnsi="Times New Roman"/>
          <w:sz w:val="17"/>
          <w:szCs w:val="17"/>
          <w:color w:val="auto"/>
        </w:rPr>
      </w:pPr>
    </w:p>
    <w:p>
      <w:pPr>
        <w:ind w:left="-20" w:right="80" w:firstLine="427"/>
        <w:spacing w:after="0" w:line="269" w:lineRule="auto"/>
        <w:tabs>
          <w:tab w:leader="none" w:pos="65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the Underwriters by the Selling Stockholders</w:t>
      </w:r>
      <w:r>
        <w:rPr>
          <w:rFonts w:ascii="Times New Roman" w:cs="Times New Roman" w:eastAsia="Times New Roman" w:hAnsi="Times New Roman"/>
          <w:sz w:val="17"/>
          <w:szCs w:val="17"/>
          <w:color w:val="auto"/>
        </w:rPr>
        <w:t>. Each of the Selling Stockholders severally in proportion to the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to the extent, and only to the extent, that such losses, claims, damages or liabilities arise out of, or are based upon, any untrue statement or omission or alleged untrue statement or omission made in reliance upon and in conformity with any Selling Stockholder Information relating to such Selling Stockholder in the Registration Statement, the Prospectus (or any amendment or supplement thereto), any Preliminary Prospectus, any Issuer Free Writing Prospectus or the Pricing Disclosure Package.</w:t>
      </w:r>
    </w:p>
    <w:p>
      <w:pPr>
        <w:spacing w:after="0" w:line="170" w:lineRule="exact"/>
        <w:rPr>
          <w:rFonts w:ascii="Times New Roman" w:cs="Times New Roman" w:eastAsia="Times New Roman" w:hAnsi="Times New Roman"/>
          <w:sz w:val="17"/>
          <w:szCs w:val="17"/>
          <w:color w:val="auto"/>
        </w:rPr>
      </w:pPr>
    </w:p>
    <w:p>
      <w:pPr>
        <w:ind w:left="-20" w:right="40" w:firstLine="427"/>
        <w:spacing w:after="0" w:line="250"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Selling Stockholders by the Underwriters. </w:t>
      </w:r>
      <w:r>
        <w:rPr>
          <w:rFonts w:ascii="Times New Roman" w:cs="Times New Roman" w:eastAsia="Times New Roman" w:hAnsi="Times New Roman"/>
          <w:sz w:val="18"/>
          <w:szCs w:val="18"/>
          <w:color w:val="auto"/>
        </w:rPr>
        <w:t>Each Underwriter agrees, severally and not jointly,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information contained in the third, tenth and eleventh paragraphs under the caption “Underwriting.”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00"/>
          </w:cols>
          <w:pgMar w:left="540" w:top="266" w:right="559" w:bottom="1440" w:gutter="0" w:footer="0" w:header="0"/>
        </w:sectPr>
      </w:pPr>
    </w:p>
    <w:bookmarkStart w:id="36" w:name="page37"/>
    <w:bookmarkEnd w:id="36"/>
    <w:p>
      <w:pPr>
        <w:ind w:firstLine="427"/>
        <w:spacing w:after="0" w:line="263" w:lineRule="auto"/>
        <w:tabs>
          <w:tab w:leader="none" w:pos="67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Notice and Procedures. </w:t>
      </w:r>
      <w:r>
        <w:rPr>
          <w:rFonts w:ascii="Times New Roman" w:cs="Times New Roman" w:eastAsia="Times New Roman" w:hAnsi="Times New Roman"/>
          <w:sz w:val="17"/>
          <w:szCs w:val="17"/>
          <w:color w:val="auto"/>
        </w:rPr>
        <w:t>If any suit, action, proceeding (including any governmental or regulatory investigation), claim or demand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Underwriters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selling a majority of the Shares under this Agreement.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40"/>
          </w:cols>
          <w:pgMar w:left="520" w:top="266" w:right="539" w:bottom="1440" w:gutter="0" w:footer="0" w:header="0"/>
        </w:sectPr>
      </w:pPr>
    </w:p>
    <w:bookmarkStart w:id="37" w:name="page38"/>
    <w:bookmarkEnd w:id="37"/>
    <w:p>
      <w:pPr>
        <w:ind w:left="7" w:right="16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7" w:lineRule="exact"/>
        <w:rPr>
          <w:sz w:val="20"/>
          <w:szCs w:val="20"/>
          <w:color w:val="auto"/>
        </w:rPr>
      </w:pPr>
    </w:p>
    <w:p>
      <w:pPr>
        <w:ind w:left="7" w:right="20" w:firstLine="427"/>
        <w:spacing w:after="0" w:line="249" w:lineRule="auto"/>
        <w:tabs>
          <w:tab w:leader="none" w:pos="6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(b), (c) or (d) above is unavailable to an Indemnified Person or insufficient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w:t>
      </w:r>
    </w:p>
    <w:p>
      <w:pPr>
        <w:spacing w:after="0" w:line="186" w:lineRule="exact"/>
        <w:rPr>
          <w:rFonts w:ascii="Times New Roman" w:cs="Times New Roman" w:eastAsia="Times New Roman" w:hAnsi="Times New Roman"/>
          <w:sz w:val="18"/>
          <w:szCs w:val="18"/>
          <w:color w:val="auto"/>
        </w:rPr>
      </w:pPr>
    </w:p>
    <w:p>
      <w:pPr>
        <w:ind w:left="7" w:firstLine="427"/>
        <w:spacing w:after="0" w:line="255" w:lineRule="auto"/>
        <w:tabs>
          <w:tab w:leader="none" w:pos="6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Selling Stockholders and the Underwriters agree that it would not be just and equitable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pursuant to paragraph (f)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Selling Stockholders or the Underwriters were treated as one entity for such purpose) or by any other method of allocation that does not take account of the equitable considerations referred to in paragraph</w:t>
      </w:r>
    </w:p>
    <w:p>
      <w:pPr>
        <w:ind w:left="227" w:hanging="227"/>
        <w:spacing w:after="0"/>
        <w:tabs>
          <w:tab w:leader="none" w:pos="2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amount paid or payable by an Indemnified Person as a result of the losses, claims, damages and liabilities referred to in paragraph</w:t>
      </w:r>
    </w:p>
    <w:p>
      <w:pPr>
        <w:spacing w:after="0" w:line="6" w:lineRule="exact"/>
        <w:rPr>
          <w:rFonts w:ascii="Times New Roman" w:cs="Times New Roman" w:eastAsia="Times New Roman" w:hAnsi="Times New Roman"/>
          <w:sz w:val="18"/>
          <w:szCs w:val="18"/>
          <w:color w:val="auto"/>
        </w:rPr>
      </w:pPr>
    </w:p>
    <w:p>
      <w:pPr>
        <w:ind w:left="227" w:hanging="227"/>
        <w:spacing w:after="0"/>
        <w:tabs>
          <w:tab w:leader="none" w:pos="2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deemed to include, subject to the limitations</w:t>
      </w:r>
    </w:p>
    <w:p>
      <w:pPr>
        <w:spacing w:after="0" w:line="13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47"/>
          </w:cols>
          <w:pgMar w:left="513" w:top="268" w:right="539" w:bottom="1440" w:gutter="0" w:footer="0" w:header="0"/>
        </w:sectPr>
      </w:pPr>
    </w:p>
    <w:bookmarkStart w:id="38" w:name="page39"/>
    <w:bookmarkEnd w:id="38"/>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set forth above, any reasonable legal or other expenses incurred by such Indemnified Person in connection with any such action or claim. Notwithstanding the provisions of paragraphs (f) and (g),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(f) and (g) are several in proportion to their respective purchase obligations hereunder and not joint.</w:t>
      </w:r>
    </w:p>
    <w:p>
      <w:pPr>
        <w:spacing w:after="0" w:line="187" w:lineRule="exact"/>
        <w:rPr>
          <w:sz w:val="20"/>
          <w:szCs w:val="20"/>
          <w:color w:val="auto"/>
        </w:rPr>
      </w:pPr>
    </w:p>
    <w:p>
      <w:pPr>
        <w:ind w:right="60" w:firstLine="427"/>
        <w:spacing w:after="0" w:line="262"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Stockholder Liability</w:t>
      </w:r>
      <w:r>
        <w:rPr>
          <w:rFonts w:ascii="Times New Roman" w:cs="Times New Roman" w:eastAsia="Times New Roman" w:hAnsi="Times New Roman"/>
          <w:sz w:val="18"/>
          <w:szCs w:val="18"/>
          <w:color w:val="auto"/>
        </w:rPr>
        <w:t>. The liability of each Selling Stockholder under the indemnity and contribution agreements contained in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9(c) and 9(f) shall not exceed the aggregate gross proceeds after underwriting commissions and discounts, but before expenses, to such Selling Stockholder from the sale of the Shares sold by such Selling Stockholder pursuant to this Agreement.</w:t>
      </w:r>
    </w:p>
    <w:p>
      <w:pPr>
        <w:spacing w:after="0" w:line="174" w:lineRule="exact"/>
        <w:rPr>
          <w:rFonts w:ascii="Times New Roman" w:cs="Times New Roman" w:eastAsia="Times New Roman" w:hAnsi="Times New Roman"/>
          <w:sz w:val="18"/>
          <w:szCs w:val="18"/>
          <w:color w:val="auto"/>
        </w:rPr>
      </w:pPr>
    </w:p>
    <w:p>
      <w:pPr>
        <w:ind w:right="420" w:firstLine="427"/>
        <w:spacing w:after="0" w:line="278" w:lineRule="auto"/>
        <w:tabs>
          <w:tab w:leader="none" w:pos="6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9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1" w:lineRule="exact"/>
        <w:rPr>
          <w:sz w:val="20"/>
          <w:szCs w:val="20"/>
          <w:color w:val="auto"/>
        </w:rPr>
      </w:pPr>
    </w:p>
    <w:p>
      <w:pPr>
        <w:ind w:left="700" w:hanging="273"/>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18" w:lineRule="exact"/>
        <w:rPr>
          <w:rFonts w:ascii="Times New Roman" w:cs="Times New Roman" w:eastAsia="Times New Roman" w:hAnsi="Times New Roman"/>
          <w:sz w:val="18"/>
          <w:szCs w:val="18"/>
          <w:color w:val="auto"/>
        </w:rPr>
      </w:pPr>
    </w:p>
    <w:p>
      <w:pPr>
        <w:ind w:firstLine="427"/>
        <w:spacing w:after="0" w:line="251" w:lineRule="auto"/>
        <w:tabs>
          <w:tab w:leader="none" w:pos="6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Underwriters, by notice to the Company and the Selling Stockholders,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Underwriters, is material and adverse and makes it impracticable or inadvisable to proceed with the offering, sale or delivery of the Shares on the Closing Date on the terms and in the manner contemplated by this Agreement, the Pricing Disclosure Package and the Prospectus.</w:t>
      </w:r>
    </w:p>
    <w:p>
      <w:pPr>
        <w:spacing w:after="0" w:line="185" w:lineRule="exact"/>
        <w:rPr>
          <w:rFonts w:ascii="Times New Roman" w:cs="Times New Roman" w:eastAsia="Times New Roman" w:hAnsi="Times New Roman"/>
          <w:sz w:val="18"/>
          <w:szCs w:val="18"/>
          <w:color w:val="auto"/>
        </w:rPr>
      </w:pPr>
    </w:p>
    <w:p>
      <w:pPr>
        <w:ind w:left="700" w:hanging="273"/>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60" w:firstLine="427"/>
        <w:spacing w:after="0" w:line="256" w:lineRule="auto"/>
        <w:tabs>
          <w:tab w:leader="none" w:pos="6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40"/>
          </w:cols>
          <w:pgMar w:left="520" w:top="268" w:right="539" w:bottom="1440" w:gutter="0" w:footer="0" w:header="0"/>
        </w:sectPr>
      </w:pPr>
    </w:p>
    <w:bookmarkStart w:id="39" w:name="page40"/>
    <w:bookmarkEnd w:id="39"/>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85" w:lineRule="exact"/>
        <w:rPr>
          <w:sz w:val="20"/>
          <w:szCs w:val="20"/>
          <w:color w:val="auto"/>
        </w:rPr>
      </w:pPr>
    </w:p>
    <w:p>
      <w:pPr>
        <w:ind w:right="20" w:firstLine="427"/>
        <w:spacing w:after="0" w:line="252" w:lineRule="auto"/>
        <w:tabs>
          <w:tab w:leader="none" w:pos="6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6" w:lineRule="exact"/>
        <w:rPr>
          <w:rFonts w:ascii="Times New Roman" w:cs="Times New Roman" w:eastAsia="Times New Roman" w:hAnsi="Times New Roman"/>
          <w:sz w:val="18"/>
          <w:szCs w:val="18"/>
          <w:color w:val="auto"/>
        </w:rPr>
      </w:pPr>
    </w:p>
    <w:p>
      <w:pPr>
        <w:ind w:firstLine="427"/>
        <w:spacing w:after="0" w:line="251" w:lineRule="auto"/>
        <w:tabs>
          <w:tab w:leader="none" w:pos="6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exceeds one-eleventh of the aggregate amount of Shares to be purchased on such date, or if the Company and the Selling Stockholders shall not exercise the right described in paragraph (b) above, then this Agreement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w:t>
      </w:r>
    </w:p>
    <w:p>
      <w:pPr>
        <w:spacing w:after="0" w:line="188" w:lineRule="exact"/>
        <w:rPr>
          <w:rFonts w:ascii="Times New Roman" w:cs="Times New Roman" w:eastAsia="Times New Roman" w:hAnsi="Times New Roman"/>
          <w:sz w:val="18"/>
          <w:szCs w:val="18"/>
          <w:color w:val="auto"/>
        </w:rPr>
      </w:pPr>
    </w:p>
    <w:p>
      <w:pPr>
        <w:ind w:right="220" w:firstLine="427"/>
        <w:spacing w:after="0" w:line="276" w:lineRule="auto"/>
        <w:tabs>
          <w:tab w:leader="none" w:pos="6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the Selling Stockholders or any non-defaulting Underwriter for damages caused by its default.</w:t>
      </w:r>
    </w:p>
    <w:p>
      <w:pPr>
        <w:spacing w:after="0" w:line="161" w:lineRule="exact"/>
        <w:rPr>
          <w:sz w:val="20"/>
          <w:szCs w:val="20"/>
          <w:color w:val="auto"/>
        </w:rPr>
      </w:pPr>
    </w:p>
    <w:p>
      <w:pPr>
        <w:ind w:left="700" w:hanging="273"/>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1" w:lineRule="exact"/>
        <w:rPr>
          <w:sz w:val="20"/>
          <w:szCs w:val="20"/>
          <w:color w:val="auto"/>
        </w:rPr>
      </w:pPr>
    </w:p>
    <w:p>
      <w:pPr>
        <w:ind w:right="160" w:firstLine="427"/>
        <w:spacing w:after="0" w:line="256" w:lineRule="auto"/>
        <w:tabs>
          <w:tab w:leader="none" w:pos="6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and the Selling Stockholders’ obligations hereunder, including without limitation, (i) the costs incident to the authorization, issuance, sale, preparation and delivery of the Shares and, subject to the last sentence of this paragraph, any stamp or other issuance or transfer taxes payable in that connection; (ii) the costs incident to the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40"/>
          </w:cols>
          <w:pgMar w:left="520" w:top="268" w:right="539" w:bottom="1440" w:gutter="0" w:footer="0" w:header="0"/>
        </w:sectPr>
      </w:pPr>
    </w:p>
    <w:bookmarkStart w:id="40" w:name="page41"/>
    <w:bookmarkEnd w:id="40"/>
    <w:p>
      <w:pPr>
        <w:ind w:left="7" w:right="12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fees and expenses of counsel to the Selling Stockholders pursuant to the Second Amended and Restated Registration Rights Agreement, dated as of November 19, 2020 by and among the Company and certain stockholders, or as otherwise approved by the Company; (iv) the reasonable fees and expenses incurred in connection with the registration or qualification and determination of eligibility for investment of the Shares under the laws of such jurisdictions as the Underwriters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w:t>
      </w:r>
    </w:p>
    <w:p>
      <w:pPr>
        <w:spacing w:after="0" w:line="3" w:lineRule="exact"/>
        <w:rPr>
          <w:sz w:val="20"/>
          <w:szCs w:val="20"/>
          <w:color w:val="auto"/>
        </w:rPr>
      </w:pPr>
    </w:p>
    <w:p>
      <w:pPr>
        <w:ind w:left="7" w:right="20" w:hanging="7"/>
        <w:spacing w:after="0" w:line="247" w:lineRule="auto"/>
        <w:tabs>
          <w:tab w:leader="none" w:pos="3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(such application fees and the fees and disbursements of counsel for the Underwriters pursuant to this clause (vii) shall not exceed $25,000); (viii) all expenses incurred by the Company in connection with any “road show” presentation to potential investors; and (ix) all expenses and application fees related to the listing of the Shares on the Nasdaq Market. It is, however, understood that except as provided in this Section 13 or Section 9 hereof, the Underwriters shall pay all of their own costs and expenses, including, without limitation, the fees and disbursements of their counsel, stock transfer taxes payable on resale of any Shares by them and any advertising expenses connected with any offers they make. Each Selling Stockholder further agrees with the Underwriters to pay (directly or by reimbursement) any stock transfer taxes, stamp duties and other similar taxes incident to the sale and delivery of the Shares to be sold by such Selling Stockholder to the Underwriters hereunder.</w:t>
      </w:r>
    </w:p>
    <w:p>
      <w:pPr>
        <w:spacing w:after="0" w:line="193" w:lineRule="exact"/>
        <w:rPr>
          <w:rFonts w:ascii="Times New Roman" w:cs="Times New Roman" w:eastAsia="Times New Roman" w:hAnsi="Times New Roman"/>
          <w:sz w:val="18"/>
          <w:szCs w:val="18"/>
          <w:color w:val="auto"/>
        </w:rPr>
      </w:pPr>
    </w:p>
    <w:p>
      <w:pPr>
        <w:ind w:left="7" w:right="80" w:firstLine="427"/>
        <w:spacing w:after="0" w:line="256" w:lineRule="auto"/>
        <w:tabs>
          <w:tab w:leader="none" w:pos="6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2" w:lineRule="exact"/>
        <w:rPr>
          <w:sz w:val="20"/>
          <w:szCs w:val="20"/>
          <w:color w:val="auto"/>
        </w:rPr>
      </w:pPr>
    </w:p>
    <w:p>
      <w:pPr>
        <w:ind w:left="7" w:firstLine="427"/>
        <w:spacing w:after="0" w:line="254" w:lineRule="auto"/>
        <w:tabs>
          <w:tab w:leader="none" w:pos="7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2" w:lineRule="exact"/>
        <w:rPr>
          <w:rFonts w:ascii="Times New Roman" w:cs="Times New Roman" w:eastAsia="Times New Roman" w:hAnsi="Times New Roman"/>
          <w:sz w:val="18"/>
          <w:szCs w:val="18"/>
          <w:color w:val="auto"/>
        </w:rPr>
      </w:pPr>
    </w:p>
    <w:p>
      <w:pPr>
        <w:ind w:left="7" w:right="80" w:firstLine="427"/>
        <w:spacing w:after="0" w:line="254" w:lineRule="auto"/>
        <w:tabs>
          <w:tab w:leader="none" w:pos="7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w:t>
      </w:r>
    </w:p>
    <w:p>
      <w:pPr>
        <w:spacing w:after="0" w:line="1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67"/>
          </w:cols>
          <w:pgMar w:left="513" w:top="268" w:right="519" w:bottom="1440" w:gutter="0" w:footer="0" w:header="0"/>
        </w:sectPr>
      </w:pPr>
    </w:p>
    <w:bookmarkStart w:id="41" w:name="page42"/>
    <w:bookmarkEnd w:id="41"/>
    <w:p>
      <w:pPr>
        <w:jc w:val="both"/>
        <w:ind w:left="-40" w:right="120" w:firstLine="427"/>
        <w:spacing w:after="0" w:line="25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set forth in Rule 1-02 of Regulation S-X under the Exchange Act.</w:t>
      </w:r>
    </w:p>
    <w:p>
      <w:pPr>
        <w:spacing w:after="0" w:line="181" w:lineRule="exact"/>
        <w:rPr>
          <w:rFonts w:ascii="Times New Roman" w:cs="Times New Roman" w:eastAsia="Times New Roman" w:hAnsi="Times New Roman"/>
          <w:sz w:val="18"/>
          <w:szCs w:val="18"/>
          <w:color w:val="auto"/>
        </w:rPr>
      </w:pPr>
    </w:p>
    <w:p>
      <w:pPr>
        <w:ind w:left="-40" w:firstLine="427"/>
        <w:spacing w:after="0" w:line="25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81" w:lineRule="exact"/>
        <w:rPr>
          <w:rFonts w:ascii="Times New Roman" w:cs="Times New Roman" w:eastAsia="Times New Roman" w:hAnsi="Times New Roman"/>
          <w:sz w:val="18"/>
          <w:szCs w:val="18"/>
          <w:color w:val="auto"/>
        </w:rPr>
      </w:pPr>
    </w:p>
    <w:p>
      <w:pPr>
        <w:ind w:left="660" w:hanging="273"/>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40" w:right="140" w:firstLine="427"/>
        <w:spacing w:after="0" w:line="262" w:lineRule="auto"/>
        <w:tabs>
          <w:tab w:leader="none" w:pos="6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Goldman Sachs &amp; Co. LLC, 200 West Street, New York, New York 10282-2198, Attention: Registration Department, email at registration-syndops@ny.email.gs.com.</w:t>
      </w:r>
    </w:p>
    <w:p>
      <w:pPr>
        <w:spacing w:after="0" w:line="174" w:lineRule="exact"/>
        <w:rPr>
          <w:rFonts w:ascii="Times New Roman" w:cs="Times New Roman" w:eastAsia="Times New Roman" w:hAnsi="Times New Roman"/>
          <w:sz w:val="18"/>
          <w:szCs w:val="18"/>
          <w:color w:val="auto"/>
        </w:rPr>
      </w:pPr>
    </w:p>
    <w:p>
      <w:pPr>
        <w:ind w:left="-40" w:right="240" w:firstLine="427"/>
        <w:spacing w:after="0" w:line="278" w:lineRule="auto"/>
        <w:tabs>
          <w:tab w:leader="none" w:pos="6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9" w:lineRule="exact"/>
        <w:rPr>
          <w:rFonts w:ascii="Times New Roman" w:cs="Times New Roman" w:eastAsia="Times New Roman" w:hAnsi="Times New Roman"/>
          <w:sz w:val="18"/>
          <w:szCs w:val="18"/>
          <w:color w:val="auto"/>
        </w:rPr>
      </w:pPr>
    </w:p>
    <w:p>
      <w:pPr>
        <w:ind w:left="-40" w:right="60" w:firstLine="427"/>
        <w:spacing w:after="0" w:line="252" w:lineRule="auto"/>
        <w:tabs>
          <w:tab w:leader="none" w:pos="6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Each of the Company and the Selling Stockholders hereby submit to the exclusive jurisdiction of the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p>
    <w:p>
      <w:pPr>
        <w:spacing w:after="0" w:line="182" w:lineRule="exact"/>
        <w:rPr>
          <w:rFonts w:ascii="Times New Roman" w:cs="Times New Roman" w:eastAsia="Times New Roman" w:hAnsi="Times New Roman"/>
          <w:sz w:val="18"/>
          <w:szCs w:val="18"/>
          <w:color w:val="auto"/>
        </w:rPr>
      </w:pPr>
    </w:p>
    <w:p>
      <w:pPr>
        <w:ind w:left="-40" w:right="220" w:firstLine="427"/>
        <w:spacing w:after="0" w:line="278" w:lineRule="auto"/>
        <w:tabs>
          <w:tab w:leader="none" w:pos="6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9" w:lineRule="exact"/>
        <w:rPr>
          <w:rFonts w:ascii="Times New Roman" w:cs="Times New Roman" w:eastAsia="Times New Roman" w:hAnsi="Times New Roman"/>
          <w:sz w:val="18"/>
          <w:szCs w:val="18"/>
          <w:color w:val="auto"/>
        </w:rPr>
      </w:pPr>
    </w:p>
    <w:p>
      <w:pPr>
        <w:ind w:left="620" w:hanging="233"/>
        <w:spacing w:after="0"/>
        <w:tabs>
          <w:tab w:leader="none" w:pos="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60"/>
          </w:cols>
          <w:pgMar w:left="560" w:top="268" w:right="579" w:bottom="1440" w:gutter="0" w:footer="0" w:header="0"/>
        </w:sectPr>
      </w:pPr>
    </w:p>
    <w:bookmarkStart w:id="42" w:name="page43"/>
    <w:bookmarkEnd w:id="42"/>
    <w:p>
      <w:pPr>
        <w:ind w:left="360" w:right="40" w:firstLine="424"/>
        <w:spacing w:after="0" w:line="256" w:lineRule="auto"/>
        <w:tabs>
          <w:tab w:leader="none" w:pos="9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5" w:lineRule="exact"/>
        <w:rPr>
          <w:rFonts w:ascii="Times New Roman" w:cs="Times New Roman" w:eastAsia="Times New Roman" w:hAnsi="Times New Roman"/>
          <w:sz w:val="18"/>
          <w:szCs w:val="18"/>
          <w:color w:val="auto"/>
        </w:rPr>
      </w:pPr>
    </w:p>
    <w:p>
      <w:pPr>
        <w:ind w:left="360" w:firstLine="424"/>
        <w:spacing w:after="0" w:line="256" w:lineRule="auto"/>
        <w:tabs>
          <w:tab w:leader="none" w:pos="10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used in this Section 18(e):</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“BHC Act Affiliate” has the meaning assigned to the term “affiliate” in, and shall be interpreted in accordance with, 12 U.S.C. § 1841(k).</w:t>
      </w:r>
    </w:p>
    <w:p>
      <w:pPr>
        <w:spacing w:after="0" w:line="1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2" w:lineRule="exact"/>
        <w:rPr>
          <w:sz w:val="20"/>
          <w:szCs w:val="20"/>
          <w:color w:val="auto"/>
        </w:rPr>
      </w:pPr>
    </w:p>
    <w:p>
      <w:pPr>
        <w:ind w:left="1560" w:hanging="215"/>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2" w:lineRule="exact"/>
        <w:rPr>
          <w:rFonts w:ascii="Times New Roman" w:cs="Times New Roman" w:eastAsia="Times New Roman" w:hAnsi="Times New Roman"/>
          <w:sz w:val="18"/>
          <w:szCs w:val="18"/>
          <w:color w:val="auto"/>
        </w:rPr>
      </w:pPr>
    </w:p>
    <w:p>
      <w:pPr>
        <w:ind w:left="1600" w:hanging="255"/>
        <w:spacing w:after="0"/>
        <w:tabs>
          <w:tab w:leader="none" w:pos="1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2" w:lineRule="exact"/>
        <w:rPr>
          <w:rFonts w:ascii="Times New Roman" w:cs="Times New Roman" w:eastAsia="Times New Roman" w:hAnsi="Times New Roman"/>
          <w:sz w:val="18"/>
          <w:szCs w:val="18"/>
          <w:color w:val="auto"/>
        </w:rPr>
      </w:pPr>
    </w:p>
    <w:p>
      <w:pPr>
        <w:ind w:left="1660" w:hanging="315"/>
        <w:spacing w:after="0"/>
        <w:tabs>
          <w:tab w:leader="none" w:pos="1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2" w:lineRule="exact"/>
        <w:rPr>
          <w:sz w:val="20"/>
          <w:szCs w:val="20"/>
          <w:color w:val="auto"/>
        </w:rPr>
      </w:pPr>
    </w:p>
    <w:p>
      <w:pPr>
        <w:ind w:left="920" w:right="80"/>
        <w:spacing w:after="0" w:line="276"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5" w:lineRule="exact"/>
        <w:rPr>
          <w:sz w:val="20"/>
          <w:szCs w:val="20"/>
          <w:color w:val="auto"/>
        </w:rPr>
      </w:pPr>
    </w:p>
    <w:p>
      <w:pPr>
        <w:ind w:left="1160" w:hanging="250"/>
        <w:spacing w:after="0"/>
        <w:tabs>
          <w:tab w:leader="none" w:pos="11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197" w:lineRule="exact"/>
        <w:rPr>
          <w:rFonts w:ascii="Times New Roman" w:cs="Times New Roman" w:eastAsia="Times New Roman" w:hAnsi="Times New Roman"/>
          <w:sz w:val="18"/>
          <w:szCs w:val="18"/>
          <w:color w:val="auto"/>
        </w:rPr>
      </w:pPr>
    </w:p>
    <w:p>
      <w:pPr>
        <w:ind w:left="-60" w:right="120" w:firstLine="427"/>
        <w:spacing w:after="0" w:line="253" w:lineRule="auto"/>
        <w:tabs>
          <w:tab w:leader="none" w:pos="5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40"/>
          </w:cols>
          <w:pgMar w:left="580" w:top="268" w:right="579" w:bottom="1440" w:gutter="0" w:footer="0" w:header="0"/>
        </w:sectPr>
      </w:pPr>
    </w:p>
    <w:bookmarkStart w:id="43" w:name="page44"/>
    <w:bookmarkEnd w:id="43"/>
    <w:p>
      <w:pPr>
        <w:ind w:left="-240" w:right="500" w:firstLine="427"/>
        <w:spacing w:after="0" w:line="278" w:lineRule="auto"/>
        <w:tabs>
          <w:tab w:leader="none" w:pos="4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9" w:lineRule="exact"/>
        <w:rPr>
          <w:rFonts w:ascii="Times New Roman" w:cs="Times New Roman" w:eastAsia="Times New Roman" w:hAnsi="Times New Roman"/>
          <w:sz w:val="18"/>
          <w:szCs w:val="18"/>
          <w:color w:val="auto"/>
        </w:rPr>
      </w:pPr>
    </w:p>
    <w:p>
      <w:pPr>
        <w:ind w:left="-240" w:firstLine="427"/>
        <w:spacing w:after="0" w:line="278" w:lineRule="auto"/>
        <w:tabs>
          <w:tab w:leader="none" w:pos="4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360"/>
          </w:cols>
          <w:pgMar w:left="760" w:top="266" w:right="779" w:bottom="1440" w:gutter="0" w:footer="0" w:header="0"/>
        </w:sectPr>
      </w:pPr>
    </w:p>
    <w:bookmarkStart w:id="44" w:name="page45"/>
    <w:bookmarkEnd w:id="44"/>
    <w:p>
      <w:pPr>
        <w:ind w:right="360" w:firstLine="434"/>
        <w:spacing w:after="0" w:line="27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19" w:lineRule="exact"/>
        <w:rPr>
          <w:sz w:val="20"/>
          <w:szCs w:val="20"/>
          <w:color w:val="auto"/>
        </w:rPr>
      </w:pPr>
    </w:p>
    <w:tbl>
      <w:tblPr>
        <w:tblLayout w:type="fixed"/>
        <w:tblInd w:w="652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Jonathan M. Lyons</w:t>
            </w:r>
          </w:p>
        </w:tc>
      </w:tr>
      <w:tr>
        <w:trPr>
          <w:trHeight w:val="188"/>
        </w:trPr>
        <w:tc>
          <w:tcPr>
            <w:tcW w:w="5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Jonathan M. Lyons</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10860"/>
          </w:cols>
          <w:pgMar w:left="520" w:top="268" w:right="519" w:bottom="1440" w:gutter="0" w:footer="0" w:header="0"/>
        </w:sectPr>
      </w:pPr>
    </w:p>
    <w:bookmarkStart w:id="45" w:name="page46"/>
    <w:bookmarkEnd w:id="45"/>
    <w:tbl>
      <w:tblPr>
        <w:tblLayout w:type="fixed"/>
        <w:tblInd w:w="5600" w:type="dxa"/>
        <w:tblCellMar>
          <w:top w:w="0" w:type="dxa"/>
          <w:left w:w="0" w:type="dxa"/>
          <w:bottom w:w="0" w:type="dxa"/>
          <w:right w:w="0" w:type="dxa"/>
        </w:tblCellMar>
      </w:tblPr>
      <w:tr>
        <w:trPr>
          <w:trHeight w:val="232"/>
        </w:trPr>
        <w:tc>
          <w:tcPr>
            <w:tcW w:w="5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STOCKHOLDERS</w:t>
            </w:r>
          </w:p>
        </w:tc>
      </w:tr>
      <w:tr>
        <w:trPr>
          <w:trHeight w:val="42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BULL HOLDCO, L.P.</w:t>
            </w: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WP Bull Holdco GP LLC, its general partner</w:t>
            </w:r>
          </w:p>
        </w:tc>
      </w:tr>
      <w:tr>
        <w:trPr>
          <w:trHeight w:val="4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Warburg Pincus Private Equity XI, L.P.,</w:t>
            </w:r>
          </w:p>
        </w:tc>
      </w:tr>
      <w:tr>
        <w:trPr>
          <w:trHeight w:val="232"/>
        </w:trPr>
        <w:tc>
          <w:tcPr>
            <w:tcW w:w="5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its sole and managing member</w:t>
            </w: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WP Global LLC, its general partner</w:t>
            </w:r>
          </w:p>
        </w:tc>
      </w:tr>
      <w:tr>
        <w:trPr>
          <w:trHeight w:val="4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Warburg Pincus Partners II, L.P.,</w:t>
            </w:r>
          </w:p>
        </w:tc>
      </w:tr>
      <w:tr>
        <w:trPr>
          <w:trHeight w:val="232"/>
        </w:trPr>
        <w:tc>
          <w:tcPr>
            <w:tcW w:w="50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Warburg Pincus Partners GP LLC, its general partner</w:t>
            </w: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2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Sreter</w:t>
            </w:r>
          </w:p>
        </w:tc>
      </w:tr>
      <w:tr>
        <w:trPr>
          <w:trHeight w:val="188"/>
        </w:trPr>
        <w:tc>
          <w:tcPr>
            <w:tcW w:w="5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w w:val="99"/>
              </w:rPr>
              <w:t>Name:</w:t>
            </w:r>
          </w:p>
        </w:tc>
        <w:tc>
          <w:tcPr>
            <w:tcW w:w="38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David Sreter</w:t>
            </w: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w:t>
            </w:r>
          </w:p>
        </w:tc>
      </w:tr>
      <w:tr>
        <w:trPr>
          <w:trHeight w:val="42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BULL CO-INVEST L.P.</w:t>
            </w: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WP Bull Manager, LLC, its general partner</w:t>
            </w: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Warburg Pincus &amp; Co., its sole member</w:t>
            </w:r>
          </w:p>
        </w:tc>
      </w:tr>
      <w:tr>
        <w:trPr>
          <w:trHeight w:val="42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Sreter</w:t>
            </w:r>
          </w:p>
        </w:tc>
      </w:tr>
      <w:tr>
        <w:trPr>
          <w:trHeight w:val="188"/>
        </w:trPr>
        <w:tc>
          <w:tcPr>
            <w:tcW w:w="5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w w:val="99"/>
              </w:rPr>
              <w:t>Name:</w:t>
            </w:r>
          </w:p>
        </w:tc>
        <w:tc>
          <w:tcPr>
            <w:tcW w:w="384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David Sreter</w:t>
            </w:r>
          </w:p>
        </w:tc>
      </w:tr>
      <w:tr>
        <w:trPr>
          <w:trHeight w:val="2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940"/>
          </w:cols>
          <w:pgMar w:left="1440" w:top="268" w:right="519" w:bottom="1440" w:gutter="0" w:footer="0" w:header="0"/>
        </w:sectPr>
      </w:pPr>
    </w:p>
    <w:bookmarkStart w:id="46" w:name="page47"/>
    <w:bookmarkEnd w:id="46"/>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GTCR FUND XI/A LP</w:t>
      </w:r>
    </w:p>
    <w:p>
      <w:pPr>
        <w:spacing w:after="0" w:line="221" w:lineRule="exact"/>
        <w:rPr>
          <w:sz w:val="20"/>
          <w:szCs w:val="20"/>
          <w:color w:val="auto"/>
        </w:rPr>
      </w:pPr>
    </w:p>
    <w:tbl>
      <w:tblPr>
        <w:tblLayout w:type="fixed"/>
        <w:tblInd w:w="5600" w:type="dxa"/>
        <w:tblCellMar>
          <w:top w:w="0" w:type="dxa"/>
          <w:left w:w="0" w:type="dxa"/>
          <w:bottom w:w="0" w:type="dxa"/>
          <w:right w:w="0" w:type="dxa"/>
        </w:tblCellMar>
      </w:tblP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GTCR Partners XI/A&amp;C LP, its general partner</w:t>
            </w: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GTCR Investment XI LLC, its general partner</w:t>
            </w: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Sean L. Cunningham</w:t>
            </w:r>
          </w:p>
        </w:tc>
      </w:tr>
      <w:tr>
        <w:trPr>
          <w:trHeight w:val="188"/>
        </w:trPr>
        <w:tc>
          <w:tcPr>
            <w:tcW w:w="5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Sean L. Cunningham</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r>
      <w:tr>
        <w:trPr>
          <w:trHeight w:val="42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GTCR FUND XI/C LP</w:t>
            </w: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GTCR Partners XI/A&amp;C LP, its general partner</w:t>
            </w: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GTCR Investment XI LLC, its general partner</w:t>
            </w: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Sean L. Cunningham</w:t>
            </w:r>
          </w:p>
        </w:tc>
      </w:tr>
      <w:tr>
        <w:trPr>
          <w:trHeight w:val="188"/>
        </w:trPr>
        <w:tc>
          <w:tcPr>
            <w:tcW w:w="5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Sean L. Cunningham</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r>
      <w:tr>
        <w:trPr>
          <w:trHeight w:val="42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GTCR CO-INVEST XI LP</w:t>
            </w: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GTCR Investment XI LLC, its general partner</w:t>
            </w: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Sean L. Cunningham</w:t>
            </w:r>
          </w:p>
        </w:tc>
      </w:tr>
      <w:tr>
        <w:trPr>
          <w:trHeight w:val="188"/>
        </w:trPr>
        <w:tc>
          <w:tcPr>
            <w:tcW w:w="5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Sean L. Cunningham</w:t>
            </w:r>
          </w:p>
        </w:tc>
      </w:tr>
      <w:tr>
        <w:trPr>
          <w:trHeight w:val="2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940"/>
          </w:cols>
          <w:pgMar w:left="1440" w:top="266"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Accepted: As of the date first written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listed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15240</wp:posOffset>
            </wp:positionV>
            <wp:extent cx="2560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Lyla Bibi Maduri</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1"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Sotera Health Company Underwriting Agreement</w:t>
      </w:r>
      <w:r>
        <w:rPr>
          <w:rFonts w:ascii="Times New Roman" w:cs="Times New Roman" w:eastAsia="Times New Roman" w:hAnsi="Times New Roman"/>
          <w:sz w:val="18"/>
          <w:szCs w:val="18"/>
          <w:color w:val="auto"/>
        </w:rPr>
        <w:t>]</w:t>
      </w:r>
    </w:p>
    <w:p>
      <w:pPr>
        <w:sectPr>
          <w:pgSz w:w="11900" w:h="16838" w:orient="portrait"/>
          <w:cols w:equalWidth="0" w:num="1">
            <w:col w:w="9939"/>
          </w:cols>
          <w:pgMar w:left="520" w:top="268"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2"/>
        </w:trPr>
        <w:tc>
          <w:tcPr>
            <w:tcW w:w="70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9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5"/>
              </w:rPr>
              <w:t>Schedule 1</w:t>
            </w:r>
          </w:p>
        </w:tc>
      </w:tr>
      <w:tr>
        <w:trPr>
          <w:trHeight w:val="405"/>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Underwriter</w:t>
            </w:r>
          </w:p>
        </w:tc>
        <w:tc>
          <w:tcPr>
            <w:tcW w:w="8260" w:type="dxa"/>
            <w:vAlign w:val="bottom"/>
          </w:tcPr>
          <w:p>
            <w:pPr>
              <w:spacing w:after="0"/>
              <w:rPr>
                <w:sz w:val="24"/>
                <w:szCs w:val="24"/>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Number of Underwritten Shares</w:t>
            </w:r>
          </w:p>
        </w:tc>
      </w:tr>
      <w:tr>
        <w:trPr>
          <w:trHeight w:val="200"/>
        </w:trPr>
        <w:tc>
          <w:tcPr>
            <w:tcW w:w="8960" w:type="dxa"/>
            <w:vAlign w:val="bottom"/>
            <w:tcBorders>
              <w:top w:val="single" w:sz="8" w:color="CCEEFF"/>
            </w:tcBorders>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Goldman Sachs &amp; Co. LLC</w:t>
            </w:r>
          </w:p>
        </w:tc>
        <w:tc>
          <w:tcPr>
            <w:tcW w:w="1840" w:type="dxa"/>
            <w:vAlign w:val="bottom"/>
            <w:tcBorders>
              <w:top w:val="single" w:sz="8" w:color="auto"/>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30,000,000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25"/>
        </w:trPr>
        <w:tc>
          <w:tcPr>
            <w:tcW w:w="8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860"/>
          </w:cols>
          <w:pgMar w:left="520" w:top="268" w:right="5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49" w:name="page50"/>
    <w:bookmarkEnd w:id="49"/>
    <w:tbl>
      <w:tblPr>
        <w:tblLayout w:type="fixed"/>
        <w:tblInd w:w="0" w:type="dxa"/>
        <w:tblCellMar>
          <w:top w:w="0" w:type="dxa"/>
          <w:left w:w="0" w:type="dxa"/>
          <w:bottom w:w="0" w:type="dxa"/>
          <w:right w:w="0" w:type="dxa"/>
        </w:tblCellMar>
      </w:tblPr>
      <w:tr>
        <w:trPr>
          <w:trHeight w:val="232"/>
        </w:trPr>
        <w:tc>
          <w:tcPr>
            <w:tcW w:w="11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Schedule 2</w:t>
            </w:r>
          </w:p>
        </w:tc>
        <w:tc>
          <w:tcPr>
            <w:tcW w:w="0" w:type="dxa"/>
            <w:vAlign w:val="bottom"/>
          </w:tcPr>
          <w:p>
            <w:pPr>
              <w:spacing w:after="0"/>
              <w:rPr>
                <w:sz w:val="1"/>
                <w:szCs w:val="1"/>
                <w:color w:val="auto"/>
              </w:rPr>
            </w:pPr>
          </w:p>
        </w:tc>
      </w:tr>
      <w:tr>
        <w:trPr>
          <w:trHeight w:val="363"/>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Selling Stockholders</w:t>
            </w:r>
          </w:p>
        </w:tc>
        <w:tc>
          <w:tcPr>
            <w:tcW w:w="8460" w:type="dxa"/>
            <w:vAlign w:val="bottom"/>
            <w:vMerge w:val="restart"/>
          </w:tcPr>
          <w:p>
            <w:pPr>
              <w:spacing w:after="0"/>
              <w:rPr>
                <w:sz w:val="24"/>
                <w:szCs w:val="24"/>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vMerge w:val="continue"/>
          </w:tcPr>
          <w:p>
            <w:pPr>
              <w:spacing w:after="0"/>
              <w:rPr>
                <w:sz w:val="15"/>
                <w:szCs w:val="15"/>
                <w:color w:val="auto"/>
              </w:rPr>
            </w:pPr>
          </w:p>
        </w:tc>
        <w:tc>
          <w:tcPr>
            <w:tcW w:w="8460" w:type="dxa"/>
            <w:vAlign w:val="bottom"/>
            <w:vMerge w:val="continue"/>
          </w:tcPr>
          <w:p>
            <w:pPr>
              <w:spacing w:after="0"/>
              <w:rPr>
                <w:sz w:val="15"/>
                <w:szCs w:val="15"/>
                <w:color w:val="auto"/>
              </w:rPr>
            </w:pP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Underwritten Shares:</w:t>
            </w:r>
          </w:p>
        </w:tc>
        <w:tc>
          <w:tcPr>
            <w:tcW w:w="0" w:type="dxa"/>
            <w:vAlign w:val="bottom"/>
          </w:tcPr>
          <w:p>
            <w:pPr>
              <w:spacing w:after="0"/>
              <w:rPr>
                <w:sz w:val="1"/>
                <w:szCs w:val="1"/>
                <w:color w:val="auto"/>
              </w:rPr>
            </w:pPr>
          </w:p>
        </w:tc>
      </w:tr>
      <w:tr>
        <w:trPr>
          <w:trHeight w:val="200"/>
        </w:trPr>
        <w:tc>
          <w:tcPr>
            <w:tcW w:w="9640" w:type="dxa"/>
            <w:vAlign w:val="bottom"/>
            <w:tcBorders>
              <w:top w:val="single" w:sz="8" w:color="CCEEFF"/>
            </w:tcBorders>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Bull Holdco, L.P.</w:t>
            </w:r>
          </w:p>
        </w:tc>
        <w:tc>
          <w:tcPr>
            <w:tcW w:w="1220" w:type="dxa"/>
            <w:vAlign w:val="bottom"/>
            <w:tcBorders>
              <w:top w:val="single" w:sz="8" w:color="auto"/>
            </w:tcBorders>
            <w:shd w:val="clear" w:color="auto" w:fill="CCEEFF"/>
          </w:tcPr>
          <w:p>
            <w:pPr>
              <w:jc w:val="center"/>
              <w:spacing w:after="0" w:line="200" w:lineRule="exact"/>
              <w:rPr>
                <w:sz w:val="20"/>
                <w:szCs w:val="20"/>
                <w:color w:val="auto"/>
              </w:rPr>
            </w:pPr>
            <w:r>
              <w:rPr>
                <w:rFonts w:ascii="Times New Roman" w:cs="Times New Roman" w:eastAsia="Times New Roman" w:hAnsi="Times New Roman"/>
                <w:sz w:val="18"/>
                <w:szCs w:val="18"/>
                <w:color w:val="auto"/>
                <w:w w:val="96"/>
              </w:rPr>
              <w:t>14,405,046</w:t>
            </w:r>
          </w:p>
        </w:tc>
        <w:tc>
          <w:tcPr>
            <w:tcW w:w="0" w:type="dxa"/>
            <w:vAlign w:val="bottom"/>
          </w:tcPr>
          <w:p>
            <w:pPr>
              <w:spacing w:after="0"/>
              <w:rPr>
                <w:sz w:val="1"/>
                <w:szCs w:val="1"/>
                <w:color w:val="auto"/>
              </w:rPr>
            </w:pPr>
          </w:p>
        </w:tc>
      </w:tr>
      <w:tr>
        <w:trPr>
          <w:trHeight w:val="213"/>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Bull Co-Invest L.P.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3,594,954</w:t>
            </w:r>
          </w:p>
        </w:tc>
        <w:tc>
          <w:tcPr>
            <w:tcW w:w="0" w:type="dxa"/>
            <w:vAlign w:val="bottom"/>
          </w:tcPr>
          <w:p>
            <w:pPr>
              <w:spacing w:after="0"/>
              <w:rPr>
                <w:sz w:val="1"/>
                <w:szCs w:val="1"/>
                <w:color w:val="auto"/>
              </w:rPr>
            </w:pPr>
          </w:p>
        </w:tc>
      </w:tr>
      <w:tr>
        <w:trPr>
          <w:trHeight w:val="213"/>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Fund XI/A LP</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9,524,136</w:t>
            </w:r>
          </w:p>
        </w:tc>
        <w:tc>
          <w:tcPr>
            <w:tcW w:w="0" w:type="dxa"/>
            <w:vAlign w:val="bottom"/>
          </w:tcPr>
          <w:p>
            <w:pPr>
              <w:spacing w:after="0"/>
              <w:rPr>
                <w:sz w:val="1"/>
                <w:szCs w:val="1"/>
                <w:color w:val="auto"/>
              </w:rPr>
            </w:pPr>
          </w:p>
        </w:tc>
      </w:tr>
      <w:tr>
        <w:trPr>
          <w:trHeight w:val="213"/>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GTCR Fund XI/C LP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2,399,532</w:t>
            </w:r>
          </w:p>
        </w:tc>
        <w:tc>
          <w:tcPr>
            <w:tcW w:w="0" w:type="dxa"/>
            <w:vAlign w:val="bottom"/>
          </w:tcPr>
          <w:p>
            <w:pPr>
              <w:spacing w:after="0"/>
              <w:rPr>
                <w:sz w:val="1"/>
                <w:szCs w:val="1"/>
                <w:color w:val="auto"/>
              </w:rPr>
            </w:pPr>
          </w:p>
        </w:tc>
      </w:tr>
      <w:tr>
        <w:trPr>
          <w:trHeight w:val="213"/>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GTCR Co-Invest XI LP</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76,332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60"/>
          </w:cols>
          <w:pgMar w:left="520" w:top="268" w:right="5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A</w:t>
      </w:r>
    </w:p>
    <w:p>
      <w:pPr>
        <w:spacing w:after="0" w:line="244" w:lineRule="exact"/>
        <w:rPr>
          <w:sz w:val="20"/>
          <w:szCs w:val="20"/>
          <w:color w:val="auto"/>
        </w:rPr>
      </w:pPr>
    </w:p>
    <w:p>
      <w:pPr>
        <w:ind w:left="427" w:right="8380" w:hanging="427"/>
        <w:spacing w:after="0" w:line="378" w:lineRule="auto"/>
        <w:tabs>
          <w:tab w:leader="none" w:pos="4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Disclosure Package </w:t>
      </w:r>
      <w:r>
        <w:rPr>
          <w:rFonts w:ascii="Times New Roman" w:cs="Times New Roman" w:eastAsia="Times New Roman" w:hAnsi="Times New Roman"/>
          <w:sz w:val="18"/>
          <w:szCs w:val="18"/>
          <w:color w:val="auto"/>
        </w:rPr>
        <w:t>None.</w:t>
      </w:r>
    </w:p>
    <w:p>
      <w:pPr>
        <w:ind w:left="427" w:right="6340" w:hanging="427"/>
        <w:spacing w:after="0" w:line="371" w:lineRule="auto"/>
        <w:tabs>
          <w:tab w:leader="none" w:pos="4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Pricing Information Provided Orally by Underwriters </w:t>
      </w:r>
      <w:r>
        <w:rPr>
          <w:rFonts w:ascii="Times New Roman" w:cs="Times New Roman" w:eastAsia="Times New Roman" w:hAnsi="Times New Roman"/>
          <w:sz w:val="18"/>
          <w:szCs w:val="18"/>
          <w:color w:val="auto"/>
        </w:rPr>
        <w:t>Underwritten Shares: 30,000,000</w:t>
      </w:r>
    </w:p>
    <w:p>
      <w:pPr>
        <w:spacing w:after="0" w:line="1" w:lineRule="exact"/>
        <w:rPr>
          <w:rFonts w:ascii="Times New Roman" w:cs="Times New Roman" w:eastAsia="Times New Roman" w:hAnsi="Times New Roman"/>
          <w:sz w:val="18"/>
          <w:szCs w:val="18"/>
          <w:color w:val="auto"/>
        </w:rPr>
      </w:pPr>
    </w:p>
    <w:p>
      <w:pPr>
        <w:ind w:left="427" w:right="3260"/>
        <w:spacing w:after="0" w:line="3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for the shares of Common Stock of the Company shall be $15.70. Trade Date: November 7, 2025</w:t>
      </w:r>
    </w:p>
    <w:p>
      <w:pPr>
        <w:ind w:left="4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Date: November 10, 2025</w:t>
      </w:r>
    </w:p>
    <w:p>
      <w:pPr>
        <w:sectPr>
          <w:pgSz w:w="11900" w:h="16838" w:orient="portrait"/>
          <w:cols w:equalWidth="0" w:num="1">
            <w:col w:w="10867"/>
          </w:cols>
          <w:pgMar w:left="513" w:top="268" w:right="5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B-1</w:t>
      </w:r>
    </w:p>
    <w:p>
      <w:pPr>
        <w:spacing w:after="0" w:line="1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Form of Opinion of Counsel for the Company</w:t>
      </w:r>
    </w:p>
    <w:p>
      <w:pPr>
        <w:spacing w:after="0" w:line="246" w:lineRule="exact"/>
        <w:rPr>
          <w:sz w:val="20"/>
          <w:szCs w:val="20"/>
          <w:color w:val="auto"/>
        </w:rPr>
      </w:pPr>
    </w:p>
    <w:p>
      <w:pPr>
        <w:ind w:left="427" w:hanging="427"/>
        <w:spacing w:after="0"/>
        <w:tabs>
          <w:tab w:leader="none" w:pos="4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validly existing as a corporation in good standing under the laws of the State of Delaware.</w:t>
      </w:r>
    </w:p>
    <w:p>
      <w:pPr>
        <w:spacing w:after="0" w:line="125" w:lineRule="exact"/>
        <w:rPr>
          <w:rFonts w:ascii="Times New Roman" w:cs="Times New Roman" w:eastAsia="Times New Roman" w:hAnsi="Times New Roman"/>
          <w:sz w:val="18"/>
          <w:szCs w:val="18"/>
          <w:color w:val="auto"/>
        </w:rPr>
      </w:pPr>
    </w:p>
    <w:p>
      <w:pPr>
        <w:ind w:left="427" w:right="120" w:hanging="427"/>
        <w:spacing w:after="0" w:line="276" w:lineRule="auto"/>
        <w:tabs>
          <w:tab w:leader="none" w:pos="4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corporate power to own its properties and conduct its business as described in the Pricing Prospectus and the Final Prospectus, and the Company has corporate power to enter into the Underwriting Agreement and to perform its obligations thereunder.</w:t>
      </w:r>
    </w:p>
    <w:p>
      <w:pPr>
        <w:spacing w:after="0" w:line="69" w:lineRule="exact"/>
        <w:rPr>
          <w:rFonts w:ascii="Times New Roman" w:cs="Times New Roman" w:eastAsia="Times New Roman" w:hAnsi="Times New Roman"/>
          <w:sz w:val="18"/>
          <w:szCs w:val="18"/>
          <w:color w:val="auto"/>
        </w:rPr>
      </w:pPr>
    </w:p>
    <w:p>
      <w:pPr>
        <w:ind w:left="427" w:right="300" w:hanging="427"/>
        <w:spacing w:after="0" w:line="256" w:lineRule="auto"/>
        <w:tabs>
          <w:tab w:leader="none" w:pos="4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by all necessary corporate action of the Company, have been validly issued by the Company and are fully paid and nonassessable; and the holders of outstanding shares of capital stock of the Company are not entitled to any preemptive rights to subscribe for the Securities under the Certificate of Incorporation or By-Laws of the Company or the General Corporation Law of the State of Delaware.</w:t>
      </w:r>
    </w:p>
    <w:p>
      <w:pPr>
        <w:spacing w:after="0" w:line="88" w:lineRule="exact"/>
        <w:rPr>
          <w:rFonts w:ascii="Times New Roman" w:cs="Times New Roman" w:eastAsia="Times New Roman" w:hAnsi="Times New Roman"/>
          <w:sz w:val="18"/>
          <w:szCs w:val="18"/>
          <w:color w:val="auto"/>
        </w:rPr>
      </w:pPr>
    </w:p>
    <w:p>
      <w:pPr>
        <w:ind w:left="427" w:right="20" w:hanging="427"/>
        <w:spacing w:after="0" w:line="251" w:lineRule="auto"/>
        <w:tabs>
          <w:tab w:leader="none" w:pos="4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under the heading “Description of Capital Stock” in the Pricing Prospectus and the Final Prospectus, insofar as such statements purport to summarize certain provisions of the Securities and the Certificate of Incorporation of the Company, provide a fair summary of such provisions; the statements under the heading “Underwriting” in the Pricing Prospectus and the Final Prospectus, insofar as such statements purport to summarize certain provisions of the Underwriting Agreement, provide a fair summary of such provisions; and the statements under the heading “Material U.S. Federal Income Tax Considerations for Non-U.S. Holders” in the Pricing Prospectus and the Final Prospectus, insofar as such statements purport to summarize certain federal income tax laws of the United States, constitute a fair summary of the principal U.S. federal income tax consequences to Non-U.S. Holders (as defined therein) of an investment in the Securities.</w:t>
      </w:r>
    </w:p>
    <w:p>
      <w:pPr>
        <w:spacing w:after="0" w:line="95" w:lineRule="exact"/>
        <w:rPr>
          <w:rFonts w:ascii="Times New Roman" w:cs="Times New Roman" w:eastAsia="Times New Roman" w:hAnsi="Times New Roman"/>
          <w:sz w:val="18"/>
          <w:szCs w:val="18"/>
          <w:color w:val="auto"/>
        </w:rPr>
      </w:pPr>
    </w:p>
    <w:p>
      <w:pPr>
        <w:ind w:left="427" w:right="160" w:hanging="427"/>
        <w:spacing w:after="0" w:line="276" w:lineRule="auto"/>
        <w:tabs>
          <w:tab w:leader="none" w:pos="4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Underwriting Agreement have been duly authorized by all necessary corporate action of the Company, and the Underwriting Agreement has been duly executed and delivered by the Company.</w:t>
      </w:r>
    </w:p>
    <w:p>
      <w:pPr>
        <w:spacing w:after="0" w:line="69" w:lineRule="exact"/>
        <w:rPr>
          <w:rFonts w:ascii="Times New Roman" w:cs="Times New Roman" w:eastAsia="Times New Roman" w:hAnsi="Times New Roman"/>
          <w:sz w:val="18"/>
          <w:szCs w:val="18"/>
          <w:color w:val="auto"/>
        </w:rPr>
      </w:pPr>
    </w:p>
    <w:p>
      <w:pPr>
        <w:ind w:left="427" w:right="140" w:hanging="427"/>
        <w:spacing w:after="0" w:line="252" w:lineRule="auto"/>
        <w:tabs>
          <w:tab w:leader="none" w:pos="4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Company of its obligations in the Underwriting Agreement will not, (a) require any consent, approval, authorization, registration or qualification of or with any governmental authority of the United States or the State of New York that in our experience normally would be applicable to general business entities with respect to performance, except such as have been obtained or effected under the Securities Act and the Securities Exchange Act of 1934, as amended (but we express no opinion relating to any state securities or Blue Sky laws), (b) result in a breach of any of the terms and provisions of, or constitute a default under, any of the agreements of the Company filed as an exhibit to the Registration Statement, or a violation of the Certificate of</w:t>
      </w:r>
    </w:p>
    <w:p>
      <w:pPr>
        <w:sectPr>
          <w:pgSz w:w="11900" w:h="16838" w:orient="portrait"/>
          <w:cols w:equalWidth="0" w:num="1">
            <w:col w:w="10867"/>
          </w:cols>
          <w:pgMar w:left="513" w:top="268" w:right="519" w:bottom="1440" w:gutter="0" w:footer="0" w:header="0"/>
        </w:sectPr>
      </w:pPr>
    </w:p>
    <w:bookmarkStart w:id="52" w:name="page53"/>
    <w:bookmarkEnd w:id="52"/>
    <w:p>
      <w:pPr>
        <w:ind w:left="427"/>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Incorporation or By-Laws of the Company or (c) result in a violation of any United States federal or New York State law or published rule or regulation that in our experience normally would be applicable to general business entities with respect to such performance (but we express no opinion relating to the United States federal securities laws or any state securities or Blue Sky laws).</w:t>
      </w:r>
    </w:p>
    <w:p>
      <w:pPr>
        <w:spacing w:after="0" w:line="83" w:lineRule="exact"/>
        <w:rPr>
          <w:sz w:val="20"/>
          <w:szCs w:val="20"/>
          <w:color w:val="auto"/>
        </w:rPr>
      </w:pPr>
    </w:p>
    <w:p>
      <w:pPr>
        <w:ind w:left="427" w:right="120" w:hanging="427"/>
        <w:spacing w:after="0" w:line="276" w:lineRule="auto"/>
        <w:tabs>
          <w:tab w:leader="none" w:pos="42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an “investment company” as such term is defined in the U.S. Investment Company Act of 1940, as amended.</w:t>
      </w:r>
    </w:p>
    <w:p>
      <w:pPr>
        <w:sectPr>
          <w:pgSz w:w="11900" w:h="16838" w:orient="portrait"/>
          <w:cols w:equalWidth="0" w:num="1">
            <w:col w:w="10627"/>
          </w:cols>
          <w:pgMar w:left="513" w:top="268" w:right="759" w:bottom="1440" w:gutter="0" w:footer="0" w:header="0"/>
        </w:sectPr>
      </w:pPr>
    </w:p>
    <w:bookmarkStart w:id="53" w:name="page54"/>
    <w:bookmarkEnd w:id="53"/>
    <w:p>
      <w:pPr>
        <w:jc w:val="center"/>
        <w:ind w:righ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Form of 10b-5 Statement of Counsel for the Company</w:t>
      </w:r>
    </w:p>
    <w:p>
      <w:pPr>
        <w:spacing w:after="0" w:line="246" w:lineRule="exact"/>
        <w:rPr>
          <w:sz w:val="20"/>
          <w:szCs w:val="20"/>
          <w:color w:val="auto"/>
        </w:rPr>
      </w:pPr>
    </w:p>
    <w:p>
      <w:pPr>
        <w:ind w:left="427" w:right="300" w:hanging="427"/>
        <w:spacing w:after="0" w:line="283" w:lineRule="auto"/>
        <w:tabs>
          <w:tab w:leader="none" w:pos="42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(except the financial statements and schedules and other financial data included therein, as to which we express no view), at the time it became effective, and the Final Prospectus (except as aforesaid), as of the date thereof, appeared on their face to be appropriately responsive in all material respects to the requirements of the Securities Act and the applicable rules and regulations thereunder.</w:t>
      </w:r>
    </w:p>
    <w:p>
      <w:pPr>
        <w:spacing w:after="0" w:line="67" w:lineRule="exact"/>
        <w:rPr>
          <w:rFonts w:ascii="Times New Roman" w:cs="Times New Roman" w:eastAsia="Times New Roman" w:hAnsi="Times New Roman"/>
          <w:sz w:val="17"/>
          <w:szCs w:val="17"/>
          <w:color w:val="auto"/>
        </w:rPr>
      </w:pPr>
    </w:p>
    <w:p>
      <w:pPr>
        <w:ind w:left="427" w:right="160" w:hanging="427"/>
        <w:spacing w:after="0" w:line="283" w:lineRule="auto"/>
        <w:tabs>
          <w:tab w:leader="none" w:pos="42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information has come to our attention that causes us to believe that the Registration Statement (except the financial statements and schedules and other financial data included therein, as to which we express no view), at the time it became effective, contained an untrue statement of a material fact or omitted to state a material fact required to be stated therein or necessary to make the statements therein not misleading.</w:t>
      </w:r>
    </w:p>
    <w:p>
      <w:pPr>
        <w:spacing w:after="0" w:line="67" w:lineRule="exact"/>
        <w:rPr>
          <w:rFonts w:ascii="Times New Roman" w:cs="Times New Roman" w:eastAsia="Times New Roman" w:hAnsi="Times New Roman"/>
          <w:sz w:val="17"/>
          <w:szCs w:val="17"/>
          <w:color w:val="auto"/>
        </w:rPr>
      </w:pPr>
    </w:p>
    <w:p>
      <w:pPr>
        <w:ind w:left="427" w:hanging="427"/>
        <w:spacing w:after="0" w:line="254" w:lineRule="auto"/>
        <w:tabs>
          <w:tab w:leader="none" w:pos="42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Pricing Prospectus, considered together with the amount and the price to the public of the Securities on the front cover of the Final Prospectus (except in each case the financial statements and schedules and other financial data included therein, as to which we express no view), at [• p.m.] (Eastern time) on November [•], 2025, contained an untrue statement of a material fact or omitted to state a material fact necessary in order to make the statements therein, in the light of the circumstances under which they were made, not misleading.</w:t>
      </w:r>
    </w:p>
    <w:p>
      <w:pPr>
        <w:spacing w:after="0" w:line="89" w:lineRule="exact"/>
        <w:rPr>
          <w:rFonts w:ascii="Times New Roman" w:cs="Times New Roman" w:eastAsia="Times New Roman" w:hAnsi="Times New Roman"/>
          <w:sz w:val="18"/>
          <w:szCs w:val="18"/>
          <w:color w:val="auto"/>
        </w:rPr>
      </w:pPr>
    </w:p>
    <w:p>
      <w:pPr>
        <w:ind w:left="427" w:right="160" w:hanging="427"/>
        <w:spacing w:after="0" w:line="256" w:lineRule="auto"/>
        <w:tabs>
          <w:tab w:leader="none" w:pos="42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has come to our attention that causes us to believe that the Final Prospectus (except the financial statements and schedules and other financial data included therein, as to which we express no view), as of the date thereof or hereof, contained or contains an untrue statement of a material fact or omitted or omits to state a material fact necessary in order to make the statements therein, in the light of the circumstances under which they were made, not misleading.</w:t>
      </w:r>
    </w:p>
    <w:p>
      <w:pPr>
        <w:sectPr>
          <w:pgSz w:w="11900" w:h="16838" w:orient="portrait"/>
          <w:cols w:equalWidth="0" w:num="1">
            <w:col w:w="10847"/>
          </w:cols>
          <w:pgMar w:left="513" w:top="268" w:right="5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B-2</w:t>
      </w:r>
    </w:p>
    <w:p>
      <w:pPr>
        <w:spacing w:after="0" w:line="1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Form of Opinion of Delaware Counsel for the Company</w:t>
      </w:r>
    </w:p>
    <w:p>
      <w:pPr>
        <w:spacing w:after="0" w:line="246" w:lineRule="exact"/>
        <w:rPr>
          <w:sz w:val="20"/>
          <w:szCs w:val="20"/>
          <w:color w:val="auto"/>
        </w:rPr>
      </w:pPr>
    </w:p>
    <w:p>
      <w:pPr>
        <w:ind w:left="427" w:right="340" w:hanging="427"/>
        <w:spacing w:after="0" w:line="276" w:lineRule="auto"/>
        <w:tabs>
          <w:tab w:leader="none" w:pos="4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Underwriting Agreement and the performance by the Company of its obligations under the Underwriting Agreement will not violate the Certificate of Incorporation, the Bylaws or any Delaware law, rule or regulation.</w:t>
      </w:r>
    </w:p>
    <w:p>
      <w:pPr>
        <w:spacing w:after="0" w:line="69" w:lineRule="exact"/>
        <w:rPr>
          <w:rFonts w:ascii="Times New Roman" w:cs="Times New Roman" w:eastAsia="Times New Roman" w:hAnsi="Times New Roman"/>
          <w:sz w:val="18"/>
          <w:szCs w:val="18"/>
          <w:color w:val="auto"/>
        </w:rPr>
      </w:pPr>
    </w:p>
    <w:p>
      <w:pPr>
        <w:ind w:left="427" w:right="500" w:hanging="427"/>
        <w:spacing w:after="0" w:line="261" w:lineRule="auto"/>
        <w:tabs>
          <w:tab w:leader="none" w:pos="42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consent or order of any Delaware court or Delaware governmental authority is required to be obtained by the Company solely in connection with the execution and delivery by the Company of the Underwriting Agreement and the performance by the Company of its obligations under the Underwriting Agreement.</w:t>
      </w:r>
    </w:p>
    <w:p>
      <w:pPr>
        <w:sectPr>
          <w:pgSz w:w="11900" w:h="16838" w:orient="portrait"/>
          <w:cols w:equalWidth="0" w:num="1">
            <w:col w:w="10867"/>
          </w:cols>
          <w:pgMar w:left="513" w:top="268" w:right="5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B-3</w:t>
      </w:r>
    </w:p>
    <w:p>
      <w:pPr>
        <w:spacing w:after="0" w:line="1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Form of Opinion of General Counsel for the Company</w:t>
      </w:r>
    </w:p>
    <w:p>
      <w:pPr>
        <w:spacing w:after="0" w:line="246" w:lineRule="exact"/>
        <w:rPr>
          <w:sz w:val="20"/>
          <w:szCs w:val="20"/>
          <w:color w:val="auto"/>
        </w:rPr>
      </w:pPr>
    </w:p>
    <w:p>
      <w:pPr>
        <w:ind w:left="427" w:right="20" w:hanging="427"/>
        <w:spacing w:after="0" w:line="276" w:lineRule="auto"/>
        <w:tabs>
          <w:tab w:leader="none" w:pos="4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listed on Schedule I hereto has been duly organized and is validly existing and in good standing under the laws of its respective jurisdiction of organization.</w:t>
      </w:r>
    </w:p>
    <w:p>
      <w:pPr>
        <w:spacing w:after="0" w:line="69" w:lineRule="exact"/>
        <w:rPr>
          <w:rFonts w:ascii="Times New Roman" w:cs="Times New Roman" w:eastAsia="Times New Roman" w:hAnsi="Times New Roman"/>
          <w:sz w:val="18"/>
          <w:szCs w:val="18"/>
          <w:color w:val="auto"/>
        </w:rPr>
      </w:pPr>
    </w:p>
    <w:p>
      <w:pPr>
        <w:ind w:left="427" w:right="20" w:hanging="427"/>
        <w:spacing w:after="0" w:line="306" w:lineRule="auto"/>
        <w:tabs>
          <w:tab w:leader="none" w:pos="42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best of my knowledge, the statements set forth under the heading “Risk Factors” in the Registration Statement, the Pricing Prospectus and the Final Prospectus, insofar as such statements purport to summarize certain legal and regulatory matters, provide a fair summary of such matters.</w:t>
      </w:r>
    </w:p>
    <w:p>
      <w:pPr>
        <w:spacing w:after="0" w:line="47" w:lineRule="exact"/>
        <w:rPr>
          <w:rFonts w:ascii="Times New Roman" w:cs="Times New Roman" w:eastAsia="Times New Roman" w:hAnsi="Times New Roman"/>
          <w:sz w:val="17"/>
          <w:szCs w:val="17"/>
          <w:color w:val="auto"/>
        </w:rPr>
      </w:pPr>
    </w:p>
    <w:p>
      <w:pPr>
        <w:ind w:left="427" w:right="20" w:hanging="427"/>
        <w:spacing w:after="0" w:line="251" w:lineRule="auto"/>
        <w:tabs>
          <w:tab w:leader="none" w:pos="4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 there are no current or pending legal, governmental or regulatory actions, suits or proceedings that are required under the Securities Act to be described in the Registration Statement, the Pricing Prospectus or the Final Prospectus and that are not so described in the Registration Statement, the Pricing Prospectus and the Final Prospectus and (b) there are (i) no contracts or other documents that are required under the Securities Act to be filed as exhibits to the Registration Statement that have not been so filed as exhibits to the Registration Statement and (ii) no statutes, regulations, contracts or other documents are required under the Securities Act to be described in the Registration Statement, the Pricing Prospectus or the Final Prospectus that have not been so described in the Registration Statement, the Pricing Prospectus and the Final Prospectus.</w:t>
      </w:r>
    </w:p>
    <w:p>
      <w:pPr>
        <w:spacing w:after="0" w:line="95" w:lineRule="exact"/>
        <w:rPr>
          <w:rFonts w:ascii="Times New Roman" w:cs="Times New Roman" w:eastAsia="Times New Roman" w:hAnsi="Times New Roman"/>
          <w:sz w:val="18"/>
          <w:szCs w:val="18"/>
          <w:color w:val="auto"/>
        </w:rPr>
      </w:pPr>
    </w:p>
    <w:p>
      <w:pPr>
        <w:ind w:left="427" w:hanging="427"/>
        <w:spacing w:after="0"/>
        <w:tabs>
          <w:tab w:leader="none" w:pos="4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capital stock of the Company have been duly and validly authorized and issued and are fully paid and non-assessable.</w:t>
      </w:r>
    </w:p>
    <w:p>
      <w:pPr>
        <w:spacing w:after="0" w:line="125" w:lineRule="exact"/>
        <w:rPr>
          <w:rFonts w:ascii="Times New Roman" w:cs="Times New Roman" w:eastAsia="Times New Roman" w:hAnsi="Times New Roman"/>
          <w:sz w:val="18"/>
          <w:szCs w:val="18"/>
          <w:color w:val="auto"/>
        </w:rPr>
      </w:pPr>
    </w:p>
    <w:p>
      <w:pPr>
        <w:ind w:left="427" w:right="20" w:hanging="427"/>
        <w:spacing w:after="0" w:line="251" w:lineRule="auto"/>
        <w:tabs>
          <w:tab w:leader="none" w:pos="4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from January 1, 2021 to the present the Company, on a consolidated basis, has complied in all material respects with the Food and Drug Laws with respect to its activities and services regulated by the U.S. Food and Drug Administration (“FDA”) or the Drug Enforcement Administration (“DEA”), as applicable, except as described in the Registration Statement, the Pricing Prospectus and the Final Prospectus. “Food and Drug Laws” means the Federal Food, Drug, and Cosmetic Act, the Public Health Service Act, the federal Controlled Substances Act, the applicable rules or regulations of the FDA, the U.S. Department of Health and Human Services, the Centers for Disease Control and Prevention, and the DEA, including those in Titles 21, 42, and 45 of the Code of Federal Regulations, and the applicable laws and regulations of other comparable governmental or regulatory authorities applicable to the testing, manufacture, processing (including by sterilizing or irradiating) or storage of any article tested, manufactured, processed or stored by the Company, on a consolidated basis.</w:t>
      </w:r>
    </w:p>
    <w:p>
      <w:pPr>
        <w:sectPr>
          <w:pgSz w:w="11900" w:h="16838" w:orient="portrait"/>
          <w:cols w:equalWidth="0" w:num="1">
            <w:col w:w="10867"/>
          </w:cols>
          <w:pgMar w:left="513" w:top="268" w:right="5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B-4</w:t>
      </w:r>
    </w:p>
    <w:p>
      <w:pPr>
        <w:spacing w:after="0" w:line="1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Form of Opinion of Counsel for the Warburg Selling Stockholders</w:t>
      </w:r>
    </w:p>
    <w:p>
      <w:pPr>
        <w:spacing w:after="0" w:line="246" w:lineRule="exact"/>
        <w:rPr>
          <w:sz w:val="20"/>
          <w:szCs w:val="20"/>
          <w:color w:val="auto"/>
        </w:rPr>
      </w:pPr>
    </w:p>
    <w:p>
      <w:pPr>
        <w:ind w:left="427" w:hanging="427"/>
        <w:spacing w:after="0"/>
        <w:tabs>
          <w:tab w:leader="none" w:pos="4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is validly existing and in good standing as a limited partnership under the law of the State of Delaware.</w:t>
      </w:r>
    </w:p>
    <w:p>
      <w:pPr>
        <w:spacing w:after="0" w:line="125" w:lineRule="exact"/>
        <w:rPr>
          <w:rFonts w:ascii="Times New Roman" w:cs="Times New Roman" w:eastAsia="Times New Roman" w:hAnsi="Times New Roman"/>
          <w:sz w:val="18"/>
          <w:szCs w:val="18"/>
          <w:color w:val="auto"/>
        </w:rPr>
      </w:pPr>
    </w:p>
    <w:p>
      <w:pPr>
        <w:ind w:left="427" w:right="120" w:hanging="427"/>
        <w:spacing w:after="0" w:line="276" w:lineRule="auto"/>
        <w:tabs>
          <w:tab w:leader="none" w:pos="4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WP Selling Stockholders has limited partnership power to sell the Securities, to execute and deliver the Underwriting Agreement and to perform its obligations thereunder.</w:t>
      </w:r>
    </w:p>
    <w:p>
      <w:pPr>
        <w:spacing w:after="0" w:line="69" w:lineRule="exact"/>
        <w:rPr>
          <w:rFonts w:ascii="Times New Roman" w:cs="Times New Roman" w:eastAsia="Times New Roman" w:hAnsi="Times New Roman"/>
          <w:sz w:val="18"/>
          <w:szCs w:val="18"/>
          <w:color w:val="auto"/>
        </w:rPr>
      </w:pPr>
    </w:p>
    <w:p>
      <w:pPr>
        <w:ind w:left="427" w:right="80" w:hanging="427"/>
        <w:spacing w:after="0" w:line="261" w:lineRule="auto"/>
        <w:tabs>
          <w:tab w:leader="none" w:pos="4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have been duly authorized by all necessary limited partnership action of each WP Selling Stockholder, and the Underwriting Agreement has been duly executed and delivered by each WP Selling Stockholder under the law of the State of New York.</w:t>
      </w:r>
    </w:p>
    <w:p>
      <w:pPr>
        <w:spacing w:after="0" w:line="83" w:lineRule="exact"/>
        <w:rPr>
          <w:rFonts w:ascii="Times New Roman" w:cs="Times New Roman" w:eastAsia="Times New Roman" w:hAnsi="Times New Roman"/>
          <w:sz w:val="18"/>
          <w:szCs w:val="18"/>
          <w:color w:val="auto"/>
        </w:rPr>
      </w:pPr>
    </w:p>
    <w:p>
      <w:pPr>
        <w:ind w:left="427" w:right="40" w:hanging="427"/>
        <w:spacing w:after="0" w:line="249" w:lineRule="auto"/>
        <w:tabs>
          <w:tab w:leader="none" w:pos="4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by the WP Selling Stockholders to the Underwriters pursuant to the Underwriting Agreement does not, and the execution, delivery and performance by the WP Selling Stockholders of their obligations in the Underwriting Agreement will not, (a) require any consent, approval, authorization, registration or qualification of or with any governmental authority of the United States or the State of New York or pursuant to the Delaware Revised Uniform Limited Partnership Act, in each case, that in our experience normally would be applicable to general business entities with respect to such sale, execution, delivery or performance, except such as have been obtained or effected under the Securities Act and the Securities Exchange Act of 1934, as amended (but we express no opinion relating to any state securities or Blue Sky laws), or (b) result in a violation of the Certificate of Limited Partnership or the Amended and Restated Limited Partnership Agreement of any of the WP Selling Stockholders or other agreement or instrument identified on Annex I hereto, or (c) result in a violation of any United States federal or New York State law or published rule or regulation thereunder or the Delaware Revised Uniform Limited Partnership Act that in our experience normally would be applicable to general business entities with respect to such sale or performance (but we express no opinion relating to the United States federal securities laws or any state securities or Blue Sky laws).</w:t>
      </w:r>
    </w:p>
    <w:p>
      <w:pPr>
        <w:spacing w:after="0" w:line="100" w:lineRule="exact"/>
        <w:rPr>
          <w:rFonts w:ascii="Times New Roman" w:cs="Times New Roman" w:eastAsia="Times New Roman" w:hAnsi="Times New Roman"/>
          <w:sz w:val="18"/>
          <w:szCs w:val="18"/>
          <w:color w:val="auto"/>
        </w:rPr>
      </w:pPr>
    </w:p>
    <w:p>
      <w:pPr>
        <w:ind w:left="427" w:right="60" w:hanging="427"/>
        <w:spacing w:after="0" w:line="251" w:lineRule="auto"/>
        <w:tabs>
          <w:tab w:leader="none" w:pos="4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The Depository Trust Company (“DTC”) is a “clearing corporation” as defined in Section 8-102(a)(5) of the Uniform Commercial Code as in effect on the date hereof in the State of New York (the “UCC”), and (b) each of the Underwriters acquires its interest in the Securities it has purchased without notice of any adverse claim (within the meaning of Section 8-105 of the UCC), each Underwriter that has purchased Securities from the WP Selling Stockholders delivered on the date hereof to DTC, made payment therefor pursuant to the Underwriting Agreement and had such Securities credited to a securities account of such Underwriter maintained with DTC will have acquired a securities entitlement (within the meaning of Section 8-102(a)(17) of the UCC) to such Securities, and no action based on an adverse claim may be asserted against such Underwriter with respect to such security entitlement.</w:t>
      </w:r>
    </w:p>
    <w:p>
      <w:pPr>
        <w:sectPr>
          <w:pgSz w:w="11900" w:h="16838" w:orient="portrait"/>
          <w:cols w:equalWidth="0" w:num="1">
            <w:col w:w="10867"/>
          </w:cols>
          <w:pgMar w:left="513" w:top="268" w:right="5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B-5</w:t>
      </w:r>
    </w:p>
    <w:p>
      <w:pPr>
        <w:spacing w:after="0" w:line="219" w:lineRule="exact"/>
        <w:rPr>
          <w:sz w:val="20"/>
          <w:szCs w:val="20"/>
          <w:color w:val="auto"/>
        </w:rPr>
      </w:pPr>
    </w:p>
    <w:p>
      <w:pPr>
        <w:ind w:left="2721"/>
        <w:spacing w:after="0"/>
        <w:rPr>
          <w:sz w:val="20"/>
          <w:szCs w:val="20"/>
          <w:color w:val="auto"/>
        </w:rPr>
      </w:pPr>
      <w:r>
        <w:rPr>
          <w:rFonts w:ascii="Times New Roman" w:cs="Times New Roman" w:eastAsia="Times New Roman" w:hAnsi="Times New Roman"/>
          <w:sz w:val="18"/>
          <w:szCs w:val="18"/>
          <w:color w:val="auto"/>
        </w:rPr>
        <w:t>Form of Opinion of Counsel for the GTCR Selling Stockholders</w:t>
      </w:r>
    </w:p>
    <w:p>
      <w:pPr>
        <w:spacing w:after="0" w:line="246" w:lineRule="exact"/>
        <w:rPr>
          <w:sz w:val="20"/>
          <w:szCs w:val="20"/>
          <w:color w:val="auto"/>
        </w:rPr>
      </w:pPr>
    </w:p>
    <w:p>
      <w:pPr>
        <w:ind w:left="541" w:right="100" w:hanging="541"/>
        <w:spacing w:after="0" w:line="276" w:lineRule="auto"/>
        <w:tabs>
          <w:tab w:leader="none" w:pos="5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been duly executed and delivered by or on behalf of each Selling Stockholder under the law of the State of New York.</w:t>
      </w:r>
    </w:p>
    <w:p>
      <w:pPr>
        <w:spacing w:after="0" w:line="69" w:lineRule="exact"/>
        <w:rPr>
          <w:rFonts w:ascii="Times New Roman" w:cs="Times New Roman" w:eastAsia="Times New Roman" w:hAnsi="Times New Roman"/>
          <w:sz w:val="18"/>
          <w:szCs w:val="18"/>
          <w:color w:val="auto"/>
        </w:rPr>
      </w:pPr>
    </w:p>
    <w:p>
      <w:pPr>
        <w:ind w:left="541" w:right="20" w:hanging="541"/>
        <w:spacing w:after="0" w:line="249" w:lineRule="auto"/>
        <w:tabs>
          <w:tab w:leader="none" w:pos="5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by each Selling Stockholder, and the sale by each Selling Stockholder of the Shares to be sold by such Selling Stockholder in accordance with the provisions of the Underwriting Agreement, do not and will not (i) violate or conflict with any of the terms or provisions of the certificate of limited partnership, limited partnership agreement and/or other organizational document of such Selling Stockholder, (ii) result in any breach of any of the terms and provisions of, or constitute a default (or an event which with notice or lapse of time, or both, would constitute a default) under, any agreement listed on the Specified Contracts Schedule (the “Specified Contracts”), it being expressly understood that in each case we express no opinion as to compliance with any financial covenant or test or cross-default provision in any Specified Contract, (iii) violate or conflict with any judgment, decree or order identified to us by such Selling Stockholder (we note that none were identified) of any court or any judicial, regulatory or other legal or governmental agency or body having jurisdiction over such Selling Stockholder, or (iv) violate any Specified Law, except in each of the cases of clause (ii), for any such violation, conflict, breach or default which has been waived by the party or parties with power to waive such violation, conflict, breach or default.</w:t>
      </w:r>
    </w:p>
    <w:p>
      <w:pPr>
        <w:spacing w:after="0" w:line="100" w:lineRule="exact"/>
        <w:rPr>
          <w:rFonts w:ascii="Times New Roman" w:cs="Times New Roman" w:eastAsia="Times New Roman" w:hAnsi="Times New Roman"/>
          <w:sz w:val="18"/>
          <w:szCs w:val="18"/>
          <w:color w:val="auto"/>
        </w:rPr>
      </w:pPr>
    </w:p>
    <w:p>
      <w:pPr>
        <w:ind w:left="541" w:right="120" w:hanging="541"/>
        <w:spacing w:after="0" w:line="261" w:lineRule="auto"/>
        <w:tabs>
          <w:tab w:leader="none" w:pos="5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to be obtained by any Selling Stockholder under any Specified Law with respect to the sale of the Shares by such Selling Stockholder and the performance by such Selling Stockholder of its obligations under the Underwriting Agreement.</w:t>
      </w:r>
    </w:p>
    <w:p>
      <w:pPr>
        <w:spacing w:after="0" w:line="83" w:lineRule="exact"/>
        <w:rPr>
          <w:rFonts w:ascii="Times New Roman" w:cs="Times New Roman" w:eastAsia="Times New Roman" w:hAnsi="Times New Roman"/>
          <w:sz w:val="18"/>
          <w:szCs w:val="18"/>
          <w:color w:val="auto"/>
        </w:rPr>
      </w:pPr>
    </w:p>
    <w:p>
      <w:pPr>
        <w:ind w:left="541" w:right="40" w:hanging="541"/>
        <w:spacing w:after="0" w:line="263" w:lineRule="auto"/>
        <w:tabs>
          <w:tab w:leader="none" w:pos="54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payment for the Shares to be sold by the Selling Stockholders to the Underwriters pursuant to the Underwriting Agreement, delivery of such Shares, as directed by the Underwriters, to Cede &amp; Co. (“Cede”) or such other nominee as may be designated by the Depository Trust Company (“DTC”), registration of such Shares in the name of Cede or such other nominee and the crediting of such Shares on the records of DTC to securities accounts of such Underwriters: (A) under Section 8-501 of the Uniform Commercial Code as in effect in the State of New York (the “UCC”), such Underwriters will acquire a “security entitlement” (within the meaning of Section 8-102(a)(17) of the UCC) in respect of such Shares; and (B) assuming such Underwriters have so acquired such security entitlement without notice of any adverse claim (within the meaning of Sections 8-102(a)(1) and 8-105 of the UCC) to such Shares, no action based on any adverse claim (within the meaning of Sections 8-102(a)(1) and 8-105 of the UCC) to such Shares may be asserted against such Underwriters with respect to such security entitlements. For purposes of our opinion in this paragraph 4, we have assumed that when such payment, delivery, registration and crediting occur, (x) the Shares being sold by the Selling Stockholders will have been registered in the name of Cede or such other nominee as may be designated by DTC, in each case on the Company’s share registry in accordance with its certificate of incorporation, by-laws and applicable law, (y) DTC will be a “clearing corporation” and thus a “securities intermediary” within the meaning of Section 8-102 of the UCC and its jurisdiction for purposes of Article 8 of the UCC will be the State of the New York and</w:t>
      </w:r>
    </w:p>
    <w:p>
      <w:pPr>
        <w:spacing w:after="0" w:line="3" w:lineRule="exact"/>
        <w:rPr>
          <w:rFonts w:ascii="Times New Roman" w:cs="Times New Roman" w:eastAsia="Times New Roman" w:hAnsi="Times New Roman"/>
          <w:sz w:val="17"/>
          <w:szCs w:val="17"/>
          <w:color w:val="auto"/>
        </w:rPr>
      </w:pPr>
    </w:p>
    <w:p>
      <w:pPr>
        <w:ind w:left="541" w:right="1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appropriate entries to the securities account or accounts in the name of such Underwriters on the records of DTC will have been made pursuant to the UCC.</w:t>
      </w:r>
    </w:p>
    <w:p>
      <w:pPr>
        <w:sectPr>
          <w:pgSz w:w="11900" w:h="16838" w:orient="portrait"/>
          <w:cols w:equalWidth="0" w:num="1">
            <w:col w:w="10441"/>
          </w:cols>
          <w:pgMar w:left="939" w:top="268" w:right="5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Annex B-6</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 Delaware Counsel for the GTCR Selling Stockholders</w:t>
      </w:r>
    </w:p>
    <w:p>
      <w:pPr>
        <w:spacing w:after="0" w:line="219" w:lineRule="exact"/>
        <w:rPr>
          <w:sz w:val="20"/>
          <w:szCs w:val="20"/>
          <w:color w:val="auto"/>
        </w:rPr>
      </w:pPr>
    </w:p>
    <w:p>
      <w:pPr>
        <w:ind w:right="80" w:firstLine="970"/>
        <w:spacing w:after="0" w:line="256" w:lineRule="auto"/>
        <w:tabs>
          <w:tab w:leader="none" w:pos="11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Main Fund General Partner and each Fund has been duly formed and is validly existing in good standing as a limited partnership under the Delaware Revised Uniform Limited Partnership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§17-101,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“LP Act”). The Co-Invest General Partner has been duly formed and is validly existing in good standing as a limited liability company under the Delaware Limited Liability Company Act (6 </w:t>
      </w:r>
      <w:r>
        <w:rPr>
          <w:rFonts w:ascii="Times New Roman" w:cs="Times New Roman" w:eastAsia="Times New Roman" w:hAnsi="Times New Roman"/>
          <w:sz w:val="18"/>
          <w:szCs w:val="18"/>
          <w:u w:val="single" w:color="auto"/>
          <w:color w:val="auto"/>
        </w:rPr>
        <w:t>Del. C.</w:t>
      </w:r>
      <w:r>
        <w:rPr>
          <w:rFonts w:ascii="Times New Roman" w:cs="Times New Roman" w:eastAsia="Times New Roman" w:hAnsi="Times New Roman"/>
          <w:sz w:val="18"/>
          <w:szCs w:val="18"/>
          <w:color w:val="auto"/>
        </w:rPr>
        <w:t xml:space="preserve"> §18-101,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420" w:firstLine="970"/>
        <w:spacing w:after="0" w:line="276" w:lineRule="auto"/>
        <w:tabs>
          <w:tab w:leader="none" w:pos="11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each Fund has the requisite partnership power and authority to execute and deliver, and perform its obligations under, the Transaction Documents to which it is a party.</w:t>
      </w:r>
    </w:p>
    <w:p>
      <w:pPr>
        <w:spacing w:after="0" w:line="162" w:lineRule="exact"/>
        <w:rPr>
          <w:rFonts w:ascii="Times New Roman" w:cs="Times New Roman" w:eastAsia="Times New Roman" w:hAnsi="Times New Roman"/>
          <w:sz w:val="18"/>
          <w:szCs w:val="18"/>
          <w:color w:val="auto"/>
        </w:rPr>
      </w:pPr>
    </w:p>
    <w:p>
      <w:pPr>
        <w:ind w:right="20" w:firstLine="970"/>
        <w:spacing w:after="0" w:line="261" w:lineRule="auto"/>
        <w:tabs>
          <w:tab w:leader="none" w:pos="11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LP Act and its Fund Agreement, the execution and delivery by each Fund of the Transaction Documents to which it is a party, and the performance by each Fund of its obligations thereunder, have been duly authorized by all requisite partnership action on the part of such Fund. Each Fund has duly executed the Transaction Documents to which it is a party.</w:t>
      </w:r>
    </w:p>
    <w:p>
      <w:pPr>
        <w:spacing w:after="0" w:line="176" w:lineRule="exact"/>
        <w:rPr>
          <w:rFonts w:ascii="Times New Roman" w:cs="Times New Roman" w:eastAsia="Times New Roman" w:hAnsi="Times New Roman"/>
          <w:sz w:val="18"/>
          <w:szCs w:val="18"/>
          <w:color w:val="auto"/>
        </w:rPr>
      </w:pPr>
    </w:p>
    <w:p>
      <w:pPr>
        <w:ind w:right="80" w:firstLine="970"/>
        <w:spacing w:after="0" w:line="261" w:lineRule="auto"/>
        <w:tabs>
          <w:tab w:leader="none" w:pos="11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consent, approval or order of any Delaware court or any Delaware governmental or administrative body is required to be obtained by a Fund solely as a result of the execution and delivery by such Fund of the Transaction Documents to which it is a party, or the performance by such Fund of its obligations thereunder.</w:t>
      </w:r>
    </w:p>
    <w:p>
      <w:pPr>
        <w:spacing w:after="0" w:line="176" w:lineRule="exact"/>
        <w:rPr>
          <w:rFonts w:ascii="Times New Roman" w:cs="Times New Roman" w:eastAsia="Times New Roman" w:hAnsi="Times New Roman"/>
          <w:sz w:val="18"/>
          <w:szCs w:val="18"/>
          <w:color w:val="auto"/>
        </w:rPr>
      </w:pPr>
    </w:p>
    <w:p>
      <w:pPr>
        <w:ind w:right="580" w:firstLine="970"/>
        <w:spacing w:after="0" w:line="276" w:lineRule="auto"/>
        <w:tabs>
          <w:tab w:leader="none" w:pos="11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Fund of the Transaction Documents to which it is a party do not violate (i) any Delaware law, rule or regulation, or (ii) its Fund Agreement or its Fund Certificate.</w:t>
      </w:r>
    </w:p>
    <w:p>
      <w:pPr>
        <w:sectPr>
          <w:pgSz w:w="11900" w:h="16838" w:orient="portrait"/>
          <w:cols w:equalWidth="0" w:num="1">
            <w:col w:w="10860"/>
          </w:cols>
          <w:pgMar w:left="520" w:top="268" w:right="5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6,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 SOTERA HEALTH COMPANY — Public Offering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2" w:lineRule="exact"/>
        <w:rPr>
          <w:sz w:val="20"/>
          <w:szCs w:val="20"/>
          <w:color w:val="auto"/>
        </w:rPr>
      </w:pPr>
    </w:p>
    <w:p>
      <w:pPr>
        <w:ind w:right="40" w:firstLine="434"/>
        <w:spacing w:after="0" w:line="251" w:lineRule="auto"/>
        <w:rPr>
          <w:sz w:val="20"/>
          <w:szCs w:val="20"/>
          <w:color w:val="auto"/>
        </w:rPr>
      </w:pPr>
      <w:r>
        <w:rPr>
          <w:rFonts w:ascii="Times New Roman" w:cs="Times New Roman" w:eastAsia="Times New Roman" w:hAnsi="Times New Roman"/>
          <w:sz w:val="18"/>
          <w:szCs w:val="18"/>
          <w:color w:val="auto"/>
        </w:rPr>
        <w:t>The undersigned understands that you, as the several underwriters named in Schedule 1 to the Underwriting Agreement (as defined below) (the “Underwriters”), propose to enter into an underwriting agreement (the “Underwriting Agreement”) with Sotera Health Company (the “Company”) and the Selling Stockholders listed on Schedule 2 to the Underwriting Agreement, providing for the public offering (the “Public Offering”) by the Underwriters, of shares of the Common Stock, par value $0.01 per share (“Common Stock”), of the Company (such shares to be sold in the Public Offering, the “Securities”). In the event only one underwriter is listed in Schedule 1 to the Underwriting Agreement, any references in this Agreement to the “Underwriters” shall be deemed to refer to the sole underwriter in the singular form listed in such Schedule 1. Capitalized terms used herein and not otherwise defined shall have the meanings set forth in the Underwriting Agreement.</w:t>
      </w:r>
    </w:p>
    <w:p>
      <w:pPr>
        <w:spacing w:after="0" w:line="189" w:lineRule="exact"/>
        <w:rPr>
          <w:sz w:val="20"/>
          <w:szCs w:val="20"/>
          <w:color w:val="auto"/>
        </w:rPr>
      </w:pPr>
    </w:p>
    <w:p>
      <w:pPr>
        <w:ind w:firstLine="434"/>
        <w:spacing w:after="0" w:line="265" w:lineRule="auto"/>
        <w:rPr>
          <w:sz w:val="20"/>
          <w:szCs w:val="20"/>
          <w:color w:val="auto"/>
        </w:rPr>
      </w:pPr>
      <w:r>
        <w:rPr>
          <w:rFonts w:ascii="Times New Roman" w:cs="Times New Roman" w:eastAsia="Times New Roman" w:hAnsi="Times New Roman"/>
          <w:sz w:val="17"/>
          <w:szCs w:val="17"/>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30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w:t>
      </w:r>
    </w:p>
    <w:p>
      <w:pPr>
        <w:sectPr>
          <w:pgSz w:w="11900" w:h="16838" w:orient="portrait"/>
          <w:cols w:equalWidth="0" w:num="1">
            <w:col w:w="10860"/>
          </w:cols>
          <w:pgMar w:left="520" w:top="268" w:right="519" w:bottom="1440" w:gutter="0" w:footer="0" w:header="0"/>
        </w:sectPr>
      </w:pPr>
    </w:p>
    <w:bookmarkStart w:id="60" w:name="page61"/>
    <w:bookmarkEnd w:id="6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transaction described in clause (1) or (2) above is to be settled by delivery of Lock-Up Securities, in cash or otherwise, (3) 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Underwriters at least two business days prior to any confidential or non-public submission of a registration statement made during the Restricted Period) or (4) publicly disclose the intention to do any of the foregoing.</w:t>
      </w:r>
    </w:p>
    <w:p>
      <w:pPr>
        <w:spacing w:after="0" w:line="183"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transfer the undersigned’s Lock-Up Securities:</w:t>
      </w:r>
    </w:p>
    <w:p>
      <w:pPr>
        <w:spacing w:after="0" w:line="112" w:lineRule="exact"/>
        <w:rPr>
          <w:sz w:val="20"/>
          <w:szCs w:val="20"/>
          <w:color w:val="auto"/>
        </w:rPr>
      </w:pPr>
    </w:p>
    <w:p>
      <w:pPr>
        <w:ind w:left="640" w:hanging="213"/>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w:t>
      </w:r>
    </w:p>
    <w:p>
      <w:pPr>
        <w:spacing w:after="0" w:line="218"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or by will, testamentary document or intestacy,</w:t>
      </w:r>
    </w:p>
    <w:p>
      <w:pPr>
        <w:spacing w:after="0" w:line="218" w:lineRule="exact"/>
        <w:rPr>
          <w:rFonts w:ascii="Times New Roman" w:cs="Times New Roman" w:eastAsia="Times New Roman" w:hAnsi="Times New Roman"/>
          <w:sz w:val="18"/>
          <w:szCs w:val="18"/>
          <w:color w:val="auto"/>
        </w:rPr>
      </w:pPr>
    </w:p>
    <w:p>
      <w:pPr>
        <w:jc w:val="both"/>
        <w:ind w:right="40" w:firstLine="427"/>
        <w:spacing w:after="0" w:line="256" w:lineRule="auto"/>
        <w:tabs>
          <w:tab w:leader="none" w:pos="7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81" w:lineRule="exact"/>
        <w:rPr>
          <w:rFonts w:ascii="Times New Roman" w:cs="Times New Roman" w:eastAsia="Times New Roman" w:hAnsi="Times New Roman"/>
          <w:sz w:val="18"/>
          <w:szCs w:val="18"/>
          <w:color w:val="auto"/>
        </w:rPr>
      </w:pPr>
    </w:p>
    <w:p>
      <w:pPr>
        <w:ind w:right="40" w:firstLine="427"/>
        <w:spacing w:after="0" w:line="276" w:lineRule="auto"/>
        <w:tabs>
          <w:tab w:leader="none" w:pos="7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ectPr>
          <w:pgSz w:w="11900" w:h="16838" w:orient="portrait"/>
          <w:cols w:equalWidth="0" w:num="1">
            <w:col w:w="10780"/>
          </w:cols>
          <w:pgMar w:left="520" w:top="268" w:right="599" w:bottom="1440" w:gutter="0" w:footer="0" w:header="0"/>
        </w:sectPr>
      </w:pPr>
    </w:p>
    <w:bookmarkStart w:id="61" w:name="page62"/>
    <w:bookmarkEnd w:id="61"/>
    <w:p>
      <w:pPr>
        <w:ind w:left="-427" w:firstLine="427"/>
        <w:spacing w:after="0" w:line="252" w:lineRule="auto"/>
        <w:tabs>
          <w:tab w:leader="none" w:pos="2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w:t>
      </w:r>
    </w:p>
    <w:p>
      <w:pPr>
        <w:spacing w:after="0" w:line="186" w:lineRule="exact"/>
        <w:rPr>
          <w:rFonts w:ascii="Times New Roman" w:cs="Times New Roman" w:eastAsia="Times New Roman" w:hAnsi="Times New Roman"/>
          <w:sz w:val="18"/>
          <w:szCs w:val="18"/>
          <w:color w:val="auto"/>
        </w:rPr>
      </w:pPr>
    </w:p>
    <w:p>
      <w:pPr>
        <w:ind w:left="293" w:hanging="293"/>
        <w:spacing w:after="0"/>
        <w:tabs>
          <w:tab w:leader="none" w:pos="2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(v) above,</w:t>
      </w:r>
    </w:p>
    <w:p>
      <w:pPr>
        <w:spacing w:after="0" w:line="218"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218" w:lineRule="exact"/>
        <w:rPr>
          <w:rFonts w:ascii="Times New Roman" w:cs="Times New Roman" w:eastAsia="Times New Roman" w:hAnsi="Times New Roman"/>
          <w:sz w:val="18"/>
          <w:szCs w:val="18"/>
          <w:color w:val="auto"/>
        </w:rPr>
      </w:pPr>
    </w:p>
    <w:p>
      <w:pPr>
        <w:ind w:left="393" w:hanging="393"/>
        <w:spacing w:after="0"/>
        <w:tabs>
          <w:tab w:leader="none" w:pos="3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218" w:lineRule="exact"/>
        <w:rPr>
          <w:rFonts w:ascii="Times New Roman" w:cs="Times New Roman" w:eastAsia="Times New Roman" w:hAnsi="Times New Roman"/>
          <w:sz w:val="18"/>
          <w:szCs w:val="18"/>
          <w:color w:val="auto"/>
        </w:rPr>
      </w:pPr>
    </w:p>
    <w:p>
      <w:pPr>
        <w:ind w:left="293" w:hanging="293"/>
        <w:spacing w:after="0"/>
        <w:tabs>
          <w:tab w:leader="none" w:pos="2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closing date for the Public Offering,</w:t>
      </w:r>
    </w:p>
    <w:p>
      <w:pPr>
        <w:spacing w:after="0" w:line="218" w:lineRule="exact"/>
        <w:rPr>
          <w:rFonts w:ascii="Times New Roman" w:cs="Times New Roman" w:eastAsia="Times New Roman" w:hAnsi="Times New Roman"/>
          <w:sz w:val="18"/>
          <w:szCs w:val="18"/>
          <w:color w:val="auto"/>
        </w:rPr>
      </w:pPr>
    </w:p>
    <w:p>
      <w:pPr>
        <w:ind w:left="-427" w:right="60" w:firstLine="427"/>
        <w:spacing w:after="0" w:line="251" w:lineRule="auto"/>
        <w:tabs>
          <w:tab w:leader="none" w:pos="2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performance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performance stock units, shares of restricted stock, options, warrants or rights, provided that any such shares of Common Stock received upon such exercise, vesting or settlement shall be subject to the terms of this Letter Agreement, and provided further that any such restricted stock units, performance stock units, shares of restricted stock, options, warrants 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w:t>
      </w:r>
    </w:p>
    <w:p>
      <w:pPr>
        <w:spacing w:after="0" w:line="185" w:lineRule="exact"/>
        <w:rPr>
          <w:rFonts w:ascii="Times New Roman" w:cs="Times New Roman" w:eastAsia="Times New Roman" w:hAnsi="Times New Roman"/>
          <w:sz w:val="18"/>
          <w:szCs w:val="18"/>
          <w:color w:val="auto"/>
        </w:rPr>
      </w:pPr>
    </w:p>
    <w:p>
      <w:pPr>
        <w:ind w:left="-427" w:firstLine="427"/>
        <w:spacing w:after="0" w:line="251" w:lineRule="auto"/>
        <w:tabs>
          <w:tab w:leader="none" w:pos="3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ectPr>
          <w:pgSz w:w="11900" w:h="16838" w:orient="portrait"/>
          <w:cols w:equalWidth="0" w:num="1">
            <w:col w:w="10413"/>
          </w:cols>
          <w:pgMar w:left="947" w:top="268" w:right="539" w:bottom="1440" w:gutter="0" w:footer="0" w:header="0"/>
        </w:sectPr>
      </w:pPr>
    </w:p>
    <w:bookmarkStart w:id="62" w:name="page63"/>
    <w:bookmarkEnd w:id="62"/>
    <w:p>
      <w:pPr>
        <w:ind w:right="20" w:firstLine="427"/>
        <w:spacing w:after="0" w:line="256" w:lineRule="auto"/>
        <w:tabs>
          <w:tab w:leader="none" w:pos="7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pursuant to an order of a court or regulatory agency (for purposes hereof,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related to the undersigned’s ownership of the Lock-Up Securities;</w:t>
      </w:r>
    </w:p>
    <w:p>
      <w:pPr>
        <w:spacing w:after="0" w:line="181" w:lineRule="exact"/>
        <w:rPr>
          <w:rFonts w:ascii="Times New Roman" w:cs="Times New Roman" w:eastAsia="Times New Roman" w:hAnsi="Times New Roman"/>
          <w:sz w:val="18"/>
          <w:szCs w:val="18"/>
          <w:color w:val="auto"/>
        </w:rPr>
      </w:pPr>
    </w:p>
    <w:p>
      <w:pPr>
        <w:ind w:right="540" w:firstLine="427"/>
        <w:spacing w:after="0" w:line="276" w:lineRule="auto"/>
        <w:tabs>
          <w:tab w:leader="none" w:pos="8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the call or put provisions of existing employment agreements and equity grant documents, in each case in existence as of the date hereof; or</w:t>
      </w:r>
    </w:p>
    <w:p>
      <w:pPr>
        <w:spacing w:after="0" w:line="162" w:lineRule="exact"/>
        <w:rPr>
          <w:rFonts w:ascii="Times New Roman" w:cs="Times New Roman" w:eastAsia="Times New Roman" w:hAnsi="Times New Roman"/>
          <w:sz w:val="18"/>
          <w:szCs w:val="18"/>
          <w:color w:val="auto"/>
        </w:rPr>
      </w:pPr>
    </w:p>
    <w:p>
      <w:pPr>
        <w:ind w:right="100" w:firstLine="427"/>
        <w:spacing w:after="0" w:line="256" w:lineRule="auto"/>
        <w:tabs>
          <w:tab w:leader="none" w:pos="8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pledging, hypothecating or otherwise granting a security interest in any Lock-Up Securities to one or more lending institutions as collateral or security for any loan, advance or extension of credit and any transfer upon foreclosure upon such Lock-Up Securities; provided that the undersigned or the Company, as the case may be, shall provide the Underwriters prior written notice informing it of any required public filing, report or announcement to be made by or on behalf of the Company or the undersigned with respect thereto;</w:t>
      </w:r>
    </w:p>
    <w:p>
      <w:pPr>
        <w:spacing w:after="0" w:line="18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Underwriters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made voluntarily in connection with such transfer or distribution during the Restricted Period,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(C) in the case of any transfer pursuant to clause (a)(ix), no filing by the undersigned or any party (transferor or transferee) under the Exchange 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 purchased by the undersigned, or any of its affiliates, in the Public Offering or in open market transactions following the Public Offering, and (D) in the case of any transfer or distribution pursuant to clause (a)(vii),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w:t>
      </w:r>
    </w:p>
    <w:p>
      <w:pPr>
        <w:sectPr>
          <w:pgSz w:w="11900" w:h="16838" w:orient="portrait"/>
          <w:cols w:equalWidth="0" w:num="1">
            <w:col w:w="10860"/>
          </w:cols>
          <w:pgMar w:left="520" w:top="268" w:right="519" w:bottom="1440" w:gutter="0" w:footer="0" w:header="0"/>
        </w:sectPr>
      </w:pPr>
    </w:p>
    <w:bookmarkStart w:id="63" w:name="page64"/>
    <w:bookmarkEnd w:id="63"/>
    <w:p>
      <w:pPr>
        <w:ind w:firstLine="427"/>
        <w:spacing w:after="0" w:line="261" w:lineRule="auto"/>
        <w:tabs>
          <w:tab w:leader="none" w:pos="6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exercise outstanding options, settle restricted stock units, performance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w:t>
      </w:r>
    </w:p>
    <w:p>
      <w:pPr>
        <w:spacing w:after="0" w:line="176" w:lineRule="exact"/>
        <w:rPr>
          <w:rFonts w:ascii="Times New Roman" w:cs="Times New Roman" w:eastAsia="Times New Roman" w:hAnsi="Times New Roman"/>
          <w:sz w:val="18"/>
          <w:szCs w:val="18"/>
          <w:color w:val="auto"/>
        </w:rPr>
      </w:pPr>
    </w:p>
    <w:p>
      <w:pPr>
        <w:ind w:right="20" w:firstLine="427"/>
        <w:spacing w:after="0" w:line="254" w:lineRule="auto"/>
        <w:tabs>
          <w:tab w:leader="none" w:pos="67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w:t>
      </w:r>
    </w:p>
    <w:p>
      <w:pPr>
        <w:spacing w:after="0" w:line="183" w:lineRule="exact"/>
        <w:rPr>
          <w:sz w:val="20"/>
          <w:szCs w:val="20"/>
          <w:color w:val="auto"/>
        </w:rPr>
      </w:pPr>
    </w:p>
    <w:p>
      <w:pPr>
        <w:ind w:right="400" w:firstLine="434"/>
        <w:spacing w:after="0" w:line="261"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7" w:lineRule="exact"/>
        <w:rPr>
          <w:sz w:val="20"/>
          <w:szCs w:val="20"/>
          <w:color w:val="auto"/>
        </w:rPr>
      </w:pPr>
    </w:p>
    <w:p>
      <w:pPr>
        <w:ind w:right="520" w:firstLine="434"/>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7" w:lineRule="exact"/>
        <w:rPr>
          <w:sz w:val="20"/>
          <w:szCs w:val="20"/>
          <w:color w:val="auto"/>
        </w:rPr>
      </w:pPr>
    </w:p>
    <w:p>
      <w:pPr>
        <w:ind w:right="40" w:firstLine="434"/>
        <w:spacing w:after="0" w:line="251"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participate in the Public Offering, enter into this Letter Agreement or sell any Shares at the price determined in the Public Offering, and nothing set forth in such disclosures is intended to suggest that any Underwriter is making such a recommendation.</w:t>
      </w:r>
    </w:p>
    <w:p>
      <w:pPr>
        <w:spacing w:after="0" w:line="189" w:lineRule="exact"/>
        <w:rPr>
          <w:sz w:val="20"/>
          <w:szCs w:val="20"/>
          <w:color w:val="auto"/>
        </w:rPr>
      </w:pPr>
    </w:p>
    <w:p>
      <w:pPr>
        <w:ind w:right="60" w:firstLine="434"/>
        <w:spacing w:after="0" w:line="270" w:lineRule="auto"/>
        <w:rPr>
          <w:sz w:val="20"/>
          <w:szCs w:val="20"/>
          <w:color w:val="auto"/>
        </w:rPr>
      </w:pPr>
      <w:r>
        <w:rPr>
          <w:rFonts w:ascii="Times New Roman" w:cs="Times New Roman" w:eastAsia="Times New Roman" w:hAnsi="Times New Roman"/>
          <w:sz w:val="17"/>
          <w:szCs w:val="17"/>
          <w:color w:val="auto"/>
        </w:rPr>
        <w:t>The undersigned understands that, if (i) prior to entering into the Underwriting Agreement, the Company notifies the Underwriters in writing that the Company does not intend to proceed with the Public Offering, (ii) the Company files an application to withdraw the registration statement related to the Public Offering, (iii) the Underwriting Agreement does not become effective by November 30, 2025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ectPr>
          <w:pgSz w:w="11900" w:h="16838" w:orient="portrait"/>
          <w:cols w:equalWidth="0" w:num="1">
            <w:col w:w="10840"/>
          </w:cols>
          <w:pgMar w:left="520" w:top="268" w:right="539" w:bottom="1440" w:gutter="0" w:footer="0" w:header="0"/>
        </w:sectPr>
      </w:pPr>
    </w:p>
    <w:bookmarkStart w:id="64" w:name="page65"/>
    <w:bookmarkEnd w:id="64"/>
    <w:p>
      <w:pPr>
        <w:ind w:firstLine="434"/>
        <w:spacing w:after="0" w:line="27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9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OF STOCKHOLDER]</w:t>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15240</wp:posOffset>
            </wp:positionV>
            <wp:extent cx="2527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7300" cy="8255"/>
                    </a:xfrm>
                    <a:prstGeom prst="rect">
                      <a:avLst/>
                    </a:prstGeom>
                    <a:noFill/>
                  </pic:spPr>
                </pic:pic>
              </a:graphicData>
            </a:graphic>
          </wp:anchor>
        </w:drawing>
      </w:r>
    </w:p>
    <w:p>
      <w:pPr>
        <w:spacing w:after="0" w:line="1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80"/>
          </w:cols>
          <w:pgMar w:left="520" w:top="268" w:right="5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Exhibit B</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Lock-Up Signatories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Holdco,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 Co-Invest 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XI/A 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Fund XI/C 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GTCR Co-Invest XI 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 Rutz</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Ruoxi Chen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 Cunningham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A. Flynn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R. Klee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 Knauss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Mihas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 Neary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K. Petrella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Wheadon</w:t>
      </w:r>
    </w:p>
    <w:p>
      <w:pPr>
        <w:sectPr>
          <w:pgSz w:w="11900" w:h="16838" w:orient="portrait"/>
          <w:cols w:equalWidth="0" w:num="1">
            <w:col w:w="10860"/>
          </w:cols>
          <w:pgMar w:left="520" w:top="268" w:right="5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7078345" cy="1834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783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10, 2025</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Sotera Health Company Registration Statement on Form S-3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acted as special counsel to Sotera Health Company, a corporation organized under the laws of Delaware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by certain investment funds and entities affiliated with Warburg Pincus and certain investment funds and entities affiliated with GTCR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pursuant to a registration statement on Form S-3 (333-277418) of 30,000,000 of the Company’s shares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$0.01 per share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Such registration statement, as amended as of its most recent effective date (November 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insofar as it relates to the Securities (as determined for purposes of Rule 430B(f)(2) under the Securities Act of 1933, as amended (the “</w:t>
      </w:r>
      <w:r>
        <w:rPr>
          <w:rFonts w:ascii="Times New Roman" w:cs="Times New Roman" w:eastAsia="Times New Roman" w:hAnsi="Times New Roman"/>
          <w:sz w:val="17"/>
          <w:szCs w:val="17"/>
          <w:u w:val="single" w:color="auto"/>
          <w:color w:val="auto"/>
        </w:rPr>
        <w:t>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including the documents incorporated by reference therein,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related prospectus dated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 included in the Registration Statement filed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including the documents incorporated by reference therein, is herein called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the preliminary prospectus supplement dated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2025, as filed with the Commission pursuant to Rule 424(b) under the Securities Act, including the documents incorporated by reference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is herein called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and the related prospectus supplement dated November 6, 2025, as filed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424(b) under the Securities Act, including the documents incorporated by reference therein, is herein called the “</w:t>
      </w:r>
      <w:r>
        <w:rPr>
          <w:rFonts w:ascii="Times New Roman" w:cs="Times New Roman" w:eastAsia="Times New Roman" w:hAnsi="Times New Roman"/>
          <w:sz w:val="18"/>
          <w:szCs w:val="18"/>
          <w:u w:val="single" w:color="auto"/>
          <w:color w:val="auto"/>
        </w:rPr>
        <w:t>Final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Base Prospectus and the Preliminary Prospectus Supplement together are herein called the “</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Prospectus and the Final Prospectus Supplement together are herein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96520</wp:posOffset>
            </wp:positionV>
            <wp:extent cx="4530725" cy="177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30725" cy="177800"/>
                    </a:xfrm>
                    <a:prstGeom prst="rect">
                      <a:avLst/>
                    </a:prstGeom>
                    <a:noFill/>
                  </pic:spPr>
                </pic:pic>
              </a:graphicData>
            </a:graphic>
          </wp:anchor>
        </w:drawing>
      </w:r>
    </w:p>
    <w:p>
      <w:pPr>
        <w:sectPr>
          <w:pgSz w:w="11900" w:h="16838" w:orient="portrait"/>
          <w:cols w:equalWidth="0" w:num="1">
            <w:col w:w="10860"/>
          </w:cols>
          <w:pgMar w:left="520" w:top="119"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Sotera Health Company, p. 2</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126" w:lineRule="exact"/>
        <w:rPr>
          <w:sz w:val="20"/>
          <w:szCs w:val="20"/>
          <w:color w:val="auto"/>
        </w:rPr>
      </w:pPr>
    </w:p>
    <w:p>
      <w:pPr>
        <w:ind w:left="960" w:right="380" w:hanging="541"/>
        <w:spacing w:after="0" w:line="27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Underwriting Agreement dated November 6, 2025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the Company, the Selling Stockholders and Goldman Sachs &amp; Co. LLC, as the underwriter;</w:t>
      </w:r>
    </w:p>
    <w:p>
      <w:pPr>
        <w:spacing w:after="0" w:line="69" w:lineRule="exact"/>
        <w:rPr>
          <w:rFonts w:ascii="Times New Roman" w:cs="Times New Roman" w:eastAsia="Times New Roman" w:hAnsi="Times New Roman"/>
          <w:sz w:val="18"/>
          <w:szCs w:val="18"/>
          <w:color w:val="auto"/>
        </w:rPr>
      </w:pPr>
    </w:p>
    <w:p>
      <w:pPr>
        <w:ind w:left="960" w:hanging="541"/>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25" w:lineRule="exact"/>
        <w:rPr>
          <w:rFonts w:ascii="Times New Roman" w:cs="Times New Roman" w:eastAsia="Times New Roman" w:hAnsi="Times New Roman"/>
          <w:sz w:val="18"/>
          <w:szCs w:val="18"/>
          <w:color w:val="auto"/>
        </w:rPr>
      </w:pPr>
    </w:p>
    <w:p>
      <w:pPr>
        <w:ind w:left="960" w:hanging="541"/>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Prospectus;</w:t>
      </w:r>
    </w:p>
    <w:p>
      <w:pPr>
        <w:spacing w:after="0" w:line="125" w:lineRule="exact"/>
        <w:rPr>
          <w:rFonts w:ascii="Times New Roman" w:cs="Times New Roman" w:eastAsia="Times New Roman" w:hAnsi="Times New Roman"/>
          <w:sz w:val="18"/>
          <w:szCs w:val="18"/>
          <w:color w:val="auto"/>
        </w:rPr>
      </w:pPr>
    </w:p>
    <w:p>
      <w:pPr>
        <w:ind w:left="960" w:hanging="541"/>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w:t>
      </w:r>
    </w:p>
    <w:p>
      <w:pPr>
        <w:spacing w:after="0" w:line="125" w:lineRule="exact"/>
        <w:rPr>
          <w:rFonts w:ascii="Times New Roman" w:cs="Times New Roman" w:eastAsia="Times New Roman" w:hAnsi="Times New Roman"/>
          <w:sz w:val="18"/>
          <w:szCs w:val="18"/>
          <w:color w:val="auto"/>
        </w:rPr>
      </w:pPr>
    </w:p>
    <w:p>
      <w:pPr>
        <w:ind w:left="960" w:right="240" w:hanging="541"/>
        <w:spacing w:after="0" w:line="27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Computershare Trust Company, N.A., as registrar and transfer agent for the Securities, certifying that the Securities have been duly registered or otherwise established in the systems of The Depository Trust Company; and</w:t>
      </w:r>
    </w:p>
    <w:p>
      <w:pPr>
        <w:spacing w:after="0" w:line="69" w:lineRule="exact"/>
        <w:rPr>
          <w:rFonts w:ascii="Times New Roman" w:cs="Times New Roman" w:eastAsia="Times New Roman" w:hAnsi="Times New Roman"/>
          <w:sz w:val="18"/>
          <w:szCs w:val="18"/>
          <w:color w:val="auto"/>
        </w:rPr>
      </w:pPr>
    </w:p>
    <w:p>
      <w:pPr>
        <w:ind w:left="960" w:hanging="541"/>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certified by the Secretary of State of the State of Delaware.</w:t>
      </w:r>
    </w:p>
    <w:p>
      <w:pPr>
        <w:spacing w:after="0" w:line="219" w:lineRule="exact"/>
        <w:rPr>
          <w:sz w:val="20"/>
          <w:szCs w:val="20"/>
          <w:color w:val="auto"/>
        </w:rPr>
      </w:pPr>
    </w:p>
    <w:p>
      <w:pPr>
        <w:jc w:val="both"/>
        <w:ind w:right="220"/>
        <w:spacing w:after="0" w:line="306" w:lineRule="auto"/>
        <w:rPr>
          <w:sz w:val="20"/>
          <w:szCs w:val="20"/>
          <w:color w:val="auto"/>
        </w:rPr>
      </w:pPr>
      <w:r>
        <w:rPr>
          <w:rFonts w:ascii="Times New Roman" w:cs="Times New Roman" w:eastAsia="Times New Roman" w:hAnsi="Times New Roman"/>
          <w:sz w:val="17"/>
          <w:szCs w:val="17"/>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4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(including, without limitation, the accuracy of the representations and warranties of the Selling Stockholders in the Underwriting Agreement).</w:t>
      </w:r>
    </w:p>
    <w:p>
      <w:pPr>
        <w:spacing w:after="0" w:line="182"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w:t>
      </w:r>
    </w:p>
    <w:p>
      <w:pPr>
        <w:spacing w:after="0" w:line="187" w:lineRule="exact"/>
        <w:rPr>
          <w:sz w:val="20"/>
          <w:szCs w:val="20"/>
          <w:color w:val="auto"/>
        </w:rPr>
      </w:pPr>
    </w:p>
    <w:p>
      <w:pPr>
        <w:ind w:right="680"/>
        <w:spacing w:after="0" w:line="276"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including the applicable provisions of the Delaware Constitution and reported judicial decisions interpreting such laws.</w:t>
      </w:r>
    </w:p>
    <w:p>
      <w:pPr>
        <w:sectPr>
          <w:pgSz w:w="11900" w:h="16838" w:orient="portrait"/>
          <w:cols w:equalWidth="0" w:num="1">
            <w:col w:w="10820"/>
          </w:cols>
          <w:pgMar w:left="520" w:top="268" w:right="5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Sotera Health Company, p. 3</w:t>
      </w:r>
    </w:p>
    <w:p>
      <w:pPr>
        <w:spacing w:after="0" w:line="1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dated November 10, 2025.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0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/s/ David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4306570</wp:posOffset>
            </wp:positionH>
            <wp:positionV relativeFrom="paragraph">
              <wp:posOffset>15240</wp:posOffset>
            </wp:positionV>
            <wp:extent cx="25863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spacing w:after="0" w:line="1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David Lopez, a Partner</w:t>
      </w:r>
    </w:p>
    <w:sectPr>
      <w:pgSz w:w="11900" w:h="16838" w:orient="portrait"/>
      <w:cols w:equalWidth="0" w:num="1">
        <w:col w:w="10740"/>
      </w:cols>
      <w:pgMar w:left="520" w:top="26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decimal"/>
      <w:start w:val="1"/>
    </w:lvl>
  </w:abstractNum>
  <w:abstractNum w:abstractNumId="2">
    <w:nsid w:val="2A487CB0"/>
    <w:multiLevelType w:val="hybridMultilevel"/>
    <w:lvl w:ilvl="0">
      <w:lvlJc w:val="left"/>
      <w:lvlText w:val="%1."/>
      <w:numFmt w:val="decimal"/>
      <w:start w:val="2"/>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1)"/>
      <w:numFmt w:val="lowerLetter"/>
      <w:start w:val="4"/>
    </w:lvl>
  </w:abstractNum>
  <w:abstractNum w:abstractNumId="5">
    <w:nsid w:val="2CD89A32"/>
    <w:multiLevelType w:val="hybridMultilevel"/>
    <w:lvl w:ilvl="0">
      <w:lvlJc w:val="left"/>
      <w:lvlText w:val="%1."/>
      <w:numFmt w:val="decimal"/>
      <w:start w:val="3"/>
    </w:lvl>
    <w:lvl w:ilvl="1">
      <w:lvlJc w:val="left"/>
      <w:lvlText w:val="(%2)"/>
      <w:numFmt w:val="lowerLetter"/>
      <w:start w:val="1"/>
    </w:lvl>
  </w:abstractNum>
  <w:abstractNum w:abstractNumId="6">
    <w:nsid w:val="57E4CCAF"/>
    <w:multiLevelType w:val="hybridMultilevel"/>
    <w:lvl w:ilvl="0">
      <w:lvlJc w:val="left"/>
      <w:lvlText w:val="(%1)"/>
      <w:numFmt w:val="lowerLetter"/>
      <w:start w:val="2"/>
    </w:lvl>
  </w:abstractNum>
  <w:abstractNum w:abstractNumId="7">
    <w:nsid w:val="7A6D8D3C"/>
    <w:multiLevelType w:val="hybridMultilevel"/>
    <w:lvl w:ilvl="0">
      <w:lvlJc w:val="left"/>
      <w:lvlText w:val="(%1)"/>
      <w:numFmt w:val="lowerLetter"/>
      <w:start w:val="5"/>
    </w:lvl>
  </w:abstractNum>
  <w:abstractNum w:abstractNumId="8">
    <w:nsid w:val="4B588F54"/>
    <w:multiLevelType w:val="hybridMultilevel"/>
    <w:lvl w:ilvl="0">
      <w:lvlJc w:val="left"/>
      <w:lvlText w:val="%1"/>
      <w:numFmt w:val="lowerLetter"/>
      <w:start w:val="1"/>
    </w:lvl>
    <w:lvl w:ilvl="1">
      <w:lvlJc w:val="left"/>
      <w:lvlText w:val="(%2)"/>
      <w:numFmt w:val="lowerLetter"/>
      <w:start w:val="8"/>
    </w:lvl>
  </w:abstractNum>
  <w:abstractNum w:abstractNumId="9">
    <w:nsid w:val="542289EC"/>
    <w:multiLevelType w:val="hybridMultilevel"/>
    <w:lvl w:ilvl="0">
      <w:lvlJc w:val="left"/>
      <w:lvlText w:val="(%1)"/>
      <w:numFmt w:val="lowerLetter"/>
      <w:start w:val="35"/>
    </w:lvl>
    <w:lvl w:ilvl="1">
      <w:lvlJc w:val="left"/>
      <w:lvlText w:val="%2"/>
      <w:numFmt w:val="lowerLetter"/>
      <w:start w:val="1"/>
    </w:lvl>
  </w:abstractNum>
  <w:abstractNum w:abstractNumId="10">
    <w:nsid w:val="6DE91B18"/>
    <w:multiLevelType w:val="hybridMultilevel"/>
    <w:lvl w:ilvl="0">
      <w:lvlJc w:val="left"/>
      <w:lvlText w:val="(%1)"/>
      <w:numFmt w:val="lowerLetter"/>
      <w:start w:val="10"/>
    </w:lvl>
  </w:abstractNum>
  <w:abstractNum w:abstractNumId="11">
    <w:nsid w:val="38437FDB"/>
    <w:multiLevelType w:val="hybridMultilevel"/>
    <w:lvl w:ilvl="0">
      <w:lvlJc w:val="left"/>
      <w:lvlText w:val="(%1)"/>
      <w:numFmt w:val="lowerLetter"/>
      <w:start w:val="12"/>
    </w:lvl>
  </w:abstractNum>
  <w:abstractNum w:abstractNumId="12">
    <w:nsid w:val="7644A45C"/>
    <w:multiLevelType w:val="hybridMultilevel"/>
    <w:lvl w:ilvl="0">
      <w:lvlJc w:val="left"/>
      <w:lvlText w:val="(%1)"/>
      <w:numFmt w:val="lowerLetter"/>
      <w:start w:val="18"/>
    </w:lvl>
  </w:abstractNum>
  <w:abstractNum w:abstractNumId="13">
    <w:nsid w:val="32FFF902"/>
    <w:multiLevelType w:val="hybridMultilevel"/>
    <w:lvl w:ilvl="0">
      <w:lvlJc w:val="left"/>
      <w:lvlText w:val="(%1)"/>
      <w:numFmt w:val="lowerLetter"/>
      <w:start w:val="21"/>
    </w:lvl>
  </w:abstractNum>
  <w:abstractNum w:abstractNumId="14">
    <w:nsid w:val="684A481A"/>
    <w:multiLevelType w:val="hybridMultilevel"/>
    <w:lvl w:ilvl="0">
      <w:lvlJc w:val="left"/>
      <w:lvlText w:val="(%1)"/>
      <w:numFmt w:val="lowerLetter"/>
      <w:start w:val="25"/>
    </w:lvl>
  </w:abstractNum>
  <w:abstractNum w:abstractNumId="15">
    <w:nsid w:val="579478FE"/>
    <w:multiLevelType w:val="hybridMultilevel"/>
    <w:lvl w:ilvl="0">
      <w:lvlJc w:val="left"/>
      <w:lvlText w:val="(%1)"/>
      <w:numFmt w:val="lowerLetter"/>
      <w:start w:val="27"/>
    </w:lvl>
  </w:abstractNum>
  <w:abstractNum w:abstractNumId="16">
    <w:nsid w:val="749ABB43"/>
    <w:multiLevelType w:val="hybridMultilevel"/>
    <w:lvl w:ilvl="0">
      <w:lvlJc w:val="left"/>
      <w:lvlText w:val="%1"/>
      <w:numFmt w:val="lowerRoman"/>
      <w:start w:val="1"/>
    </w:lvl>
    <w:lvl w:ilvl="1">
      <w:lvlJc w:val="left"/>
      <w:lvlText w:val="(%2)"/>
      <w:numFmt w:val="lowerLetter"/>
      <w:start w:val="30"/>
    </w:lvl>
  </w:abstractNum>
  <w:abstractNum w:abstractNumId="17">
    <w:nsid w:val="3DC240FB"/>
    <w:multiLevelType w:val="hybridMultilevel"/>
    <w:lvl w:ilvl="0">
      <w:lvlJc w:val="left"/>
      <w:lvlText w:val="(%1)"/>
      <w:numFmt w:val="lowerRoman"/>
      <w:start w:val="4"/>
    </w:lvl>
    <w:lvl w:ilvl="1">
      <w:lvlJc w:val="left"/>
      <w:lvlText w:val="%2"/>
      <w:numFmt w:val="lowerLetter"/>
      <w:start w:val="1"/>
    </w:lvl>
  </w:abstractNum>
  <w:abstractNum w:abstractNumId="18">
    <w:nsid w:val="1BA026FA"/>
    <w:multiLevelType w:val="hybridMultilevel"/>
    <w:lvl w:ilvl="0">
      <w:lvlJc w:val="left"/>
      <w:lvlText w:val="(%1)"/>
      <w:numFmt w:val="lowerLetter"/>
      <w:start w:val="31"/>
    </w:lvl>
  </w:abstractNum>
  <w:abstractNum w:abstractNumId="19">
    <w:nsid w:val="79A1DEAA"/>
    <w:multiLevelType w:val="hybridMultilevel"/>
    <w:lvl w:ilvl="0">
      <w:lvlJc w:val="left"/>
      <w:lvlText w:val="(%1)"/>
      <w:numFmt w:val="lowerLetter"/>
      <w:start w:val="33"/>
    </w:lvl>
  </w:abstractNum>
  <w:abstractNum w:abstractNumId="20">
    <w:nsid w:val="75C6C33A"/>
    <w:multiLevelType w:val="hybridMultilevel"/>
    <w:lvl w:ilvl="0">
      <w:lvlJc w:val="left"/>
      <w:lvlText w:val="(%1)"/>
      <w:numFmt w:val="lowerLetter"/>
      <w:start w:val="35"/>
    </w:lvl>
  </w:abstractNum>
  <w:abstractNum w:abstractNumId="21">
    <w:nsid w:val="12E685FB"/>
    <w:multiLevelType w:val="hybridMultilevel"/>
    <w:lvl w:ilvl="0">
      <w:lvlJc w:val="left"/>
      <w:lvlText w:val="(%1)"/>
      <w:numFmt w:val="lowerLetter"/>
      <w:start w:val="37"/>
    </w:lvl>
  </w:abstractNum>
  <w:abstractNum w:abstractNumId="22">
    <w:nsid w:val="70C6A529"/>
    <w:multiLevelType w:val="hybridMultilevel"/>
    <w:lvl w:ilvl="0">
      <w:lvlJc w:val="left"/>
      <w:lvlText w:val="(%1)"/>
      <w:numFmt w:val="lowerLetter"/>
      <w:start w:val="40"/>
    </w:lvl>
  </w:abstractNum>
  <w:abstractNum w:abstractNumId="23">
    <w:nsid w:val="520EEDD1"/>
    <w:multiLevelType w:val="hybridMultilevel"/>
    <w:lvl w:ilvl="0">
      <w:lvlJc w:val="left"/>
      <w:lvlText w:val="(%1)"/>
      <w:numFmt w:val="lowerLetter"/>
      <w:start w:val="46"/>
    </w:lvl>
  </w:abstractNum>
  <w:abstractNum w:abstractNumId="24">
    <w:nsid w:val="374A3FE6"/>
    <w:multiLevelType w:val="hybridMultilevel"/>
    <w:lvl w:ilvl="0">
      <w:lvlJc w:val="left"/>
      <w:lvlText w:val="%1"/>
      <w:numFmt w:val="decimal"/>
      <w:start w:val="1"/>
    </w:lvl>
    <w:lvl w:ilvl="1">
      <w:lvlJc w:val="left"/>
      <w:lvlText w:val="(%2)"/>
      <w:numFmt w:val="lowerLetter"/>
      <w:start w:val="48"/>
    </w:lvl>
  </w:abstractNum>
  <w:abstractNum w:abstractNumId="25">
    <w:nsid w:val="4F4EF005"/>
    <w:multiLevelType w:val="hybridMultilevel"/>
    <w:lvl w:ilvl="0">
      <w:lvlJc w:val="left"/>
      <w:lvlText w:val="%1."/>
      <w:numFmt w:val="decimal"/>
      <w:start w:val="4"/>
    </w:lvl>
    <w:lvl w:ilvl="1">
      <w:lvlJc w:val="left"/>
      <w:lvlText w:val="(%2)"/>
      <w:numFmt w:val="lowerLetter"/>
      <w:start w:val="1"/>
    </w:lvl>
  </w:abstractNum>
  <w:abstractNum w:abstractNumId="26">
    <w:nsid w:val="23F9C13C"/>
    <w:multiLevelType w:val="hybridMultilevel"/>
    <w:lvl w:ilvl="0">
      <w:lvlJc w:val="left"/>
      <w:lvlText w:val="%1"/>
      <w:numFmt w:val="lowerLetter"/>
      <w:start w:val="1"/>
    </w:lvl>
    <w:lvl w:ilvl="1">
      <w:lvlJc w:val="left"/>
      <w:lvlText w:val="(%2)"/>
      <w:numFmt w:val="lowerLetter"/>
      <w:start w:val="3"/>
    </w:lvl>
  </w:abstractNum>
  <w:abstractNum w:abstractNumId="27">
    <w:nsid w:val="649BB77C"/>
    <w:multiLevelType w:val="hybridMultilevel"/>
    <w:lvl w:ilvl="0">
      <w:lvlJc w:val="left"/>
      <w:lvlText w:val="(%1)"/>
      <w:numFmt w:val="lowerLetter"/>
      <w:start w:val="9"/>
    </w:lvl>
    <w:lvl w:ilvl="1">
      <w:lvlJc w:val="left"/>
      <w:lvlText w:val="%2"/>
      <w:numFmt w:val="lowerLetter"/>
      <w:start w:val="1"/>
    </w:lvl>
  </w:abstractNum>
  <w:abstractNum w:abstractNumId="28">
    <w:nsid w:val="275AC794"/>
    <w:multiLevelType w:val="hybridMultilevel"/>
    <w:lvl w:ilvl="0">
      <w:lvlJc w:val="left"/>
      <w:lvlText w:val="%1"/>
      <w:numFmt w:val="decimal"/>
      <w:start w:val="1"/>
    </w:lvl>
    <w:lvl w:ilvl="1">
      <w:lvlJc w:val="left"/>
      <w:lvlText w:val="(%2)"/>
      <w:numFmt w:val="lowerLetter"/>
      <w:start w:val="7"/>
    </w:lvl>
  </w:abstractNum>
  <w:abstractNum w:abstractNumId="29">
    <w:nsid w:val="39386575"/>
    <w:multiLevelType w:val="hybridMultilevel"/>
    <w:lvl w:ilvl="0">
      <w:lvlJc w:val="left"/>
      <w:lvlText w:val="(%1)"/>
      <w:numFmt w:val="decimal"/>
      <w:start w:val="1"/>
    </w:lvl>
    <w:lvl w:ilvl="1">
      <w:lvlJc w:val="left"/>
      <w:lvlText w:val="(%2)"/>
      <w:numFmt w:val="lowerLetter"/>
      <w:start w:val="11"/>
    </w:lvl>
  </w:abstractNum>
  <w:abstractNum w:abstractNumId="30">
    <w:nsid w:val="1CF10FD8"/>
    <w:multiLevelType w:val="hybridMultilevel"/>
    <w:lvl w:ilvl="0">
      <w:lvlJc w:val="left"/>
      <w:lvlText w:val="%1"/>
      <w:numFmt w:val="decimal"/>
      <w:start w:val="1"/>
    </w:lvl>
    <w:lvl w:ilvl="1">
      <w:lvlJc w:val="left"/>
      <w:lvlText w:val="(%2)"/>
      <w:numFmt w:val="lowerLetter"/>
      <w:start w:val="12"/>
    </w:lvl>
  </w:abstractNum>
  <w:abstractNum w:abstractNumId="31">
    <w:nsid w:val="180115BE"/>
    <w:multiLevelType w:val="hybridMultilevel"/>
    <w:lvl w:ilvl="0">
      <w:lvlJc w:val="left"/>
      <w:lvlText w:val="%1."/>
      <w:numFmt w:val="decimal"/>
      <w:start w:val="5"/>
    </w:lvl>
    <w:lvl w:ilvl="1">
      <w:lvlJc w:val="left"/>
      <w:lvlText w:val="(%2)"/>
      <w:numFmt w:val="lowerLetter"/>
      <w:start w:val="1"/>
    </w:lvl>
  </w:abstractNum>
  <w:abstractNum w:abstractNumId="32">
    <w:nsid w:val="235BA861"/>
    <w:multiLevelType w:val="hybridMultilevel"/>
    <w:lvl w:ilvl="0">
      <w:lvlJc w:val="left"/>
      <w:lvlText w:val="%1"/>
      <w:numFmt w:val="lowerLetter"/>
      <w:start w:val="1"/>
    </w:lvl>
    <w:lvl w:ilvl="1">
      <w:lvlJc w:val="left"/>
      <w:lvlText w:val="(%2)"/>
      <w:numFmt w:val="lowerLetter"/>
      <w:start w:val="2"/>
    </w:lvl>
  </w:abstractNum>
  <w:abstractNum w:abstractNumId="33">
    <w:nsid w:val="47398C89"/>
    <w:multiLevelType w:val="hybridMultilevel"/>
    <w:lvl w:ilvl="0">
      <w:lvlJc w:val="left"/>
      <w:lvlText w:val="(%1)"/>
      <w:numFmt w:val="lowerLetter"/>
      <w:start w:val="61"/>
    </w:lvl>
    <w:lvl w:ilvl="1">
      <w:lvlJc w:val="left"/>
      <w:lvlText w:val="%2"/>
      <w:numFmt w:val="lowerLetter"/>
      <w:start w:val="1"/>
    </w:lvl>
  </w:abstractNum>
  <w:abstractNum w:abstractNumId="34">
    <w:nsid w:val="354FE9F9"/>
    <w:multiLevelType w:val="hybridMultilevel"/>
    <w:lvl w:ilvl="0">
      <w:lvlJc w:val="left"/>
      <w:lvlText w:val="(%1)"/>
      <w:numFmt w:val="lowerLetter"/>
      <w:start w:val="5"/>
    </w:lvl>
  </w:abstractNum>
  <w:abstractNum w:abstractNumId="35">
    <w:nsid w:val="15B5AF5C"/>
    <w:multiLevelType w:val="hybridMultilevel"/>
    <w:lvl w:ilvl="0">
      <w:lvlJc w:val="left"/>
      <w:lvlText w:val="(%1)"/>
      <w:numFmt w:val="lowerLetter"/>
      <w:start w:val="6"/>
    </w:lvl>
  </w:abstractNum>
  <w:abstractNum w:abstractNumId="36">
    <w:nsid w:val="741226BB"/>
    <w:multiLevelType w:val="hybridMultilevel"/>
    <w:lvl w:ilvl="0">
      <w:lvlJc w:val="left"/>
      <w:lvlText w:val="(%1)"/>
      <w:numFmt w:val="lowerLetter"/>
      <w:start w:val="9"/>
    </w:lvl>
  </w:abstractNum>
  <w:abstractNum w:abstractNumId="37">
    <w:nsid w:val="D34B6A8"/>
    <w:multiLevelType w:val="hybridMultilevel"/>
    <w:lvl w:ilvl="0">
      <w:lvlJc w:val="left"/>
      <w:lvlText w:val="%1."/>
      <w:numFmt w:val="decimal"/>
      <w:start w:val="6"/>
    </w:lvl>
    <w:lvl w:ilvl="1">
      <w:lvlJc w:val="left"/>
      <w:lvlText w:val="(%2)"/>
      <w:numFmt w:val="lowerLetter"/>
      <w:start w:val="1"/>
    </w:lvl>
  </w:abstractNum>
  <w:abstractNum w:abstractNumId="38">
    <w:nsid w:val="10233C99"/>
    <w:multiLevelType w:val="hybridMultilevel"/>
    <w:lvl w:ilvl="0">
      <w:lvlJc w:val="left"/>
      <w:lvlText w:val="%1"/>
      <w:numFmt w:val="decimal"/>
      <w:start w:val="1"/>
    </w:lvl>
    <w:lvl w:ilvl="1">
      <w:lvlJc w:val="left"/>
      <w:lvlText w:val="(%2)"/>
      <w:numFmt w:val="lowerLetter"/>
      <w:start w:val="4"/>
    </w:lvl>
  </w:abstractNum>
  <w:abstractNum w:abstractNumId="39">
    <w:nsid w:val="3F6AB60F"/>
    <w:multiLevelType w:val="hybridMultilevel"/>
    <w:lvl w:ilvl="0">
      <w:lvlJc w:val="left"/>
      <w:lvlText w:val="%1."/>
      <w:numFmt w:val="decimal"/>
      <w:start w:val="7"/>
    </w:lvl>
    <w:lvl w:ilvl="1">
      <w:lvlJc w:val="left"/>
      <w:lvlText w:val="(%2)"/>
      <w:numFmt w:val="lowerLetter"/>
      <w:start w:val="1"/>
    </w:lvl>
  </w:abstractNum>
  <w:abstractNum w:abstractNumId="40">
    <w:nsid w:val="61574095"/>
    <w:multiLevelType w:val="hybridMultilevel"/>
    <w:lvl w:ilvl="0">
      <w:lvlJc w:val="left"/>
      <w:lvlText w:val="%1"/>
      <w:numFmt w:val="decimal"/>
      <w:start w:val="1"/>
    </w:lvl>
    <w:lvl w:ilvl="1">
      <w:lvlJc w:val="left"/>
      <w:lvlText w:val="(%2)"/>
      <w:numFmt w:val="lowerLetter"/>
      <w:start w:val="2"/>
    </w:lvl>
  </w:abstractNum>
  <w:abstractNum w:abstractNumId="41">
    <w:nsid w:val="7E0C57B1"/>
    <w:multiLevelType w:val="hybridMultilevel"/>
    <w:lvl w:ilvl="0">
      <w:lvlJc w:val="left"/>
      <w:lvlText w:val="%1."/>
      <w:numFmt w:val="decimal"/>
      <w:start w:val="8"/>
    </w:lvl>
    <w:lvl w:ilvl="1">
      <w:lvlJc w:val="left"/>
      <w:lvlText w:val="(%2)"/>
      <w:numFmt w:val="lowerLetter"/>
      <w:start w:val="1"/>
    </w:lvl>
  </w:abstractNum>
  <w:abstractNum w:abstractNumId="42">
    <w:nsid w:val="77AE35EB"/>
    <w:multiLevelType w:val="hybridMultilevel"/>
    <w:lvl w:ilvl="0">
      <w:lvlJc w:val="left"/>
      <w:lvlText w:val="(%1)"/>
      <w:numFmt w:val="lowerLetter"/>
      <w:start w:val="5"/>
    </w:lvl>
  </w:abstractNum>
  <w:abstractNum w:abstractNumId="43">
    <w:nsid w:val="579BE4F1"/>
    <w:multiLevelType w:val="hybridMultilevel"/>
    <w:lvl w:ilvl="0">
      <w:lvlJc w:val="left"/>
      <w:lvlText w:val="(%1)"/>
      <w:numFmt w:val="lowerRoman"/>
      <w:start w:val="2"/>
    </w:lvl>
  </w:abstractNum>
  <w:abstractNum w:abstractNumId="44">
    <w:nsid w:val="310C50B3"/>
    <w:multiLevelType w:val="hybridMultilevel"/>
    <w:lvl w:ilvl="0">
      <w:lvlJc w:val="left"/>
      <w:lvlText w:val="(%1)"/>
      <w:numFmt w:val="lowerLetter"/>
      <w:start w:val="7"/>
    </w:lvl>
  </w:abstractNum>
  <w:abstractNum w:abstractNumId="45">
    <w:nsid w:val="5FF87E05"/>
    <w:multiLevelType w:val="hybridMultilevel"/>
    <w:lvl w:ilvl="0">
      <w:lvlJc w:val="left"/>
      <w:lvlText w:val="(%1)"/>
      <w:numFmt w:val="lowerLetter"/>
      <w:start w:val="8"/>
    </w:lvl>
  </w:abstractNum>
  <w:abstractNum w:abstractNumId="46">
    <w:nsid w:val="2F305DEF"/>
    <w:multiLevelType w:val="hybridMultilevel"/>
    <w:lvl w:ilvl="0">
      <w:lvlJc w:val="left"/>
      <w:lvlText w:val="(%1)"/>
      <w:numFmt w:val="lowerLetter"/>
      <w:start w:val="15"/>
    </w:lvl>
  </w:abstractNum>
  <w:abstractNum w:abstractNumId="47">
    <w:nsid w:val="25A70BF7"/>
    <w:multiLevelType w:val="hybridMultilevel"/>
    <w:lvl w:ilvl="0">
      <w:lvlJc w:val="left"/>
      <w:lvlText w:val="%1."/>
      <w:numFmt w:val="decimal"/>
      <w:start w:val="9"/>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2"/>
    </w:lvl>
  </w:abstractNum>
  <w:abstractNum w:abstractNumId="50">
    <w:nsid w:val="1F48EAA1"/>
    <w:multiLevelType w:val="hybridMultilevel"/>
    <w:lvl w:ilvl="0">
      <w:lvlJc w:val="left"/>
      <w:lvlText w:val="(%1)"/>
      <w:numFmt w:val="lowerLetter"/>
      <w:start w:val="5"/>
    </w:lvl>
  </w:abstractNum>
  <w:abstractNum w:abstractNumId="51">
    <w:nsid w:val="1381823A"/>
    <w:multiLevelType w:val="hybridMultilevel"/>
    <w:lvl w:ilvl="0">
      <w:lvlJc w:val="left"/>
      <w:lvlText w:val="(%1)"/>
      <w:numFmt w:val="lowerLetter"/>
      <w:start w:val="6"/>
    </w:lvl>
  </w:abstractNum>
  <w:abstractNum w:abstractNumId="52">
    <w:nsid w:val="5DB70AE5"/>
    <w:multiLevelType w:val="hybridMultilevel"/>
    <w:lvl w:ilvl="0">
      <w:lvlJc w:val="left"/>
      <w:lvlText w:val="(%1)"/>
      <w:numFmt w:val="lowerLetter"/>
      <w:start w:val="6"/>
    </w:lvl>
  </w:abstractNum>
  <w:abstractNum w:abstractNumId="53">
    <w:nsid w:val="100F8FCA"/>
    <w:multiLevelType w:val="hybridMultilevel"/>
    <w:lvl w:ilvl="0">
      <w:lvlJc w:val="left"/>
      <w:lvlText w:val="(%1)"/>
      <w:numFmt w:val="lowerLetter"/>
      <w:start w:val="6"/>
    </w:lvl>
  </w:abstractNum>
  <w:abstractNum w:abstractNumId="54">
    <w:nsid w:val="6590700B"/>
    <w:multiLevelType w:val="hybridMultilevel"/>
    <w:lvl w:ilvl="0">
      <w:lvlJc w:val="left"/>
      <w:lvlText w:val="(%1)"/>
      <w:numFmt w:val="lowerLetter"/>
      <w:start w:val="8"/>
    </w:lvl>
  </w:abstractNum>
  <w:abstractNum w:abstractNumId="55">
    <w:nsid w:val="15014ACB"/>
    <w:multiLevelType w:val="hybridMultilevel"/>
    <w:lvl w:ilvl="0">
      <w:lvlJc w:val="left"/>
      <w:lvlText w:val="%1."/>
      <w:numFmt w:val="decimal"/>
      <w:start w:val="10"/>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2"/>
    </w:lvl>
  </w:abstractNum>
  <w:abstractNum w:abstractNumId="58">
    <w:nsid w:val="799D0247"/>
    <w:multiLevelType w:val="hybridMultilevel"/>
    <w:lvl w:ilvl="0">
      <w:lvlJc w:val="left"/>
      <w:lvlText w:val="%1."/>
      <w:numFmt w:val="decimal"/>
      <w:start w:val="13"/>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lowerRoman"/>
      <w:start w:val="4"/>
    </w:lvl>
    <w:lvl w:ilvl="1">
      <w:lvlJc w:val="left"/>
      <w:lvlText w:val="(%2)"/>
      <w:numFmt w:val="lowerLetter"/>
      <w:start w:val="2"/>
    </w:lvl>
  </w:abstractNum>
  <w:abstractNum w:abstractNumId="61">
    <w:nsid w:val="168E121F"/>
    <w:multiLevelType w:val="hybridMultilevel"/>
    <w:lvl w:ilvl="0">
      <w:lvlJc w:val="left"/>
      <w:lvlText w:val="%1."/>
      <w:numFmt w:val="decimal"/>
      <w:start w:val="14"/>
    </w:lvl>
  </w:abstractNum>
  <w:abstractNum w:abstractNumId="62">
    <w:nsid w:val="1EBA5D23"/>
    <w:multiLevelType w:val="hybridMultilevel"/>
    <w:lvl w:ilvl="0">
      <w:lvlJc w:val="left"/>
      <w:lvlText w:val="%1."/>
      <w:numFmt w:val="decimal"/>
      <w:start w:val="16"/>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Roman"/>
      <w:start w:val="1"/>
    </w:lvl>
  </w:abstractNum>
  <w:abstractNum w:abstractNumId="65">
    <w:nsid w:val="540A471C"/>
    <w:multiLevelType w:val="hybridMultilevel"/>
    <w:lvl w:ilvl="0">
      <w:lvlJc w:val="left"/>
      <w:lvlText w:val="(%1)"/>
      <w:numFmt w:val="lowerRoman"/>
      <w:start w:val="1"/>
    </w:lvl>
  </w:abstractNum>
  <w:abstractNum w:abstractNumId="66">
    <w:nsid w:val="7BD3EE7B"/>
    <w:multiLevelType w:val="hybridMultilevel"/>
    <w:lvl w:ilvl="0">
      <w:lvlJc w:val="left"/>
      <w:lvlText w:val="%1"/>
      <w:numFmt w:val="lowerLetter"/>
      <w:start w:val="1"/>
    </w:lvl>
    <w:lvl w:ilvl="1">
      <w:lvlJc w:val="left"/>
      <w:lvlText w:val="(%2)"/>
      <w:numFmt w:val="lowerLetter"/>
      <w:start w:val="35"/>
    </w:lvl>
  </w:abstractNum>
  <w:abstractNum w:abstractNumId="67">
    <w:nsid w:val="51D9C564"/>
    <w:multiLevelType w:val="hybridMultilevel"/>
    <w:lvl w:ilvl="0">
      <w:lvlJc w:val="left"/>
      <w:lvlText w:val="(%1)"/>
      <w:numFmt w:val="lowerLetter"/>
      <w:start w:val="6"/>
    </w:lvl>
    <w:lvl w:ilvl="1">
      <w:lvlJc w:val="left"/>
      <w:lvlText w:val="%2"/>
      <w:numFmt w:val="lowerLetter"/>
      <w:start w:val="1"/>
    </w:lvl>
  </w:abstractNum>
  <w:abstractNum w:abstractNumId="68">
    <w:nsid w:val="613EFDC5"/>
    <w:multiLevelType w:val="hybridMultilevel"/>
    <w:lvl w:ilvl="0">
      <w:lvlJc w:val="left"/>
      <w:lvlText w:val="(%1)"/>
      <w:numFmt w:val="lowerLetter"/>
      <w:start w:val="7"/>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7"/>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Roman"/>
      <w:start w:val="1"/>
    </w:lvl>
  </w:abstractNum>
  <w:abstractNum w:abstractNumId="79">
    <w:nsid w:val="6A5EE64"/>
    <w:multiLevelType w:val="hybridMultilevel"/>
    <w:lvl w:ilvl="0">
      <w:lvlJc w:val="left"/>
      <w:lvlText w:val="(%1)"/>
      <w:numFmt w:val="lowerRoman"/>
      <w:start w:val="5"/>
    </w:lvl>
  </w:abstractNum>
  <w:abstractNum w:abstractNumId="80">
    <w:nsid w:val="14330624"/>
    <w:multiLevelType w:val="hybridMultilevel"/>
    <w:lvl w:ilvl="0">
      <w:lvlJc w:val="left"/>
      <w:lvlText w:val="(%1)"/>
      <w:numFmt w:val="lowerRoman"/>
      <w:start w:val="12"/>
    </w:lvl>
  </w:abstractNum>
  <w:abstractNum w:abstractNumId="81">
    <w:nsid w:val="7FFFCA11"/>
    <w:multiLevelType w:val="hybridMultilevel"/>
    <w:lvl w:ilvl="0">
      <w:lvlJc w:val="left"/>
      <w:lvlText w:val="(%1)"/>
      <w:numFmt w:val="lowerLetter"/>
      <w:start w:val="2"/>
    </w:lvl>
  </w:abstractNum>
  <w:abstractNum w:abstractNumId="82">
    <w:nsid w:val="1A27709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2025-11-10T15:19:30Z</dcterms:created>
  <dcterms:modified xsi:type="dcterms:W3CDTF">2025-11-10T15:19:30Z</dcterms:modified>
</cp:coreProperties>
</file>