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Klee Ann R.</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05/27/2022</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820" w:type="dxa"/>
            <w:vAlign w:val="bottom"/>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HEIGHTS</w:t>
            </w: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4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120" w:type="dxa"/>
            <w:vAlign w:val="bottom"/>
            <w:tcBorders>
              <w:bottom w:val="single" w:sz="8" w:color="9A9A9A"/>
            </w:tcBorders>
            <w:gridSpan w:val="2"/>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05/27/2022</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10,643</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1"/>
                <w:szCs w:val="21"/>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76,773</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48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Restricted Stock Units ("RSUs") that were granted on May 27, 2022,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10,643 RSUs and 66,130 shares of Common Stock, including 45,371 shares of vested Common Stock and 20,759 shares of unvested Common Stock. The unvested shares of Common Stock will vest on a daily basis pro rata through May 27, 2025.</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Ms. Klee is filed as an exhibit to the Form 3 filed with the Securities and Exchange Commission on November 20, 2020, which is hereby incorporated by reference.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Matthew J. Klaben,</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05/31/2022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6076"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2022-05-31T16:50:56Z</dcterms:created>
  <dcterms:modified xsi:type="dcterms:W3CDTF">2022-05-31T16:50:56Z</dcterms:modified>
</cp:coreProperties>
</file>