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41,215,301.00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7"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3 to Schedule 13G,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GTCR Investors are party to a Stockholders Agreement with the Warburg Pincus Investors and certain other holders of Common Stock of the Issuer. The GTCR Investors, together with the Warburg Pincus Investors, hold an aggregate total of 103,038,253 shares of Common Stock of the Issuer (approximately 36.3% of the outstanding shares of Common Stock of the Issuer), of which 61,822,952 shares of Common Stock are publicly reported as being owned by the Warburg Pincus Investors in such entities' Form 4, filed with the U.S. Securities and Exchange Commission ("Commission") September 9,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Securities Exchange Act of 1934, as amended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284,046,606 shares of Common Stock outstanding as of July 29, 2025 as reported on the Issuer's final prospectus supplement, filed pursuant to Rule 424(b)(7) on September 4,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917" w:orient="portrait"/>
          <w:cols w:equalWidth="0" w:num="1">
            <w:col w:w="11220"/>
          </w:cols>
          <w:pgMar w:left="320" w:top="166" w:right="35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 w:lineRule="exact"/>
        <w:rPr>
          <w:sz w:val="20"/>
          <w:szCs w:val="20"/>
          <w:color w:val="auto"/>
        </w:rPr>
      </w:pPr>
    </w:p>
    <w:p>
      <w:pPr>
        <w:sectPr>
          <w:pgSz w:w="11900" w:h="16838" w:orient="portrait"/>
          <w:cols w:equalWidth="0" w:num="2">
            <w:col w:w="720" w:space="720"/>
            <w:col w:w="9780"/>
          </w:cols>
          <w:pgMar w:left="320" w:top="111" w:right="35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1" w:lineRule="exact"/>
        <w:rPr>
          <w:sz w:val="20"/>
          <w:szCs w:val="20"/>
          <w:color w:val="auto"/>
        </w:rPr>
      </w:pPr>
    </w:p>
    <w:p>
      <w:pPr>
        <w:sectPr>
          <w:pgSz w:w="11900" w:h="16838" w:orient="portrait"/>
          <w:cols w:equalWidth="0" w:num="2">
            <w:col w:w="540" w:space="660"/>
            <w:col w:w="10020"/>
          </w:cols>
          <w:pgMar w:left="320" w:top="111" w:right="359" w:bottom="0" w:gutter="0" w:footer="0" w:header="0"/>
          <w:type w:val="continuous"/>
        </w:sectPr>
      </w:pPr>
    </w:p>
    <w:p>
      <w:pPr>
        <w:ind w:left="1440"/>
        <w:spacing w:after="0" w:line="230" w:lineRule="auto"/>
        <w:rPr>
          <w:sz w:val="20"/>
          <w:szCs w:val="20"/>
          <w:color w:val="auto"/>
        </w:rPr>
      </w:pPr>
      <w:r>
        <w:rPr>
          <w:rFonts w:ascii="Times New Roman" w:cs="Times New Roman" w:eastAsia="Times New Roman" w:hAnsi="Times New Roman"/>
          <w:sz w:val="22"/>
          <w:szCs w:val="22"/>
          <w:color w:val="auto"/>
        </w:rPr>
        <w:t>0.00</w:t>
      </w:r>
    </w:p>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32,711,677.00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103,038,253.00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3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103,038,253 shares of Common Stock of the Issuer (approximately 36.3% of the outstanding shares of Common Stock of the Issuer), of which 61,822,952 shares of Common Stock are publicly reported as being owned by the Warburg Pincus Investors in such entities' Form 4, filed with the Commission September 9,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284,046,606 shares of Common Stock outstanding as of July 29, 2025 as reported on the Issuer's final prospectus supplement, filed pursuant to Rule 424(b)(7) on September 4,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8,241,453.00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103,038,253.00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3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103,038,253 shares of Common Stock of the Issuer (approximately 36.3% of the outstanding shares of Common Stock of the Issuer), of which 61,822,952 shares of Common Stock are publicly reported as being owned by the Warburg Pincus Investors in such entities' Form 4, filed with the Commission September 9,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284,046,606 shares of Common Stock outstanding as of July 29, 2025 as reported on the Issuer's final prospectus supplement, filed pursuant to Rule 424(b)(7) on September 4,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262,171.00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220"/>
          </w:cols>
          <w:pgMar w:left="320" w:top="112" w:right="359" w:bottom="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3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103,038,253 shares of Common Stock of the Issuer (approximately 36.3% of the outstanding shares of Common Stock of the Issuer), of which 61,822,952 shares of Common Stock are publicly reported as being owned by the Warburg Pincus Investors in such entities' Form 4, filed with the Commission September 9,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284,046,606 shares of Common Stock outstanding as of July 29, 2025 as reported on the Issuer's final prospectus supplement, filed pursuant to Rule 424(b)(7) on September 4,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6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40,953,130.00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ectPr>
          <w:pgSz w:w="11900" w:h="16838" w:orient="portrait"/>
          <w:cols w:equalWidth="0" w:num="2">
            <w:col w:w="1100" w:space="60"/>
            <w:col w:w="10060"/>
          </w:cols>
          <w:pgMar w:left="320" w:top="612" w:right="35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20"/>
          </w:cols>
          <w:pgMar w:left="320" w:top="612" w:right="35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3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103,038,253 shares of Common Stock of the Issuer (approximately 36.3% of the outstanding shares of Common Stock of the Issuer), of which 61,822,952 shares of Common Stock are publicly reported as being owned by the Warburg Pincus Investors in such entities' Form 4, filed with the Commission September 9,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284,046,606 shares of Common Stock outstanding as of July 29, 2025 as reported on the Issuer's final prospectus supplement, filed pursuant to Rule 424(b)(7) on September 4,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355"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Sotera Health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Company's principal executive offices are located at 9100 South Hills Blvd, Suite 300, Broadview Heights, OH, 44147.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60" w:space="300"/>
            <w:col w:w="10260"/>
          </w:cols>
          <w:pgMar w:left="320" w:top="355" w:right="359" w:bottom="0" w:gutter="0" w:footer="0" w:header="0"/>
          <w:type w:val="continuous"/>
        </w:sectPr>
      </w:pPr>
    </w:p>
    <w:p>
      <w:pPr>
        <w:spacing w:after="0" w:line="33" w:lineRule="exact"/>
        <w:rPr>
          <w:sz w:val="20"/>
          <w:szCs w:val="20"/>
          <w:color w:val="auto"/>
        </w:rPr>
      </w:pPr>
    </w:p>
    <w:p>
      <w:pPr>
        <w:ind w:left="960" w:right="180"/>
        <w:spacing w:after="0" w:line="249" w:lineRule="auto"/>
        <w:rPr>
          <w:sz w:val="20"/>
          <w:szCs w:val="20"/>
          <w:color w:val="auto"/>
        </w:rPr>
      </w:pPr>
      <w:r>
        <w:rPr>
          <w:rFonts w:ascii="Times New Roman" w:cs="Times New Roman" w:eastAsia="Times New Roman" w:hAnsi="Times New Roman"/>
          <w:sz w:val="21"/>
          <w:szCs w:val="21"/>
          <w:color w:val="auto"/>
        </w:rPr>
        <w:t>This Amendment No. 3 to Schedule 13G is being filed jointly by (i) GTCR Fund XI/A LP, a Delaware limited partnership ("Fund XI/A"), (ii) GTCR Fund XI/C LP, a Delaware limited partnership ("Fund XI/C"), (iii) GTCR Co-Invest XI LP, a Delaware limited partnership ("Co-Invest XI", and together, with Fund XI/A and Fund XI/C, the</w:t>
      </w:r>
    </w:p>
    <w:p>
      <w:pPr>
        <w:spacing w:after="0" w:line="1" w:lineRule="exact"/>
        <w:rPr>
          <w:sz w:val="20"/>
          <w:szCs w:val="20"/>
          <w:color w:val="auto"/>
        </w:rPr>
      </w:pPr>
    </w:p>
    <w:p>
      <w:pPr>
        <w:ind w:left="960" w:right="80" w:hanging="912"/>
        <w:spacing w:after="0" w:line="204" w:lineRule="auto"/>
        <w:tabs>
          <w:tab w:leader="none" w:pos="96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"GTCR XI Funds or GTCR Investors"), (iv) GTCR Partners XI/A&amp;C LP, a Delaware limited partnership ("Partners XI/A&amp;C"), is the general partner of each of Fund XI/A and Fund XI/C. GTCR Investment XI LLC, a Delaware limited liability company ("Investment XI"),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 The GTCR XI Funds, Partners XI/A&amp;C and Investment XI are collectively referred to herein as the "GTCR Reporting Persons".</w:t>
      </w:r>
    </w:p>
    <w:p>
      <w:pPr>
        <w:spacing w:after="0" w:line="20"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60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GTCR Reporting Persons is 300 North LaSalle Street, Suite 5600, Chicago, IL 60654.</w:t>
      </w:r>
    </w:p>
    <w:p>
      <w:pPr>
        <w:spacing w:after="0" w:line="2" w:lineRule="exact"/>
        <w:rPr>
          <w:rFonts w:ascii="Times New Roman" w:cs="Times New Roman" w:eastAsia="Times New Roman" w:hAnsi="Times New Roman"/>
          <w:sz w:val="39"/>
          <w:szCs w:val="39"/>
          <w:color w:val="auto"/>
          <w:vertAlign w:val="superscript"/>
        </w:rPr>
      </w:pPr>
    </w:p>
    <w:p>
      <w:pPr>
        <w:ind w:left="960" w:hanging="912"/>
        <w:spacing w:after="0" w:line="182" w:lineRule="auto"/>
        <w:tabs>
          <w:tab w:leader="none" w:pos="960" w:val="left"/>
        </w:tabs>
        <w:numPr>
          <w:ilvl w:val="0"/>
          <w:numId w:val="1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Citizenship:</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1220"/>
          </w:cols>
          <w:pgMar w:left="320" w:top="355" w:right="359" w:bottom="0" w:gutter="0" w:footer="0" w:header="0"/>
          <w:type w:val="continuous"/>
        </w:sectPr>
      </w:pPr>
    </w:p>
    <w:bookmarkStart w:id="6" w:name="page7"/>
    <w:bookmarkEnd w:id="6"/>
    <w:p>
      <w:pPr>
        <w:ind w:left="920" w:right="660" w:hanging="912"/>
        <w:spacing w:after="0" w:line="258"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The information required by Items 4(a)-(c) is set forth in Rows 5-11 of the cover page hereto for each GTCR Reporting Person and is incorporated herein by reference for each such GTCR Reporting Person. On November 19, 2020, (i) the Issuer, (ii) Warburg Pincus Private Equity XI, L.P., Warburg Pincus Private Equity XI-B, L.P., Warburg Pincus Private Equity XI-C, L.P., WP XI Partners, L.P. and Bull Co-Invest, L.P. (collectively, the "Warburg Pincus Sponsors" or "Warburg Pincus Investors"), (iii) the GTCR XI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XI Funds has agreed to vote the shares of Common Stock of the Issuer that each holds of record in a certain manner on matters related to the election of certain directors appointed by the Warburg Pincus Sponsors and the GTCR XI Funds. The Warburg Pincus Sponsors and the GTCR XI Funds hold an aggregate total of 103,038,253 shares of Common Stock of the Issuer (approximately 36.3% of the outstanding shares of Common Stock of the Issuer), including 41,215,301 shares of Common Stock owned by the GTCR XI Funds and 61,822,952 shares of Common Stock owned by the Warburg Pincus Sponsors. The GTCR Reporting Persons are not entitled to</w:t>
      </w:r>
    </w:p>
    <w:p>
      <w:pPr>
        <w:spacing w:after="0" w:line="3" w:lineRule="exact"/>
        <w:rPr>
          <w:sz w:val="20"/>
          <w:szCs w:val="20"/>
          <w:color w:val="auto"/>
        </w:rPr>
      </w:pPr>
    </w:p>
    <w:p>
      <w:pPr>
        <w:ind w:left="920" w:hanging="912"/>
        <w:spacing w:after="0" w:line="219"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any rights as a stockholder of the Issuer with respect to the shares of Common Stock of the Issuer beneficially owned by the Other Investors or the Warburg Pincus Sponsors except as expressly set forth in the Stockholders Agreement and the GTCR Reporting Persons do not have dispositive power over the Common Stock owned by the Warburg Pincus Sponsors. Each GTCR Reporting Person and each of the individual members of the GTCR Board of Managers expressly disclaims beneficial ownership (within the meaning of Rule 13d-3 of the Exchange Act) with respect to any shares of Common Stock of the Issuer other than the shares of Common Stock of the Issuer owned of record by a GTCR Reporting Person. The number of shares of Common Stock of the Issuer owned by each GTCR Reporting Person as set forth in Rows 5 - 11 of their respective cover pages to this Schedule 13G does not reflect the aggregate shares of Common Stock of the Issuer owned by the Other Investors. The aggregate total of 61,822,952 shares of Common Stock of the Issuer indicated in this Amendment No. 3 to Schedule 13G as being beneficially owned by the Warburg Pincus Sponsors is derived from the Warburg Pincus Sponsors' Form 4, filed with the Commission on September 9, 2025, and is not purported to be an accurate representation of the Warburg Pincus Sponsors' beneficial ownership as of the date of this Amendment No. 3 to Schedule 13G. The Warburg Pincus Sponsors are responsible for reporting their beneficial ownership of shares of Common Stock of the Issuer on their own behalf, and the GTCR Reporting Persons disclaim responsibility for reporting the shares of Common Stock of the Issuer beneficially owned by the Warburg Pincus Sponsors. The percentages used herein are calculated based on 284,046,606 shares of Common Stock outstanding as of July 29, 2025 as reported on the Issuer's final prospectus supplement, filed pursuant to Rule 424(b)(7) on September 4, 2025.</w:t>
      </w:r>
    </w:p>
    <w:p>
      <w:pPr>
        <w:spacing w:after="0" w:line="13" w:lineRule="exact"/>
        <w:rPr>
          <w:rFonts w:ascii="Times New Roman" w:cs="Times New Roman" w:eastAsia="Times New Roman" w:hAnsi="Times New Roman"/>
          <w:sz w:val="43"/>
          <w:szCs w:val="43"/>
          <w:color w:val="auto"/>
          <w:vertAlign w:val="subscript"/>
        </w:rPr>
      </w:pPr>
    </w:p>
    <w:p>
      <w:pPr>
        <w:ind w:left="920" w:hanging="912"/>
        <w:spacing w:after="0" w:line="182" w:lineRule="auto"/>
        <w:tabs>
          <w:tab w:leader="none" w:pos="920" w:val="left"/>
        </w:tabs>
        <w:numPr>
          <w:ilvl w:val="0"/>
          <w:numId w:val="1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Percent of class:</w:t>
      </w:r>
    </w:p>
    <w:p>
      <w:pPr>
        <w:spacing w:after="0" w:line="258" w:lineRule="exact"/>
        <w:rPr>
          <w:rFonts w:ascii="Times New Roman" w:cs="Times New Roman" w:eastAsia="Times New Roman" w:hAnsi="Times New Roman"/>
          <w:sz w:val="34"/>
          <w:szCs w:val="34"/>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26" w:right="419" w:bottom="0" w:gutter="0" w:footer="0" w:header="0"/>
          <w:type w:val="continuous"/>
        </w:sectPr>
      </w:pPr>
    </w:p>
    <w:bookmarkStart w:id="7" w:name="page8"/>
    <w:bookmarkEnd w:id="7"/>
    <w:p>
      <w:pPr>
        <w:spacing w:after="0" w:line="1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1240" w:hanging="314"/>
        <w:spacing w:after="0"/>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GTCR Reporting Persons are making this single, joint filing because they may be deemed to constitute a</w:t>
      </w:r>
    </w:p>
    <w:p>
      <w:pPr>
        <w:spacing w:after="0" w:line="14" w:lineRule="exact"/>
        <w:rPr>
          <w:rFonts w:ascii="Times New Roman" w:cs="Times New Roman" w:eastAsia="Times New Roman" w:hAnsi="Times New Roman"/>
          <w:sz w:val="22"/>
          <w:szCs w:val="22"/>
          <w:color w:val="auto"/>
        </w:rPr>
      </w:pPr>
    </w:p>
    <w:p>
      <w:pPr>
        <w:ind w:left="920" w:right="1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"group" within the meaning of the Exchange Act. The joint filing agreement among the GTCR Reporting Persons to file this Amendment No. 3 to Schedule 13G jointly in accordance with Rule 13d-1(k) of the Exchange Act is incorporated by reference as Exhibit 99.1. (2) Each GTCR Reporting Person expressly disclaims beneficial ownership (within the meaning of Rule 13d-3 of the Exchange Act) with respect to any shares of Common Stock of the issuer other than the shares of Common Stock of the issuer owned of record by such GTCR Reporting Person.</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Jeffrey Wright, Chief Legal Officer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4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4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40"/>
        <w:spacing w:after="0"/>
        <w:rPr>
          <w:sz w:val="20"/>
          <w:szCs w:val="20"/>
          <w:color w:val="auto"/>
        </w:rPr>
      </w:pPr>
      <w:r>
        <w:rPr>
          <w:rFonts w:ascii="Times New Roman" w:cs="Times New Roman" w:eastAsia="Times New Roman" w:hAnsi="Times New Roman"/>
          <w:sz w:val="22"/>
          <w:szCs w:val="22"/>
          <w:color w:val="auto"/>
        </w:rPr>
        <w:t>CO-INVEST XI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40"/>
        <w:spacing w:after="0"/>
        <w:rPr>
          <w:sz w:val="20"/>
          <w:szCs w:val="20"/>
          <w:color w:val="auto"/>
        </w:rPr>
      </w:pPr>
      <w:r>
        <w:rPr>
          <w:rFonts w:ascii="Times New Roman" w:cs="Times New Roman" w:eastAsia="Times New Roman" w:hAnsi="Times New Roman"/>
          <w:sz w:val="22"/>
          <w:szCs w:val="22"/>
          <w:color w:val="auto"/>
        </w:rPr>
        <w:t>PARTNERS XI/A&amp;C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Exhibit 99.1 Agreement of Joint Filing as required by Rule 13d-1(k)(1) under the Act.* * Incorporated herein by reference to the Agreement of Joint Filing by GTCR Investment XI LLC, GTCR Fund XI/A LP, GTCR Fund XI/C LP, GTCR Co-Invest XI LP and GTCR Partners XI/A&amp;C LP dated as of February 11, 2022, which was previously filed with the Commission as Exhibit A to</w:t>
      </w:r>
    </w:p>
    <w:p>
      <w:pPr>
        <w:sectPr>
          <w:pgSz w:w="11900" w:h="16949" w:orient="portrait"/>
          <w:cols w:equalWidth="0" w:num="1">
            <w:col w:w="11160"/>
          </w:cols>
          <w:pgMar w:left="360" w:top="111" w:right="379" w:bottom="0" w:gutter="0" w:footer="0" w:header="0"/>
        </w:sectPr>
      </w:pPr>
    </w:p>
    <w:bookmarkStart w:id="8" w:name="page9"/>
    <w:bookmarkEnd w:id="8"/>
    <w:p>
      <w:pPr>
        <w:jc w:val="both"/>
        <w:spacing w:after="0" w:line="244" w:lineRule="auto"/>
        <w:rPr>
          <w:sz w:val="20"/>
          <w:szCs w:val="20"/>
          <w:color w:val="auto"/>
        </w:rPr>
      </w:pPr>
      <w:r>
        <w:rPr>
          <w:rFonts w:ascii="Times New Roman" w:cs="Times New Roman" w:eastAsia="Times New Roman" w:hAnsi="Times New Roman"/>
          <w:sz w:val="22"/>
          <w:szCs w:val="22"/>
          <w:color w:val="auto"/>
        </w:rPr>
        <w:t>Amendment No. 1 to Schedule 13G filed by GTCR Investment XI LLC, GTCR Fund XI/A LP, GTCR Fund XI/C LP, GTCR Co-Invest XI LP and GTCR Partners XI/A&amp;C LP on February 11, 2022 with respect to the shares of common stock of Sotera Health Co.</w:t>
      </w:r>
    </w:p>
    <w:sectPr>
      <w:pgSz w:w="11900" w:h="16838" w:orient="portrait"/>
      <w:cols w:equalWidth="0" w:num="1">
        <w:col w:w="10860"/>
      </w:cols>
      <w:pgMar w:left="360" w:top="11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9"/>
    </w:lvl>
  </w:abstractNum>
  <w:abstractNum w:abstractNumId="12">
    <w:nsid w:val="7FDCC233"/>
    <w:multiLevelType w:val="hybridMultilevel"/>
    <w:lvl w:ilvl="0">
      <w:lvlJc w:val="left"/>
      <w:lvlText w:val="(%1)"/>
      <w:numFmt w:val="lowerLetter"/>
      <w:start w:val="1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2025-09-10T15:21:41Z</dcterms:created>
  <dcterms:modified xsi:type="dcterms:W3CDTF">2025-09-10T15:21:41Z</dcterms:modified>
</cp:coreProperties>
</file>