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80"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0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WARBURG PINCUS &amp; CO.</w:t>
              </w:r>
            </w:hyperlink>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Sotera Health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500" w:type="dxa"/>
            <w:vAlign w:val="bottom"/>
            <w:gridSpan w:val="6"/>
            <w:vMerge w:val="continue"/>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00" w:type="dxa"/>
            <w:vAlign w:val="bottom"/>
            <w:gridSpan w:val="6"/>
            <w:vMerge w:val="continue"/>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7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740" w:type="dxa"/>
            <w:vAlign w:val="bottom"/>
            <w:gridSpan w:val="3"/>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740" w:type="dxa"/>
            <w:vAlign w:val="bottom"/>
            <w:gridSpan w:val="3"/>
            <w:vMerge w:val="continue"/>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20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780" w:type="dxa"/>
            <w:vAlign w:val="bottom"/>
          </w:tcPr>
          <w:p>
            <w:pPr>
              <w:spacing w:after="0"/>
              <w:rPr>
                <w:sz w:val="16"/>
                <w:szCs w:val="16"/>
                <w:color w:val="auto"/>
              </w:rPr>
            </w:pPr>
          </w:p>
        </w:tc>
        <w:tc>
          <w:tcPr>
            <w:tcW w:w="74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10"/>
          </w:tcPr>
          <w:p>
            <w:pPr>
              <w:ind w:left="300"/>
              <w:spacing w:after="0"/>
              <w:rPr>
                <w:sz w:val="20"/>
                <w:szCs w:val="20"/>
                <w:color w:val="auto"/>
              </w:rPr>
            </w:pPr>
            <w:r>
              <w:rPr>
                <w:rFonts w:ascii="Times New Roman" w:cs="Times New Roman" w:eastAsia="Times New Roman" w:hAnsi="Times New Roman"/>
                <w:sz w:val="17"/>
                <w:szCs w:val="17"/>
                <w:color w:val="0000FF"/>
              </w:rPr>
              <w:t>09/05/2025</w:t>
            </w: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0"/>
            <w:vMerge w:val="continue"/>
          </w:tcPr>
          <w:p>
            <w:pPr>
              <w:spacing w:after="0"/>
              <w:rPr>
                <w:sz w:val="9"/>
                <w:szCs w:val="9"/>
                <w:color w:val="auto"/>
              </w:rPr>
            </w:pPr>
          </w:p>
        </w:tc>
        <w:tc>
          <w:tcPr>
            <w:tcW w:w="33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680" w:type="dxa"/>
            <w:vAlign w:val="bottom"/>
            <w:gridSpan w:val="2"/>
          </w:tcPr>
          <w:p>
            <w:pPr>
              <w:ind w:left="600"/>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06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7"/>
                <w:szCs w:val="17"/>
                <w:color w:val="0000FF"/>
              </w:rPr>
              <w:t>10017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2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98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gridSpan w:val="2"/>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320" w:type="dxa"/>
            <w:vAlign w:val="bottom"/>
            <w:tcBorders>
              <w:top w:val="single" w:sz="8" w:color="2C2C2C"/>
            </w:tcBorders>
            <w:gridSpan w:val="21"/>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3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8"/>
          </w:tcPr>
          <w:p>
            <w:pPr>
              <w:ind w:left="2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360" w:type="dxa"/>
            <w:vAlign w:val="bottom"/>
            <w:gridSpan w:val="4"/>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22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1480" w:type="dxa"/>
            <w:vAlign w:val="bottom"/>
            <w:gridSpan w:val="4"/>
          </w:tcPr>
          <w:p>
            <w:pPr>
              <w:ind w:left="1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2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30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1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2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48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(A)</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Amount</w:t>
            </w:r>
          </w:p>
        </w:tc>
        <w:tc>
          <w:tcPr>
            <w:tcW w:w="7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ind w:left="4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09/05/2025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12,000,000</w:t>
            </w:r>
            <w:r>
              <w:rPr>
                <w:rFonts w:ascii="Times New Roman" w:cs="Times New Roman" w:eastAsia="Times New Roman" w:hAnsi="Times New Roman"/>
                <w:sz w:val="22"/>
                <w:szCs w:val="22"/>
                <w:color w:val="008000"/>
                <w:vertAlign w:val="superscript"/>
              </w:rPr>
              <w:t>(1)</w:t>
            </w:r>
            <w:r>
              <w:rPr>
                <w:rFonts w:ascii="Times New Roman" w:cs="Times New Roman" w:eastAsia="Times New Roman" w:hAnsi="Times New Roman"/>
                <w:sz w:val="17"/>
                <w:szCs w:val="17"/>
                <w:color w:val="0000FF"/>
              </w:rPr>
              <w:t xml:space="preserve">    D</w:t>
            </w:r>
          </w:p>
        </w:tc>
        <w:tc>
          <w:tcPr>
            <w:tcW w:w="780" w:type="dxa"/>
            <w:vAlign w:val="bottom"/>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15.111</w:t>
            </w:r>
          </w:p>
        </w:tc>
        <w:tc>
          <w:tcPr>
            <w:tcW w:w="80" w:type="dxa"/>
            <w:vAlign w:val="bottom"/>
          </w:tcPr>
          <w:p>
            <w:pPr>
              <w:spacing w:after="0"/>
              <w:rPr>
                <w:sz w:val="24"/>
                <w:szCs w:val="24"/>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61,822,952</w:t>
            </w:r>
            <w:r>
              <w:rPr>
                <w:rFonts w:ascii="Times New Roman" w:cs="Times New Roman" w:eastAsia="Times New Roman" w:hAnsi="Times New Roman"/>
                <w:sz w:val="22"/>
                <w:szCs w:val="22"/>
                <w:color w:val="008000"/>
                <w:vertAlign w:val="superscript"/>
              </w:rPr>
              <w:t>(2)</w:t>
            </w:r>
          </w:p>
        </w:tc>
        <w:tc>
          <w:tcPr>
            <w:tcW w:w="78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48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See 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 share ("Common Stock")</w:t>
            </w:r>
          </w:p>
        </w:tc>
        <w:tc>
          <w:tcPr>
            <w:tcW w:w="2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1"/>
                <w:szCs w:val="11"/>
                <w:color w:val="008000"/>
              </w:rPr>
              <w:t>(4)(5)(6)</w:t>
            </w:r>
          </w:p>
        </w:tc>
        <w:tc>
          <w:tcPr>
            <w:tcW w:w="6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80" w:type="dxa"/>
            <w:vAlign w:val="bottom"/>
            <w:gridSpan w:val="18"/>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0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5"/>
          </w:tcPr>
          <w:p>
            <w:pPr>
              <w:ind w:left="2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20" w:type="dxa"/>
            <w:vAlign w:val="bottom"/>
            <w:gridSpan w:val="10"/>
          </w:tcPr>
          <w:p>
            <w:pPr>
              <w:ind w:left="10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2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60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WARBURG PINCUS &amp; CO.</w:t>
              </w:r>
            </w:hyperlink>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NY</w:t>
            </w:r>
          </w:p>
        </w:tc>
        <w:tc>
          <w:tcPr>
            <w:tcW w:w="76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10017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Warburg Pincus Private Equity XI, L.P.</w:t>
              </w:r>
            </w:hyperlink>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10017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AVENUE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-5190490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80" w:orient="portrait"/>
          <w:cols w:equalWidth="0" w:num="1">
            <w:col w:w="11080"/>
          </w:cols>
          <w:pgMar w:left="460" w:top="219" w:right="359" w:bottom="0" w:gutter="0" w:footer="0" w:header="0"/>
          <w:type w:val="continuous"/>
        </w:sectPr>
      </w:pPr>
    </w:p>
    <w:p>
      <w:pPr>
        <w:spacing w:after="0" w:line="24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WP XI Partners,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6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4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91"/>
        </w:trPr>
        <w:tc>
          <w:tcPr>
            <w:tcW w:w="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450 LEXINGTON</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10017</w:t>
            </w:r>
          </w:p>
        </w:tc>
      </w:tr>
      <w:tr>
        <w:trPr>
          <w:trHeight w:val="226"/>
        </w:trPr>
        <w:tc>
          <w:tcPr>
            <w:tcW w:w="4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AVENUE</w:t>
            </w:r>
          </w:p>
        </w:tc>
        <w:tc>
          <w:tcPr>
            <w:tcW w:w="11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87"/>
        </w:trPr>
        <w:tc>
          <w:tcPr>
            <w:tcW w:w="40" w:type="dxa"/>
            <w:vAlign w:val="bottom"/>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r>
      <w:tr>
        <w:trPr>
          <w:trHeight w:val="309"/>
        </w:trPr>
        <w:tc>
          <w:tcPr>
            <w:tcW w:w="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4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Warburg Pincus XI Partners,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6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2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Warburg Pincus Private Equity XI-B,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WARBURG PINCUS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450 LEXINGTON AVENUE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91"/>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450 LEXINGTON</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4"/>
                <w:szCs w:val="24"/>
                <w:color w:val="auto"/>
              </w:rPr>
            </w:pPr>
          </w:p>
        </w:tc>
      </w:tr>
      <w:tr>
        <w:trPr>
          <w:trHeight w:val="226"/>
        </w:trPr>
        <w:tc>
          <w:tcPr>
            <w:tcW w:w="1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AVENUE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87"/>
        </w:trPr>
        <w:tc>
          <w:tcPr>
            <w:tcW w:w="100" w:type="dxa"/>
            <w:vAlign w:val="bottom"/>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Bull Co-Invest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Bull Holdco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Warburg Pincus XI,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WARBURG PINCUS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450 LEXINGTON AVENUE</w:t>
      </w:r>
    </w:p>
    <w:p>
      <w:pPr>
        <w:sectPr>
          <w:pgSz w:w="11900" w:h="16880" w:orient="portrait"/>
          <w:cols w:equalWidth="0" w:num="1">
            <w:col w:w="9979"/>
          </w:cols>
          <w:pgMar w:left="480" w:top="256" w:right="1440" w:bottom="0" w:gutter="0" w:footer="0" w:header="0"/>
        </w:sectPr>
      </w:pPr>
    </w:p>
    <w:p>
      <w:pPr>
        <w:spacing w:after="0" w:line="29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80" w:orient="portrait"/>
          <w:cols w:equalWidth="0" w:num="1">
            <w:col w:w="9979"/>
          </w:cols>
          <w:pgMar w:left="480" w:top="256"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450 LEXINGTON</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4"/>
                <w:szCs w:val="24"/>
                <w:color w:val="auto"/>
              </w:rPr>
            </w:pPr>
          </w:p>
        </w:tc>
      </w:tr>
      <w:tr>
        <w:trPr>
          <w:trHeight w:val="226"/>
        </w:trPr>
        <w:tc>
          <w:tcPr>
            <w:tcW w:w="1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AVENUE</w:t>
            </w:r>
          </w:p>
        </w:tc>
        <w:tc>
          <w:tcPr>
            <w:tcW w:w="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87"/>
        </w:trPr>
        <w:tc>
          <w:tcPr>
            <w:tcW w:w="100" w:type="dxa"/>
            <w:vAlign w:val="bottom"/>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gridSpan w:val="4"/>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WP Global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gridSpan w:val="4"/>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Warburg Pincus Partners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-4155440</wp:posOffset>
            </wp:positionV>
            <wp:extent cx="2809240" cy="42348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2809240" cy="4234815"/>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5, 2025, certain of the Warburg Pincus Entities (as defined below) sold a total of 12,000,000 shares of Common Stock of Sotera Health Company (the "Issuer") in an underwritten public secondary offering (the "Offering").</w:t>
      </w:r>
    </w:p>
    <w:p>
      <w:pPr>
        <w:spacing w:after="0" w:line="7" w:lineRule="exact"/>
        <w:rPr>
          <w:rFonts w:ascii="Times New Roman" w:cs="Times New Roman" w:eastAsia="Times New Roman" w:hAnsi="Times New Roman"/>
          <w:sz w:val="13"/>
          <w:szCs w:val="13"/>
          <w:color w:val="008000"/>
        </w:rPr>
      </w:pPr>
    </w:p>
    <w:p>
      <w:pPr>
        <w:ind w:left="20" w:right="2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Offering, consists of (i) 49,475,694 shares of Common Stock of the Issuer held by Bull Holdco L.P. ("Bull Holdco") and (ii) 12,347,258 shares of Common Stock of the Issuer held by Bull Co-Invest L.P., a Delaware limited partnership ("Bull Co-Invest").</w:t>
      </w:r>
    </w:p>
    <w:p>
      <w:pPr>
        <w:spacing w:after="0" w:line="7" w:lineRule="exact"/>
        <w:rPr>
          <w:rFonts w:ascii="Times New Roman" w:cs="Times New Roman" w:eastAsia="Times New Roman" w:hAnsi="Times New Roman"/>
          <w:sz w:val="13"/>
          <w:szCs w:val="13"/>
          <w:color w:val="008000"/>
        </w:rPr>
      </w:pPr>
    </w:p>
    <w:p>
      <w:pPr>
        <w:ind w:left="20" w:righ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Warburg Pincus XI, L.P., a Delaware limited partnership ("WP XI GP"), is the general partner of each of (i) Warburg Pincus Private Equity XI, L.P. ("WP XI"), (ii) Warburg Pincus Private Equity XI-B, L.P. ("WP XI-B"), (iii) WP XI Partners, L.P. ("WP XI Partners") and (iv) Warburg Pincus XI Partners, L.P. ("Warburg Pincus XI Partners"). WP Global LLC ("WP Global"), is the general partner of WP XI GP. Warburg Pincus Partners II, L.P. ("WPP II"), is the managing member of WP Global. Warburg Pincus Partners GP LLC ("WPP GP LLC"), is the general partner of WPP II. Warburg Pincus &amp; Co. ("WP"), is the managing member of WPP GP LLC. Warburg Pincus (Cayman) XI, L.P. ("WP XI Cayman GP"), is the general partner of Warburg Pincus Private Equity XI-C, L.P. ("WP XI-C" and, together with WP XI, WP XI-B, WP XI Partners and Warburg Pincus XI Partners, the "WP XI Funds").</w:t>
      </w:r>
    </w:p>
    <w:p>
      <w:pPr>
        <w:spacing w:after="0" w:line="26" w:lineRule="exact"/>
        <w:rPr>
          <w:rFonts w:ascii="Times New Roman" w:cs="Times New Roman" w:eastAsia="Times New Roman" w:hAnsi="Times New Roman"/>
          <w:sz w:val="13"/>
          <w:szCs w:val="13"/>
          <w:color w:val="008000"/>
        </w:rPr>
      </w:pPr>
    </w:p>
    <w:p>
      <w:pPr>
        <w:ind w:left="20" w:right="1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WP XI Funds, Bull Co-Invest, Bull Holdco, WP Global, WPP II, WPP GP LLC, WP XI Cayman GP, WP XI-C LLC, WPP II Cayman, WP Bermuda GP, WP Bull Manager, WP LLC and WP are collectively referred to herein as the "Warburg Pincus Entities."</w:t>
      </w:r>
    </w:p>
    <w:p>
      <w:pPr>
        <w:spacing w:after="0" w:line="7"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Warburg Pincus Entity disclaims beneficial ownership with respect to any shares of Common Stock of the Issuer, except to the extent of its pecuniary interest in such shares of Common Stock, if any. The WP XI Funds, Bull Co-Invest, Bull Holdco, WP Global, WPP II, WPP GP LLC, WP XI Cayman GP, WP XI-C LLC, WPP II Cayman, WP Bermuda GP, WP Bull Manager, WP LLC and WP are directors-by-deputization solely for purposes of Section 16 of the Securities Exchange Act of 1934, as amended. Information with respect to each of the Warburg Pincus Entities is given solely by such Warburg Pincus Entity, and no Warburg Pincus Entity has responsibility for the accuracy or completeness of information supplied by another Warburg Pincus Entity.</w:t>
      </w:r>
    </w:p>
    <w:p>
      <w:pPr>
        <w:spacing w:after="0" w:line="24"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Warburg Pincus XI-C, LLC ("WP XI-C LLC"), is the general partner of WP XI Cayman GP. Warburg Pincus Partners II (Cayman), L.P. ("WPP II Cayman"), is the managing member of WP XI-C LLC. Warburg Pincus (Bermuda) Private Equity GP Ltd. ("WP Bermuda GP"), is the general partner of WPP II Cayman. WP Bull Manager LLC ("WP Bull Manager"), is the general partner of Bull Co-Invest. WP is managing member of WP Bull Manager. Warburg Pincus LLC, a New York limited liability company ("WP LLC"), is the manager of the WP XI Funds. The WP XI Funds share limited partnership ownership in Bull Holdco on a pro rata basis in accordance with their respective numbers of Contributed Shares.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Form 1 of 2. Two reports are filed that relate to the same transactions. See Form 2 of 2 for additional reporting entities.</w:t>
      </w:r>
    </w:p>
    <w:p>
      <w:pPr>
        <w:spacing w:after="0" w:line="6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See Exhibit 99.1</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09/09/2025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480" w:top="138"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List of Reporting Owners and Signature Page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designated filer: WARBURG PINCUS &amp; CO.</w:t>
      </w:r>
    </w:p>
    <w:p>
      <w:pPr>
        <w:spacing w:after="0" w:line="219"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8"/>
          <w:szCs w:val="18"/>
          <w:color w:val="auto"/>
        </w:rPr>
        <w:t>Other joint filers: Warburg Pincus Private Equity XI, L.P., WP XI Partners, L.P., Warburg Pincus XI Partners, L.P., Warburg Pincus Private Equity XI-B, L.P., Bull Co-Invest L.P., Bull Holdco, L.P., Warburg Pincus XI, L.P., WP Global LLC, Warburg Pincus Partners II, L.P.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each joint filer is: c/o Warburg Pincus &amp; Co., 450 Lexington Avenue, New York, New York 10017</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Name and Ticker or Trading Symbol: Sotera Health Co [SHC]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6964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359"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WARBURG PINCUS &amp; CO.</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99"/>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340" w:type="dxa"/>
            <w:vAlign w:val="bottom"/>
          </w:tcPr>
          <w:p>
            <w:pPr>
              <w:spacing w:after="0"/>
              <w:rPr>
                <w:sz w:val="24"/>
                <w:szCs w:val="24"/>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5"/>
              </w:rPr>
              <w:t>09/09/2025</w:t>
            </w:r>
          </w:p>
        </w:tc>
      </w:tr>
      <w:tr>
        <w:trPr>
          <w:trHeight w:val="20"/>
        </w:trPr>
        <w:tc>
          <w:tcPr>
            <w:tcW w:w="14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41"/>
        </w:trPr>
        <w:tc>
          <w:tcPr>
            <w:tcW w:w="1400" w:type="dxa"/>
            <w:vAlign w:val="bottom"/>
          </w:tcPr>
          <w:p>
            <w:pPr>
              <w:spacing w:after="0"/>
              <w:rPr>
                <w:sz w:val="20"/>
                <w:szCs w:val="20"/>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Harsha G. Marti</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Partner</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0"/>
        </w:trPr>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WARBURG PINCUS PRIVATE EQUITY XI, L.P.</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340" w:type="dxa"/>
            <w:vAlign w:val="bottom"/>
          </w:tcPr>
          <w:p>
            <w:pPr>
              <w:spacing w:after="0"/>
              <w:rPr>
                <w:sz w:val="24"/>
                <w:szCs w:val="24"/>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5"/>
              </w:rPr>
              <w:t>09/09/2025</w:t>
            </w:r>
          </w:p>
        </w:tc>
      </w:tr>
      <w:tr>
        <w:trPr>
          <w:trHeight w:val="20"/>
        </w:trPr>
        <w:tc>
          <w:tcPr>
            <w:tcW w:w="14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41"/>
        </w:trPr>
        <w:tc>
          <w:tcPr>
            <w:tcW w:w="1400" w:type="dxa"/>
            <w:vAlign w:val="bottom"/>
          </w:tcPr>
          <w:p>
            <w:pPr>
              <w:spacing w:after="0"/>
              <w:rPr>
                <w:sz w:val="20"/>
                <w:szCs w:val="20"/>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Harsha G. Marti</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Partner</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0"/>
        </w:trPr>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WP XI PARTNERS, L.P.</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340" w:type="dxa"/>
            <w:vAlign w:val="bottom"/>
          </w:tcPr>
          <w:p>
            <w:pPr>
              <w:spacing w:after="0"/>
              <w:rPr>
                <w:sz w:val="24"/>
                <w:szCs w:val="24"/>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5"/>
              </w:rPr>
              <w:t>09/09/2025</w:t>
            </w:r>
          </w:p>
        </w:tc>
      </w:tr>
      <w:tr>
        <w:trPr>
          <w:trHeight w:val="20"/>
        </w:trPr>
        <w:tc>
          <w:tcPr>
            <w:tcW w:w="14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41"/>
        </w:trPr>
        <w:tc>
          <w:tcPr>
            <w:tcW w:w="1400" w:type="dxa"/>
            <w:vAlign w:val="bottom"/>
          </w:tcPr>
          <w:p>
            <w:pPr>
              <w:spacing w:after="0"/>
              <w:rPr>
                <w:sz w:val="20"/>
                <w:szCs w:val="20"/>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Harsha G. Marti</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Partner</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0"/>
        </w:trPr>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WARBURG PINCUS XI PARTNERS, L.P.</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340" w:type="dxa"/>
            <w:vAlign w:val="bottom"/>
          </w:tcPr>
          <w:p>
            <w:pPr>
              <w:spacing w:after="0"/>
              <w:rPr>
                <w:sz w:val="24"/>
                <w:szCs w:val="24"/>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09/09/2025</w:t>
            </w:r>
          </w:p>
        </w:tc>
        <w:tc>
          <w:tcPr>
            <w:tcW w:w="20" w:type="dxa"/>
            <w:vAlign w:val="bottom"/>
          </w:tcPr>
          <w:p>
            <w:pPr>
              <w:spacing w:after="0"/>
              <w:rPr>
                <w:sz w:val="24"/>
                <w:szCs w:val="24"/>
                <w:color w:val="auto"/>
              </w:rPr>
            </w:pPr>
          </w:p>
        </w:tc>
      </w:tr>
      <w:tr>
        <w:trPr>
          <w:trHeight w:val="241"/>
        </w:trPr>
        <w:tc>
          <w:tcPr>
            <w:tcW w:w="1400" w:type="dxa"/>
            <w:vAlign w:val="bottom"/>
          </w:tcPr>
          <w:p>
            <w:pPr>
              <w:spacing w:after="0"/>
              <w:rPr>
                <w:sz w:val="20"/>
                <w:szCs w:val="20"/>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Harsha G. Marti</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Partner</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0"/>
        </w:trPr>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WARBURG PINCUS PRIVATE EQUITY XI-B, L.P.</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1400" w:type="dxa"/>
            <w:vAlign w:val="bottom"/>
          </w:tcPr>
          <w:p>
            <w:pPr>
              <w:spacing w:after="0"/>
              <w:rPr>
                <w:sz w:val="20"/>
                <w:szCs w:val="20"/>
                <w:color w:val="auto"/>
              </w:rPr>
            </w:pP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340" w:type="dxa"/>
            <w:vAlign w:val="bottom"/>
          </w:tcPr>
          <w:p>
            <w:pPr>
              <w:spacing w:after="0"/>
              <w:rPr>
                <w:sz w:val="24"/>
                <w:szCs w:val="24"/>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09/09/2025</w:t>
            </w:r>
          </w:p>
        </w:tc>
        <w:tc>
          <w:tcPr>
            <w:tcW w:w="20" w:type="dxa"/>
            <w:vAlign w:val="bottom"/>
          </w:tcPr>
          <w:p>
            <w:pPr>
              <w:spacing w:after="0"/>
              <w:rPr>
                <w:sz w:val="24"/>
                <w:szCs w:val="24"/>
                <w:color w:val="auto"/>
              </w:rPr>
            </w:pPr>
          </w:p>
        </w:tc>
      </w:tr>
      <w:tr>
        <w:trPr>
          <w:trHeight w:val="241"/>
        </w:trPr>
        <w:tc>
          <w:tcPr>
            <w:tcW w:w="1400" w:type="dxa"/>
            <w:vAlign w:val="bottom"/>
          </w:tcPr>
          <w:p>
            <w:pPr>
              <w:spacing w:after="0"/>
              <w:rPr>
                <w:sz w:val="20"/>
                <w:szCs w:val="20"/>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Harsha G. Marti</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Partner</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0"/>
        </w:trPr>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BULL CO-INVEST, L.P.</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WP Bull Manager, LLC, its general partner</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340" w:type="dxa"/>
            <w:vAlign w:val="bottom"/>
          </w:tcPr>
          <w:p>
            <w:pPr>
              <w:spacing w:after="0"/>
              <w:rPr>
                <w:sz w:val="24"/>
                <w:szCs w:val="24"/>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09/09/2025</w:t>
            </w:r>
          </w:p>
        </w:tc>
        <w:tc>
          <w:tcPr>
            <w:tcW w:w="20" w:type="dxa"/>
            <w:vAlign w:val="bottom"/>
          </w:tcPr>
          <w:p>
            <w:pPr>
              <w:spacing w:after="0"/>
              <w:rPr>
                <w:sz w:val="24"/>
                <w:szCs w:val="24"/>
                <w:color w:val="auto"/>
              </w:rPr>
            </w:pPr>
          </w:p>
        </w:tc>
      </w:tr>
    </w:tbl>
    <w:p>
      <w:pPr>
        <w:sectPr>
          <w:pgSz w:w="11900" w:h="16838" w:orient="portrait"/>
          <w:cols w:equalWidth="0" w:num="1">
            <w:col w:w="9899"/>
          </w:cols>
          <w:pgMar w:left="560" w:top="1212"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Harsha G. Marti</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Partner</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640"/>
        </w:trPr>
        <w:tc>
          <w:tcPr>
            <w:tcW w:w="81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BULL HOLDCO, L.P.</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WP Bull Holdco GP LLC, its general partner</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Warburg Pincus Private Equity XI, L.P., its sole and managing member</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By: Warburg Pincus &amp; Co., its managing member</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8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340" w:type="dxa"/>
            <w:vAlign w:val="bottom"/>
          </w:tcPr>
          <w:p>
            <w:pPr>
              <w:spacing w:after="0"/>
              <w:rPr>
                <w:sz w:val="24"/>
                <w:szCs w:val="24"/>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09/09/2025</w:t>
            </w:r>
          </w:p>
        </w:tc>
      </w:tr>
      <w:tr>
        <w:trPr>
          <w:trHeight w:val="241"/>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Harsha G. Marti</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Partner</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640"/>
        </w:trPr>
        <w:tc>
          <w:tcPr>
            <w:tcW w:w="81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WARBURG PINCUS XI, L.P.</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8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340" w:type="dxa"/>
            <w:vAlign w:val="bottom"/>
          </w:tcPr>
          <w:p>
            <w:pPr>
              <w:spacing w:after="0"/>
              <w:rPr>
                <w:sz w:val="24"/>
                <w:szCs w:val="24"/>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09/09/2025</w:t>
            </w:r>
          </w:p>
        </w:tc>
      </w:tr>
      <w:tr>
        <w:trPr>
          <w:trHeight w:val="241"/>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Harsha G. Marti</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Partner</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621"/>
        </w:trPr>
        <w:tc>
          <w:tcPr>
            <w:tcW w:w="81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WP GLOBAL LLC</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8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360" w:type="dxa"/>
            <w:vAlign w:val="bottom"/>
            <w:gridSpan w:val="2"/>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5"/>
              </w:rPr>
              <w:t>09/09/2025</w:t>
            </w: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41"/>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Harsha G. Marti</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Partner</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621"/>
        </w:trPr>
        <w:tc>
          <w:tcPr>
            <w:tcW w:w="81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WARBURG PINCUS PARTNERS II, L.P.</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8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360" w:type="dxa"/>
            <w:vAlign w:val="bottom"/>
            <w:gridSpan w:val="2"/>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5"/>
              </w:rPr>
              <w:t>09/09/2025</w:t>
            </w: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41"/>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Harsha G. Marti</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72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Managing Director</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9899"/>
      </w:cols>
      <w:pgMar w:left="56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13" Type="http://schemas.openxmlformats.org/officeDocument/2006/relationships/hyperlink" Target="http://www.sec.gov/cgi-bin/browse-edgar?action=getcompany&amp;CIK=0000929408" TargetMode="External"/><Relationship Id="rId14" Type="http://schemas.openxmlformats.org/officeDocument/2006/relationships/hyperlink" Target="http://www.sec.gov/cgi-bin/browse-edgar?action=getcompany&amp;CIK=0001822479" TargetMode="External"/><Relationship Id="rId15" Type="http://schemas.openxmlformats.org/officeDocument/2006/relationships/hyperlink" Target="http://www.sec.gov/cgi-bin/browse-edgar?action=getcompany&amp;CIK=0001540163" TargetMode="External"/><Relationship Id="rId18" Type="http://schemas.openxmlformats.org/officeDocument/2006/relationships/hyperlink" Target="http://www.sec.gov/cgi-bin/browse-edgar?action=getcompany&amp;CIK=0001540164" TargetMode="External"/><Relationship Id="rId19" Type="http://schemas.openxmlformats.org/officeDocument/2006/relationships/hyperlink" Target="http://www.sec.gov/cgi-bin/browse-edgar?action=getcompany&amp;CIK=0001540386" TargetMode="External"/><Relationship Id="rId20" Type="http://schemas.openxmlformats.org/officeDocument/2006/relationships/hyperlink" Target="http://www.sec.gov/cgi-bin/browse-edgar?action=getcompany&amp;CIK=0001540166" TargetMode="External"/><Relationship Id="rId21" Type="http://schemas.openxmlformats.org/officeDocument/2006/relationships/hyperlink" Target="http://www.sec.gov/cgi-bin/browse-edgar?action=getcompany&amp;CIK=0001832693" TargetMode="External"/><Relationship Id="rId22" Type="http://schemas.openxmlformats.org/officeDocument/2006/relationships/hyperlink" Target="http://www.sec.gov/cgi-bin/browse-edgar?action=getcompany&amp;CIK=0002014247" TargetMode="External"/><Relationship Id="rId23" Type="http://schemas.openxmlformats.org/officeDocument/2006/relationships/hyperlink" Target="http://www.sec.gov/cgi-bin/browse-edgar?action=getcompany&amp;CIK=0001540167" TargetMode="External"/><Relationship Id="rId24" Type="http://schemas.openxmlformats.org/officeDocument/2006/relationships/hyperlink" Target="http://www.sec.gov/cgi-bin/browse-edgar?action=getcompany&amp;CIK=0001540385" TargetMode="External"/><Relationship Id="rId25" Type="http://schemas.openxmlformats.org/officeDocument/2006/relationships/hyperlink" Target="http://www.sec.gov/cgi-bin/browse-edgar?action=getcompany&amp;CIK=00016587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2025-09-09T20:45:26Z</dcterms:created>
  <dcterms:modified xsi:type="dcterms:W3CDTF">2025-09-09T20:45:26Z</dcterms:modified>
</cp:coreProperties>
</file>