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27, 2024</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February 27, 2024, Sotera Health Company (the “Company”) issued a press release (the “Press Release”) announcing its financial results for the quarter and year ended December 31, 2023. The Company will hold its previously announced conference call on February 27, 2024, at 9:00 a.m. Eastern Time to discuss its financial results and full-year 2024 outlook. A copy of the Press Release is attached hereto as Exhibit 99.1 and is incorporated herein by reference.</w:t>
      </w:r>
    </w:p>
    <w:p>
      <w:pPr>
        <w:spacing w:after="0" w:line="13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700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February 27, 2024</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top w:val="single" w:sz="8" w:color="0000FF"/>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Sotera Health Reports Fourth-Quarter and Full-Year 2023 Results;</w:t>
      </w:r>
    </w:p>
    <w:p>
      <w:pPr>
        <w:jc w:val="center"/>
        <w:ind w:right="-19"/>
        <w:spacing w:after="0" w:line="237" w:lineRule="auto"/>
        <w:rPr>
          <w:sz w:val="20"/>
          <w:szCs w:val="20"/>
          <w:color w:val="auto"/>
        </w:rPr>
      </w:pPr>
      <w:r>
        <w:rPr>
          <w:rFonts w:ascii="Calibri" w:cs="Calibri" w:eastAsia="Calibri" w:hAnsi="Calibri"/>
          <w:sz w:val="29"/>
          <w:szCs w:val="29"/>
          <w:b w:val="1"/>
          <w:bCs w:val="1"/>
          <w:color w:val="auto"/>
        </w:rPr>
        <w:t>Provides 2024 Outlook</w:t>
      </w:r>
    </w:p>
    <w:p>
      <w:pPr>
        <w:spacing w:after="0" w:line="214" w:lineRule="exact"/>
        <w:rPr>
          <w:sz w:val="20"/>
          <w:szCs w:val="20"/>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2023 net revenues increased 4.5% to $1.05 billion, compared to 2022</w:t>
      </w:r>
    </w:p>
    <w:p>
      <w:pPr>
        <w:spacing w:after="0" w:line="57" w:lineRule="exact"/>
        <w:rPr>
          <w:rFonts w:ascii="Calibri" w:cs="Calibri" w:eastAsia="Calibri" w:hAnsi="Calibri"/>
          <w:sz w:val="22"/>
          <w:szCs w:val="22"/>
          <w:b w:val="1"/>
          <w:bCs w:val="1"/>
          <w:i w:val="1"/>
          <w:iCs w:val="1"/>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2023 net income of $51 million or $0.18 per diluted share</w:t>
      </w:r>
    </w:p>
    <w:p>
      <w:pPr>
        <w:spacing w:after="0" w:line="52" w:lineRule="exact"/>
        <w:rPr>
          <w:rFonts w:ascii="Calibri" w:cs="Calibri" w:eastAsia="Calibri" w:hAnsi="Calibri"/>
          <w:sz w:val="22"/>
          <w:szCs w:val="22"/>
          <w:b w:val="1"/>
          <w:bCs w:val="1"/>
          <w:i w:val="1"/>
          <w:iCs w:val="1"/>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2023 Adjusted EBITDA</w:t>
      </w:r>
      <w:r>
        <w:rPr>
          <w:rFonts w:ascii="Calibri" w:cs="Calibri" w:eastAsia="Calibri" w:hAnsi="Calibri"/>
          <w:sz w:val="28"/>
          <w:szCs w:val="28"/>
          <w:b w:val="1"/>
          <w:bCs w:val="1"/>
          <w:i w:val="1"/>
          <w:iCs w:val="1"/>
          <w:color w:val="auto"/>
          <w:vertAlign w:val="superscript"/>
        </w:rPr>
        <w:t>(1)</w:t>
      </w:r>
      <w:r>
        <w:rPr>
          <w:rFonts w:ascii="Calibri" w:cs="Calibri" w:eastAsia="Calibri" w:hAnsi="Calibri"/>
          <w:sz w:val="22"/>
          <w:szCs w:val="22"/>
          <w:b w:val="1"/>
          <w:bCs w:val="1"/>
          <w:i w:val="1"/>
          <w:iCs w:val="1"/>
          <w:color w:val="auto"/>
        </w:rPr>
        <w:t xml:space="preserve"> increased 4.3% to $528 million</w:t>
      </w:r>
    </w:p>
    <w:p>
      <w:pPr>
        <w:ind w:left="660" w:hanging="328"/>
        <w:spacing w:after="0" w:line="227"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2023 Adjusted EPS</w:t>
      </w:r>
      <w:r>
        <w:rPr>
          <w:rFonts w:ascii="Calibri" w:cs="Calibri" w:eastAsia="Calibri" w:hAnsi="Calibri"/>
          <w:sz w:val="28"/>
          <w:szCs w:val="28"/>
          <w:b w:val="1"/>
          <w:bCs w:val="1"/>
          <w:i w:val="1"/>
          <w:iCs w:val="1"/>
          <w:color w:val="auto"/>
          <w:vertAlign w:val="superscript"/>
        </w:rPr>
        <w:t>(1)</w:t>
      </w:r>
      <w:r>
        <w:rPr>
          <w:rFonts w:ascii="Calibri" w:cs="Calibri" w:eastAsia="Calibri" w:hAnsi="Calibri"/>
          <w:sz w:val="22"/>
          <w:szCs w:val="22"/>
          <w:b w:val="1"/>
          <w:bCs w:val="1"/>
          <w:i w:val="1"/>
          <w:iCs w:val="1"/>
          <w:color w:val="auto"/>
        </w:rPr>
        <w:t xml:space="preserve"> decreased $0.15 to $0.81 per diluted share</w:t>
      </w:r>
    </w:p>
    <w:p>
      <w:pPr>
        <w:spacing w:after="0" w:line="12" w:lineRule="exact"/>
        <w:rPr>
          <w:rFonts w:ascii="Calibri" w:cs="Calibri" w:eastAsia="Calibri" w:hAnsi="Calibri"/>
          <w:sz w:val="22"/>
          <w:szCs w:val="22"/>
          <w:b w:val="1"/>
          <w:bCs w:val="1"/>
          <w:i w:val="1"/>
          <w:iCs w:val="1"/>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Full-year 2024 outlook of 4.0% - 6.0% growth for Net Revenues and Adjusted EBITDA</w:t>
      </w:r>
    </w:p>
    <w:p>
      <w:pPr>
        <w:spacing w:after="0" w:line="219" w:lineRule="exact"/>
        <w:rPr>
          <w:sz w:val="20"/>
          <w:szCs w:val="20"/>
          <w:color w:val="auto"/>
        </w:rPr>
      </w:pPr>
    </w:p>
    <w:p>
      <w:pPr>
        <w:ind w:right="540"/>
        <w:spacing w:after="0" w:line="231" w:lineRule="auto"/>
        <w:rPr>
          <w:sz w:val="20"/>
          <w:szCs w:val="20"/>
          <w:color w:val="auto"/>
        </w:rPr>
      </w:pPr>
      <w:r>
        <w:rPr>
          <w:rFonts w:ascii="Calibri" w:cs="Calibri" w:eastAsia="Calibri" w:hAnsi="Calibri"/>
          <w:sz w:val="20"/>
          <w:szCs w:val="20"/>
          <w:b w:val="1"/>
          <w:bCs w:val="1"/>
          <w:color w:val="auto"/>
        </w:rPr>
        <w:t xml:space="preserve">CLEVELAND, OH, February 27, 2024 </w:t>
      </w:r>
      <w:r>
        <w:rPr>
          <w:rFonts w:ascii="Calibri" w:cs="Calibri" w:eastAsia="Calibri" w:hAnsi="Calibri"/>
          <w:sz w:val="20"/>
          <w:szCs w:val="20"/>
          <w:color w:val="auto"/>
        </w:rPr>
        <w:t>– Sotera Health Company (“Sotera Health” or the “Company”) (Nasdaq: SHC), a leading global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provider of mission-critcal end-to-end sterilizaton solutons, lab testng and advisory services for the healthcare industry, today announced fnancial results for the fourth-quarter and full-year 2023 and its inital 2024 outlook.</w:t>
      </w:r>
    </w:p>
    <w:p>
      <w:pPr>
        <w:spacing w:after="0" w:line="254"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For the fourth-quarter 2023, net revenues increased 23.3% to $310 million, compared with $252 million in the same period a year ago. Net revenues increased 21.9% on a constant currency basis. Net income atributable to the Company (“net income”) was $39 million, or $0.14 per diluted share, compared with a net loss atributable to the Company (“net loss”) of $320 million, or $1.14 per diluted share for the fourth-quarter 2022, which included a $408 million legal reserve. Adjusted EBITDA increased by 28.7% to $167 million compared to the prior-year quarter. Adjusted earnings per diluted share (“Adjusted EPS”) was $0.26, an increase of $0.01 per diluted share, compared to the fourth quarter of 2022.</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color w:val="auto"/>
        </w:rPr>
        <w:t>For full-year 2023, net revenues increased 4.5% to $1.05 billion, compared with $1.00 billion for full-year 2022. Net revenues increased</w:t>
      </w:r>
    </w:p>
    <w:p>
      <w:pPr>
        <w:spacing w:after="0" w:line="238" w:lineRule="auto"/>
        <w:rPr>
          <w:sz w:val="20"/>
          <w:szCs w:val="20"/>
          <w:color w:val="auto"/>
        </w:rPr>
      </w:pPr>
      <w:r>
        <w:rPr>
          <w:rFonts w:ascii="Calibri" w:cs="Calibri" w:eastAsia="Calibri" w:hAnsi="Calibri"/>
          <w:sz w:val="20"/>
          <w:szCs w:val="20"/>
          <w:color w:val="auto"/>
        </w:rPr>
        <w:t>4.2% on a constant currency basis. Net income was $51 million, or $0.18 per diluted share, compared with net loss of $234 million, or</w:t>
      </w:r>
    </w:p>
    <w:p>
      <w:pPr>
        <w:spacing w:after="0" w:line="226" w:lineRule="auto"/>
        <w:rPr>
          <w:sz w:val="20"/>
          <w:szCs w:val="20"/>
          <w:color w:val="auto"/>
        </w:rPr>
      </w:pPr>
      <w:r>
        <w:rPr>
          <w:rFonts w:ascii="Calibri" w:cs="Calibri" w:eastAsia="Calibri" w:hAnsi="Calibri"/>
          <w:sz w:val="20"/>
          <w:szCs w:val="20"/>
          <w:color w:val="auto"/>
        </w:rPr>
        <w:t>$0.83 per diluted share, for 2022. Adjusted EBITDA increased 4.3% to $528 million, compared to 2022. Adjusted EPS was $0.81 in 2023, a</w:t>
      </w:r>
    </w:p>
    <w:p>
      <w:pPr>
        <w:spacing w:after="0"/>
        <w:rPr>
          <w:sz w:val="20"/>
          <w:szCs w:val="20"/>
          <w:color w:val="auto"/>
        </w:rPr>
      </w:pPr>
      <w:r>
        <w:rPr>
          <w:rFonts w:ascii="Calibri" w:cs="Calibri" w:eastAsia="Calibri" w:hAnsi="Calibri"/>
          <w:sz w:val="20"/>
          <w:szCs w:val="20"/>
          <w:color w:val="auto"/>
        </w:rPr>
        <w:t>decrease of $0.15 from 2022.</w:t>
      </w:r>
    </w:p>
    <w:p>
      <w:pPr>
        <w:spacing w:after="0" w:line="237" w:lineRule="exact"/>
        <w:rPr>
          <w:sz w:val="20"/>
          <w:szCs w:val="20"/>
          <w:color w:val="auto"/>
        </w:rPr>
      </w:pPr>
    </w:p>
    <w:p>
      <w:pPr>
        <w:ind w:right="180"/>
        <w:spacing w:after="0" w:line="233" w:lineRule="auto"/>
        <w:rPr>
          <w:sz w:val="20"/>
          <w:szCs w:val="20"/>
          <w:color w:val="auto"/>
        </w:rPr>
      </w:pPr>
      <w:r>
        <w:rPr>
          <w:rFonts w:ascii="Calibri" w:cs="Calibri" w:eastAsia="Calibri" w:hAnsi="Calibri"/>
          <w:sz w:val="20"/>
          <w:szCs w:val="20"/>
          <w:color w:val="auto"/>
        </w:rPr>
        <w:t>“Today I am pleased to announce another year of top- and botom-line growth,” said Chairman and Chief Executve Ofcer, Michael B. Petras, Jr. “Throughout 2023, the Sotera Health team demonstrated resilience, adaptability and an unwavering commitment to the Company’s core values in the face of contnued macro-economic pressures. During the year, Sterigenics completed four capacity expansions, the Nordion team successfully navigated the complex Cobalt-60 supply chain, and Nelson Labs contnued to provide our customers with world-class lab testng services and expert advisory support. We remain focused on our mission of Safeguarding Global Health</w:t>
      </w:r>
      <w:r>
        <w:rPr>
          <w:rFonts w:ascii="Calibri" w:cs="Calibri" w:eastAsia="Calibri" w:hAnsi="Calibri"/>
          <w:sz w:val="25"/>
          <w:szCs w:val="25"/>
          <w:color w:val="auto"/>
          <w:vertAlign w:val="superscript"/>
        </w:rPr>
        <w:t>©</w:t>
      </w:r>
      <w:r>
        <w:rPr>
          <w:rFonts w:ascii="Calibri" w:cs="Calibri" w:eastAsia="Calibri" w:hAnsi="Calibri"/>
          <w:sz w:val="20"/>
          <w:szCs w:val="20"/>
          <w:color w:val="auto"/>
        </w:rPr>
        <w:t xml:space="preserve"> and are excited for contnued growth in 2024.”</w:t>
      </w:r>
    </w:p>
    <w:p>
      <w:pPr>
        <w:spacing w:after="0" w:line="156"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Fourth-Quarter and Full-Year 2023 Review by Business Segment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Sterigenics</w:t>
      </w:r>
    </w:p>
    <w:p>
      <w:pPr>
        <w:spacing w:after="0" w:line="90"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color w:val="auto"/>
        </w:rPr>
        <w:t>For fourth-quarter 2023, net revenues were $172 million, an increase of 6.5% compared to the fourth quarter a year ago. Segment income was $95 million, an increase of 6.4%.</w:t>
      </w:r>
    </w:p>
    <w:p>
      <w:pPr>
        <w:spacing w:after="0" w:line="103" w:lineRule="exact"/>
        <w:rPr>
          <w:sz w:val="20"/>
          <w:szCs w:val="20"/>
          <w:color w:val="auto"/>
        </w:rPr>
      </w:pPr>
    </w:p>
    <w:p>
      <w:pPr>
        <w:ind w:right="140"/>
        <w:spacing w:after="0" w:line="228" w:lineRule="auto"/>
        <w:rPr>
          <w:sz w:val="20"/>
          <w:szCs w:val="20"/>
          <w:color w:val="auto"/>
        </w:rPr>
      </w:pPr>
      <w:r>
        <w:rPr>
          <w:rFonts w:ascii="Calibri" w:cs="Calibri" w:eastAsia="Calibri" w:hAnsi="Calibri"/>
          <w:sz w:val="20"/>
          <w:szCs w:val="20"/>
          <w:color w:val="auto"/>
        </w:rPr>
        <w:t>For full-year 2023, Sterigenics net revenues were $667 million, an increase of 6.5% compared to 2022. Segment income increased 6.8% to $362 million.</w:t>
      </w:r>
    </w:p>
    <w:p>
      <w:pPr>
        <w:spacing w:after="0" w:line="200" w:lineRule="exact"/>
        <w:rPr>
          <w:sz w:val="20"/>
          <w:szCs w:val="20"/>
          <w:color w:val="auto"/>
        </w:rPr>
      </w:pPr>
    </w:p>
    <w:p>
      <w:pPr>
        <w:spacing w:after="0" w:line="251" w:lineRule="exact"/>
        <w:rPr>
          <w:sz w:val="20"/>
          <w:szCs w:val="20"/>
          <w:color w:val="auto"/>
        </w:rPr>
      </w:pPr>
    </w:p>
    <w:p>
      <w:pPr>
        <w:ind w:right="220" w:firstLine="8"/>
        <w:spacing w:after="0" w:line="217" w:lineRule="auto"/>
        <w:tabs>
          <w:tab w:leader="none" w:pos="137" w:val="left"/>
        </w:tabs>
        <w:numPr>
          <w:ilvl w:val="0"/>
          <w:numId w:val="3"/>
        </w:numPr>
        <w:rPr>
          <w:rFonts w:ascii="Calibri" w:cs="Calibri" w:eastAsia="Calibri" w:hAnsi="Calibri"/>
          <w:sz w:val="17"/>
          <w:szCs w:val="17"/>
          <w:color w:val="auto"/>
          <w:vertAlign w:val="superscript"/>
        </w:rPr>
      </w:pPr>
      <w:r>
        <w:rPr>
          <w:rFonts w:ascii="Calibri" w:cs="Calibri" w:eastAsia="Calibri" w:hAnsi="Calibri"/>
          <w:sz w:val="13"/>
          <w:szCs w:val="13"/>
          <w:color w:val="auto"/>
        </w:rPr>
        <w:t>This is a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jc w:val="center"/>
        <w:ind w:right="-19"/>
        <w:spacing w:after="0" w:line="218" w:lineRule="auto"/>
        <w:rPr>
          <w:sz w:val="20"/>
          <w:szCs w:val="20"/>
          <w:color w:val="auto"/>
        </w:rPr>
      </w:pPr>
      <w:r>
        <w:rPr>
          <w:rFonts w:ascii="Calibri" w:cs="Calibri" w:eastAsia="Calibri" w:hAnsi="Calibri"/>
          <w:sz w:val="18"/>
          <w:szCs w:val="18"/>
          <w:color w:val="auto"/>
        </w:rPr>
        <w:t>1</w:t>
      </w:r>
    </w:p>
    <w:p>
      <w:pPr>
        <w:sectPr>
          <w:pgSz w:w="11900" w:h="16838" w:orient="portrait"/>
          <w:cols w:equalWidth="0" w:num="1">
            <w:col w:w="11220"/>
          </w:cols>
          <w:pgMar w:left="320" w:top="158" w:right="359" w:bottom="1440" w:gutter="0" w:footer="0" w:header="0"/>
        </w:sectPr>
      </w:pPr>
    </w:p>
    <w:bookmarkStart w:id="4" w:name="page5"/>
    <w:bookmarkEnd w:id="4"/>
    <w:p>
      <w:pPr>
        <w:ind w:right="320"/>
        <w:spacing w:after="0" w:line="234" w:lineRule="auto"/>
        <w:rPr>
          <w:sz w:val="20"/>
          <w:szCs w:val="20"/>
          <w:color w:val="auto"/>
        </w:rPr>
      </w:pPr>
      <w:r>
        <w:rPr>
          <w:rFonts w:ascii="Calibri" w:cs="Calibri" w:eastAsia="Calibri" w:hAnsi="Calibri"/>
          <w:sz w:val="20"/>
          <w:szCs w:val="20"/>
          <w:color w:val="auto"/>
        </w:rPr>
        <w:t>Net revenue growth for fourth-quarter 2023 was driven by favorable pricing and changes in foreign currency exchange rates, partally ofset by unfavorable volume and mix.</w:t>
      </w:r>
    </w:p>
    <w:p>
      <w:pPr>
        <w:spacing w:after="0" w:line="91" w:lineRule="exact"/>
        <w:rPr>
          <w:sz w:val="20"/>
          <w:szCs w:val="20"/>
          <w:color w:val="auto"/>
        </w:rPr>
      </w:pPr>
    </w:p>
    <w:p>
      <w:pPr>
        <w:ind w:right="360"/>
        <w:spacing w:after="0" w:line="234" w:lineRule="auto"/>
        <w:rPr>
          <w:sz w:val="20"/>
          <w:szCs w:val="20"/>
          <w:color w:val="auto"/>
        </w:rPr>
      </w:pPr>
      <w:r>
        <w:rPr>
          <w:rFonts w:ascii="Calibri" w:cs="Calibri" w:eastAsia="Calibri" w:hAnsi="Calibri"/>
          <w:sz w:val="20"/>
          <w:szCs w:val="20"/>
          <w:color w:val="auto"/>
        </w:rPr>
        <w:t>Segment income growth for the quarter was also driven by favorable pricing and changes in foreign currency rates, partally ofset by higher costs and unfavorable volume and mix.</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Nordion</w:t>
      </w:r>
    </w:p>
    <w:p>
      <w:pPr>
        <w:spacing w:after="0" w:line="103" w:lineRule="exact"/>
        <w:rPr>
          <w:sz w:val="20"/>
          <w:szCs w:val="20"/>
          <w:color w:val="auto"/>
        </w:rPr>
      </w:pPr>
    </w:p>
    <w:p>
      <w:pPr>
        <w:ind w:right="320"/>
        <w:spacing w:after="0" w:line="228" w:lineRule="auto"/>
        <w:rPr>
          <w:sz w:val="20"/>
          <w:szCs w:val="20"/>
          <w:color w:val="auto"/>
        </w:rPr>
      </w:pPr>
      <w:r>
        <w:rPr>
          <w:rFonts w:ascii="Calibri" w:cs="Calibri" w:eastAsia="Calibri" w:hAnsi="Calibri"/>
          <w:sz w:val="20"/>
          <w:szCs w:val="20"/>
          <w:color w:val="auto"/>
        </w:rPr>
        <w:t>For fourth-quarter 2023 net revenues were $80 million, an increase of 134.2%, compared to the fourth quarter a year ago as Nordion generated 50% of its full-year revenue in the quarter, as expected. Segment income increased 162.7% to $53 million.</w:t>
      </w:r>
    </w:p>
    <w:p>
      <w:pPr>
        <w:spacing w:after="0" w:line="90"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For full-year 2023, Nordion net revenues were $160 million, an increase of 4.4% compared to 2022. Segment income increased by 8.0% to $97 million.</w:t>
      </w:r>
    </w:p>
    <w:p>
      <w:pPr>
        <w:spacing w:after="0" w:line="91" w:lineRule="exact"/>
        <w:rPr>
          <w:sz w:val="20"/>
          <w:szCs w:val="20"/>
          <w:color w:val="auto"/>
        </w:rPr>
      </w:pPr>
    </w:p>
    <w:p>
      <w:pPr>
        <w:ind w:right="380"/>
        <w:spacing w:after="0" w:line="234" w:lineRule="auto"/>
        <w:rPr>
          <w:sz w:val="20"/>
          <w:szCs w:val="20"/>
          <w:color w:val="auto"/>
        </w:rPr>
      </w:pPr>
      <w:r>
        <w:rPr>
          <w:rFonts w:ascii="Calibri" w:cs="Calibri" w:eastAsia="Calibri" w:hAnsi="Calibri"/>
          <w:sz w:val="20"/>
          <w:szCs w:val="20"/>
          <w:color w:val="auto"/>
        </w:rPr>
        <w:t>The increase in net revenues, segment income and segment income margin for fourth-quarter 2023 was driven by favorable impacts from volume and pricing.</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Nelson Labs</w:t>
      </w:r>
    </w:p>
    <w:p>
      <w:pPr>
        <w:spacing w:after="0" w:line="103" w:lineRule="exact"/>
        <w:rPr>
          <w:sz w:val="20"/>
          <w:szCs w:val="20"/>
          <w:color w:val="auto"/>
        </w:rPr>
      </w:pPr>
    </w:p>
    <w:p>
      <w:pPr>
        <w:ind w:right="640"/>
        <w:spacing w:after="0" w:line="228" w:lineRule="auto"/>
        <w:rPr>
          <w:sz w:val="20"/>
          <w:szCs w:val="20"/>
          <w:color w:val="auto"/>
        </w:rPr>
      </w:pPr>
      <w:r>
        <w:rPr>
          <w:rFonts w:ascii="Calibri" w:cs="Calibri" w:eastAsia="Calibri" w:hAnsi="Calibri"/>
          <w:sz w:val="20"/>
          <w:szCs w:val="20"/>
          <w:color w:val="auto"/>
        </w:rPr>
        <w:t>For fourth-quarter 2023, net revenues were $58 million, an increase of 4.3% compared to the fourth quarter a year ago. Segment income decreased 7.8% to $19 million.</w:t>
      </w:r>
    </w:p>
    <w:p>
      <w:pPr>
        <w:spacing w:after="0" w:line="103"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color w:val="auto"/>
        </w:rPr>
        <w:t>For full-year 2023, Nelson Labs net revenues were $222 million, a decrease of 0.8% compared to 2022. Segment income decreased 10.9% to $69 million.</w:t>
      </w:r>
    </w:p>
    <w:p>
      <w:pPr>
        <w:spacing w:after="0" w:line="90"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Net revenue growth for the fourth-quarter 2023 was driven by favorable pricing and changes in foreign currency exchange rates, partally ofset by unfavorable volume and mix.</w:t>
      </w:r>
    </w:p>
    <w:p>
      <w:pPr>
        <w:spacing w:after="0" w:line="91"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Segment income and margin decline for the fourth-quarter 2023 was driven by unfavorable volume and mix coupled with the impact of infaton, partally ofset by favorable pricing.</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Balance Sheet and Liquidity</w:t>
      </w:r>
    </w:p>
    <w:p>
      <w:pPr>
        <w:spacing w:after="0" w:line="103" w:lineRule="exact"/>
        <w:rPr>
          <w:sz w:val="20"/>
          <w:szCs w:val="20"/>
          <w:color w:val="auto"/>
        </w:rPr>
      </w:pPr>
    </w:p>
    <w:p>
      <w:pPr>
        <w:ind w:right="80"/>
        <w:spacing w:after="0" w:line="230" w:lineRule="auto"/>
        <w:rPr>
          <w:sz w:val="20"/>
          <w:szCs w:val="20"/>
          <w:color w:val="auto"/>
        </w:rPr>
      </w:pPr>
      <w:r>
        <w:rPr>
          <w:rFonts w:ascii="Calibri" w:cs="Calibri" w:eastAsia="Calibri" w:hAnsi="Calibri"/>
          <w:sz w:val="20"/>
          <w:szCs w:val="20"/>
          <w:color w:val="auto"/>
        </w:rPr>
        <w:t>As of December 31, 2023, Sotera Health had $2.3 billion in total debt, and $296 million in cash and cash equivalents, compared to $2.0 billion in total debt and $395 million in cash and cash equivalents as of December 31, 2022. As of December 31, 2023, the Company had no balance outstanding on its revolving credit facility. Material debt balances outstanding do not mature untl 2026. Sotera Health’s Net Leverage Rato</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as of December 31, 2023 was 3.8x, compared to 3.2x at December 31, 2022.</w:t>
      </w:r>
    </w:p>
    <w:p>
      <w:pPr>
        <w:spacing w:after="0" w:line="157"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Full-Year 2024 Outlook</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Today, Sotera Health is providing its full-year 2024 outlook:</w:t>
      </w:r>
    </w:p>
    <w:p>
      <w:pPr>
        <w:spacing w:after="0" w:line="255" w:lineRule="exact"/>
        <w:rPr>
          <w:sz w:val="20"/>
          <w:szCs w:val="20"/>
          <w:color w:val="auto"/>
        </w:rPr>
      </w:pPr>
    </w:p>
    <w:p>
      <w:pPr>
        <w:ind w:left="640" w:hanging="308"/>
        <w:spacing w:after="0"/>
        <w:tabs>
          <w:tab w:leader="none" w:pos="64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Net revenues and Adjusted EBITDA growth in the range of 4.0% to 6.0%,</w:t>
      </w:r>
    </w:p>
    <w:p>
      <w:pPr>
        <w:spacing w:after="0" w:line="214" w:lineRule="exact"/>
        <w:rPr>
          <w:rFonts w:ascii="Calibri" w:cs="Calibri" w:eastAsia="Calibri" w:hAnsi="Calibri"/>
          <w:sz w:val="20"/>
          <w:szCs w:val="20"/>
          <w:color w:val="auto"/>
        </w:rPr>
      </w:pPr>
    </w:p>
    <w:p>
      <w:pPr>
        <w:ind w:left="640" w:hanging="308"/>
        <w:spacing w:after="0"/>
        <w:tabs>
          <w:tab w:leader="none" w:pos="64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Interest Expense in the range of $170 million to $180 million,</w:t>
      </w:r>
    </w:p>
    <w:p>
      <w:pPr>
        <w:spacing w:after="0" w:line="180" w:lineRule="exact"/>
        <w:rPr>
          <w:rFonts w:ascii="Calibri" w:cs="Calibri" w:eastAsia="Calibri" w:hAnsi="Calibri"/>
          <w:sz w:val="20"/>
          <w:szCs w:val="20"/>
          <w:color w:val="auto"/>
        </w:rPr>
      </w:pPr>
    </w:p>
    <w:p>
      <w:pPr>
        <w:ind w:left="640" w:hanging="308"/>
        <w:spacing w:after="0"/>
        <w:tabs>
          <w:tab w:leader="none" w:pos="640" w:val="left"/>
        </w:tabs>
        <w:numPr>
          <w:ilvl w:val="0"/>
          <w:numId w:val="4"/>
        </w:numPr>
        <w:rPr>
          <w:rFonts w:ascii="Calibri" w:cs="Calibri" w:eastAsia="Calibri" w:hAnsi="Calibri"/>
          <w:sz w:val="20"/>
          <w:szCs w:val="20"/>
          <w:b w:val="1"/>
          <w:bCs w:val="1"/>
          <w:i w:val="1"/>
          <w:iCs w:val="1"/>
          <w:color w:val="auto"/>
        </w:rPr>
      </w:pPr>
      <w:r>
        <w:rPr>
          <w:rFonts w:ascii="Calibri" w:cs="Calibri" w:eastAsia="Calibri" w:hAnsi="Calibri"/>
          <w:sz w:val="20"/>
          <w:szCs w:val="20"/>
          <w:color w:val="auto"/>
        </w:rPr>
        <w:t>Tax rate applicable to Adjusted Net Income</w:t>
      </w:r>
      <w:r>
        <w:rPr>
          <w:rFonts w:ascii="Calibri" w:cs="Calibri" w:eastAsia="Calibri" w:hAnsi="Calibri"/>
          <w:sz w:val="28"/>
          <w:szCs w:val="28"/>
          <w:color w:val="auto"/>
          <w:vertAlign w:val="superscript"/>
        </w:rPr>
        <w:t>(1)</w:t>
      </w:r>
      <w:r>
        <w:rPr>
          <w:rFonts w:ascii="Calibri" w:cs="Calibri" w:eastAsia="Calibri" w:hAnsi="Calibri"/>
          <w:sz w:val="20"/>
          <w:szCs w:val="20"/>
          <w:color w:val="auto"/>
        </w:rPr>
        <w:t xml:space="preserve"> in the range of 31.5% to 34.5%,</w:t>
      </w:r>
    </w:p>
    <w:p>
      <w:pPr>
        <w:spacing w:after="0" w:line="151" w:lineRule="exact"/>
        <w:rPr>
          <w:rFonts w:ascii="Calibri" w:cs="Calibri" w:eastAsia="Calibri" w:hAnsi="Calibri"/>
          <w:sz w:val="20"/>
          <w:szCs w:val="20"/>
          <w:b w:val="1"/>
          <w:bCs w:val="1"/>
          <w:i w:val="1"/>
          <w:iCs w:val="1"/>
          <w:color w:val="auto"/>
        </w:rPr>
      </w:pPr>
    </w:p>
    <w:p>
      <w:pPr>
        <w:ind w:left="640" w:hanging="308"/>
        <w:spacing w:after="0"/>
        <w:tabs>
          <w:tab w:leader="none" w:pos="64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Adjusted EPS in the range of $0.67 to $0.75,</w:t>
      </w:r>
    </w:p>
    <w:p>
      <w:pPr>
        <w:spacing w:after="0" w:line="214" w:lineRule="exact"/>
        <w:rPr>
          <w:rFonts w:ascii="Calibri" w:cs="Calibri" w:eastAsia="Calibri" w:hAnsi="Calibri"/>
          <w:sz w:val="20"/>
          <w:szCs w:val="20"/>
          <w:color w:val="auto"/>
        </w:rPr>
      </w:pPr>
    </w:p>
    <w:p>
      <w:pPr>
        <w:ind w:left="640" w:hanging="308"/>
        <w:spacing w:after="0"/>
        <w:tabs>
          <w:tab w:leader="none" w:pos="64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 weighted-average fully diluted share count in the range of 283 million to 285 million shares,</w:t>
      </w:r>
    </w:p>
    <w:p>
      <w:pPr>
        <w:spacing w:after="0" w:line="214" w:lineRule="exact"/>
        <w:rPr>
          <w:rFonts w:ascii="Calibri" w:cs="Calibri" w:eastAsia="Calibri" w:hAnsi="Calibri"/>
          <w:sz w:val="20"/>
          <w:szCs w:val="20"/>
          <w:color w:val="auto"/>
        </w:rPr>
      </w:pPr>
    </w:p>
    <w:p>
      <w:pPr>
        <w:ind w:left="640" w:hanging="308"/>
        <w:spacing w:after="0"/>
        <w:tabs>
          <w:tab w:leader="none" w:pos="64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Capital expenditures in the range of $205 million to $225 million</w:t>
      </w:r>
    </w:p>
    <w:p>
      <w:pPr>
        <w:spacing w:after="0" w:line="117"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The Company does not provide a reconciliaton for non-GAAP fnancial measures on a forward-looking basis where it is unable to provide a meaningful or accurate calculaton or estmaton of reconciling items without unreasonable efort. The Company cannot reconcile its expected Adjusted EBITDA,</w:t>
      </w:r>
    </w:p>
    <w:p>
      <w:pPr>
        <w:spacing w:after="0" w:line="200" w:lineRule="exact"/>
        <w:rPr>
          <w:sz w:val="20"/>
          <w:szCs w:val="20"/>
          <w:color w:val="auto"/>
        </w:rPr>
      </w:pPr>
    </w:p>
    <w:p>
      <w:pPr>
        <w:spacing w:after="0" w:line="253" w:lineRule="exact"/>
        <w:rPr>
          <w:sz w:val="20"/>
          <w:szCs w:val="20"/>
          <w:color w:val="auto"/>
        </w:rPr>
      </w:pPr>
    </w:p>
    <w:p>
      <w:pPr>
        <w:ind w:right="240" w:firstLine="8"/>
        <w:spacing w:after="0" w:line="217" w:lineRule="auto"/>
        <w:tabs>
          <w:tab w:leader="none" w:pos="137" w:val="left"/>
        </w:tabs>
        <w:numPr>
          <w:ilvl w:val="0"/>
          <w:numId w:val="5"/>
        </w:numPr>
        <w:rPr>
          <w:rFonts w:ascii="Calibri" w:cs="Calibri" w:eastAsia="Calibri" w:hAnsi="Calibri"/>
          <w:sz w:val="17"/>
          <w:szCs w:val="17"/>
          <w:color w:val="auto"/>
          <w:vertAlign w:val="superscript"/>
        </w:rPr>
      </w:pPr>
      <w:r>
        <w:rPr>
          <w:rFonts w:ascii="Calibri" w:cs="Calibri" w:eastAsia="Calibri" w:hAnsi="Calibri"/>
          <w:sz w:val="13"/>
          <w:szCs w:val="13"/>
          <w:color w:val="auto"/>
        </w:rPr>
        <w:t>This is a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sectPr>
          <w:pgSz w:w="11900" w:h="16838" w:orient="portrait"/>
          <w:cols w:equalWidth="0" w:num="1">
            <w:col w:w="11240"/>
          </w:cols>
          <w:pgMar w:left="320" w:top="939" w:right="339" w:bottom="1440" w:gutter="0" w:footer="0" w:header="0"/>
        </w:sectPr>
      </w:pPr>
    </w:p>
    <w:p>
      <w:pPr>
        <w:jc w:val="center"/>
        <w:ind w:right="-19"/>
        <w:spacing w:after="0" w:line="218" w:lineRule="auto"/>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939" w:right="339" w:bottom="1440" w:gutter="0" w:footer="0" w:header="0"/>
          <w:type w:val="continuous"/>
        </w:sectPr>
      </w:pPr>
    </w:p>
    <w:bookmarkStart w:id="5" w:name="page6"/>
    <w:bookmarkEnd w:id="5"/>
    <w:p>
      <w:pPr>
        <w:ind w:right="160"/>
        <w:spacing w:after="0" w:line="230" w:lineRule="auto"/>
        <w:rPr>
          <w:sz w:val="20"/>
          <w:szCs w:val="20"/>
          <w:color w:val="auto"/>
        </w:rPr>
      </w:pPr>
      <w:r>
        <w:rPr>
          <w:rFonts w:ascii="Calibri" w:cs="Calibri" w:eastAsia="Calibri" w:hAnsi="Calibri"/>
          <w:sz w:val="20"/>
          <w:szCs w:val="20"/>
          <w:color w:val="auto"/>
        </w:rPr>
        <w:t>Adjusted Net Income, Adjusted EPS and Net Leverage Rato without unreasonable efort because certain items that impact net income, earnings per share and other reconciling metrics are out of the Company’s control and/or cannot be reasonably predicted at this tme, including uncertaintes caused by changes to the regulatory landscape, restructuring items and certain fair value measurements, all of which are potental adjustments for future earnings.</w:t>
      </w:r>
    </w:p>
    <w:p>
      <w:pPr>
        <w:spacing w:after="0" w:line="225"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The outlook provided above contains a number of assumptons, including, among others, the Company’s current expectatons regarding supply chain contnuity, partcularly for the supply of EO and Cobalt-60, the impact of infatonary trends including their impact on energy prices and the supply of labor, and the expectaton that exchange rates as of January 31, 2024 remain constant for the remainder of 2024. Our outlook is based on current plans and expectatons and is subject to several known and unknown risks and uncertaintes, including those set forth below under “Cautonary Note Regarding Forward-Looking Statements.”</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Earnings Webcast</w:t>
      </w:r>
    </w:p>
    <w:p>
      <w:pPr>
        <w:spacing w:after="0" w:line="90" w:lineRule="exact"/>
        <w:rPr>
          <w:sz w:val="20"/>
          <w:szCs w:val="20"/>
          <w:color w:val="auto"/>
        </w:rPr>
      </w:pPr>
    </w:p>
    <w:p>
      <w:pPr>
        <w:ind w:right="40"/>
        <w:spacing w:after="0" w:line="234" w:lineRule="auto"/>
        <w:rPr>
          <w:sz w:val="20"/>
          <w:szCs w:val="20"/>
          <w:color w:val="auto"/>
        </w:rPr>
      </w:pPr>
      <w:r>
        <w:rPr>
          <w:rFonts w:ascii="Calibri" w:cs="Calibri" w:eastAsia="Calibri" w:hAnsi="Calibri"/>
          <w:sz w:val="20"/>
          <w:szCs w:val="20"/>
          <w:color w:val="auto"/>
        </w:rPr>
        <w:t xml:space="preserve">Sotera Health management will host a conference call and webcast to discuss the Company’s operatng highlights and fnancial results at 9:00 a.m. Eastern Time today. To partcipate in the live call, please dial 1-844-481-2916 if dialing in from the United States, or 1-412-317-0709 if dialing in from other locatons. A live webcast of the conference call and accompanying materials may also be accessed via the Investor Relatons secton of the Company’s website at </w:t>
      </w:r>
      <w:r>
        <w:rPr>
          <w:rFonts w:ascii="Calibri" w:cs="Calibri" w:eastAsia="Calibri" w:hAnsi="Calibri"/>
          <w:sz w:val="20"/>
          <w:szCs w:val="20"/>
          <w:color w:val="3051F2"/>
        </w:rPr>
        <w:t>Presentaton &amp; Events | Sotera Health</w:t>
      </w:r>
      <w:r>
        <w:rPr>
          <w:rFonts w:ascii="Calibri" w:cs="Calibri" w:eastAsia="Calibri" w:hAnsi="Calibri"/>
          <w:sz w:val="20"/>
          <w:szCs w:val="20"/>
          <w:color w:val="auto"/>
        </w:rPr>
        <w:t>. A replay of the webcast will be archived on the Company’s website.</w:t>
      </w:r>
    </w:p>
    <w:p>
      <w:pPr>
        <w:spacing w:after="0" w:line="214"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 xml:space="preserve">Updates on recent developments in maters relevant to investors can be found on the Investor Relatons secton of the Sotera Health website at </w:t>
      </w:r>
      <w:r>
        <w:rPr>
          <w:rFonts w:ascii="Calibri" w:cs="Calibri" w:eastAsia="Calibri" w:hAnsi="Calibri"/>
          <w:sz w:val="20"/>
          <w:szCs w:val="20"/>
          <w:color w:val="3051F2"/>
        </w:rPr>
        <w:t>Investor Relatons | Sotera Health</w:t>
      </w:r>
      <w:r>
        <w:rPr>
          <w:rFonts w:ascii="Calibri" w:cs="Calibri" w:eastAsia="Calibri" w:hAnsi="Calibri"/>
          <w:sz w:val="20"/>
          <w:szCs w:val="20"/>
          <w:color w:val="auto"/>
        </w:rPr>
        <w:t xml:space="preserve">. For developments related to EO, updates can be found at </w:t>
      </w:r>
      <w:r>
        <w:rPr>
          <w:rFonts w:ascii="Calibri" w:cs="Calibri" w:eastAsia="Calibri" w:hAnsi="Calibri"/>
          <w:sz w:val="20"/>
          <w:szCs w:val="20"/>
          <w:color w:val="3051F2"/>
        </w:rPr>
        <w:t>Ethylene Oxide | Sotera Health</w:t>
      </w:r>
      <w:r>
        <w:rPr>
          <w:rFonts w:ascii="Calibri" w:cs="Calibri" w:eastAsia="Calibri" w:hAnsi="Calibri"/>
          <w:sz w:val="20"/>
          <w:szCs w:val="20"/>
          <w:color w:val="auto"/>
        </w:rPr>
        <w:t>.</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Upcoming Investor Events</w:t>
      </w:r>
    </w:p>
    <w:p>
      <w:pPr>
        <w:spacing w:after="0" w:line="107" w:lineRule="exact"/>
        <w:rPr>
          <w:sz w:val="20"/>
          <w:szCs w:val="20"/>
          <w:color w:val="auto"/>
        </w:rPr>
      </w:pPr>
    </w:p>
    <w:p>
      <w:pPr>
        <w:ind w:left="640" w:hanging="308"/>
        <w:spacing w:after="0"/>
        <w:tabs>
          <w:tab w:leader="none" w:pos="64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Barclay’s 2024 Global Healthcare Conference at 7:30 a.m. Eastern Time, March 13, 2024</w:t>
      </w:r>
    </w:p>
    <w:p>
      <w:pPr>
        <w:spacing w:after="0" w:line="106" w:lineRule="exact"/>
        <w:rPr>
          <w:rFonts w:ascii="Calibri" w:cs="Calibri" w:eastAsia="Calibri" w:hAnsi="Calibri"/>
          <w:sz w:val="20"/>
          <w:szCs w:val="20"/>
          <w:color w:val="auto"/>
        </w:rPr>
      </w:pPr>
    </w:p>
    <w:p>
      <w:pPr>
        <w:ind w:left="640" w:hanging="308"/>
        <w:spacing w:after="0"/>
        <w:tabs>
          <w:tab w:leader="none" w:pos="64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KeyBanc Life Sciences &amp; Medtech Investor Forum at 9:00 a.m. Eastern Time, March 19, 2024</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Cautonary Note Regarding Forward-Looking Statements</w:t>
      </w:r>
    </w:p>
    <w:p>
      <w:pPr>
        <w:spacing w:after="0" w:line="90"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that refect management’s expectatons about future events and the Company’s operatng plans and performance and speak only as of the date hereof. You can identfy these forward-looking statements by the use of forward-looking words such as “will,” “may,” “plan,” “estmate,” “project,” “believe,” “antcipate,” “expect,” “intend,” “should,” “would,” “could,” “target,” “goal,” “contnue to,” “positoned to,” “are confdent” or the negatve versions of those words or other comparable words. In additon, any statements that refer to expectatons, projectons or other characterizatons of future events or circumstances, are forward-looking statements. Any forward-looking statements contained in this release are based upon our historical performance and on our current plans, estmates and expectatons of the Company’s future performance and the future performance of the markets in which the Company operates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relatng to our operatons, fnancial results, fnancial conditon, business, prospects, growth strategy and liquidity. These risks and uncertaintes include, without limitaton, any disrupton in the availability or supply of, or increases in the price of ethylene oxide (“EO”) or Cobalt-60, or our other direct materials, services and supplies, including as a result of geopolitcal instability and/or sanctons arising from United States, Canadian, United Kingdom or European Union relatons with Russia; fuctuatons in foreign currency exchange rates; changes in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20"/>
          </w:cols>
          <w:pgMar w:left="320" w:top="858" w:right="359" w:bottom="1440" w:gutter="0" w:footer="0" w:header="0"/>
        </w:sectPr>
      </w:pPr>
    </w:p>
    <w:bookmarkStart w:id="6" w:name="page7"/>
    <w:bookmarkEnd w:id="6"/>
    <w:p>
      <w:pPr>
        <w:spacing w:after="0" w:line="234" w:lineRule="auto"/>
        <w:rPr>
          <w:sz w:val="20"/>
          <w:szCs w:val="20"/>
          <w:color w:val="auto"/>
        </w:rPr>
      </w:pPr>
      <w:r>
        <w:rPr>
          <w:rFonts w:ascii="Calibri" w:cs="Calibri" w:eastAsia="Calibri" w:hAnsi="Calibri"/>
          <w:sz w:val="20"/>
          <w:szCs w:val="20"/>
          <w:color w:val="auto"/>
        </w:rPr>
        <w:t>industry trends, environmental, health and safety regulatons or preferences, and general economic, social and business conditons; the impact and outcome of current and future legal proceedings and liability claims, including litgaton related to use of EO and/or emission and releases of EO from our facilites in Illinois, Georgia and New Mexico and the possibility that other claims will be made in the future relatng to these or other facilites; our ability to increase capacity at existng facilites, build new facilites in a tmely and cost-efectve manner and renew leases for our leased facilites; our ability to atract and retain qualifed employees; the risks of doing business internatonally, including global and regional economic and politcal instability and compliance with numerous and sometmes inconsistent laws and regulatons in multple jurisdictons; and an inability to pursue strategic transactons, fnd suitable acquisiton targets, or integrate strategic acquisitons into our business successfully. For additonal discussion of these risks and uncertaintes, please refer to the Company’s flings with the SEC, such as its annual and quarterly reports. We do not undertake any obligaton to publicly update or revise these forward-looking statements, except as otherwise required by law.</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Non-GAAP Financial Measures</w:t>
      </w:r>
    </w:p>
    <w:p>
      <w:pPr>
        <w:spacing w:after="0" w:line="103" w:lineRule="exact"/>
        <w:rPr>
          <w:sz w:val="20"/>
          <w:szCs w:val="20"/>
          <w:color w:val="auto"/>
        </w:rPr>
      </w:pPr>
    </w:p>
    <w:p>
      <w:pPr>
        <w:ind w:right="200"/>
        <w:spacing w:after="0" w:line="231" w:lineRule="auto"/>
        <w:rPr>
          <w:sz w:val="20"/>
          <w:szCs w:val="20"/>
          <w:color w:val="auto"/>
        </w:rPr>
      </w:pPr>
      <w:r>
        <w:rPr>
          <w:rFonts w:ascii="Calibri" w:cs="Calibri" w:eastAsia="Calibri" w:hAnsi="Calibri"/>
          <w:sz w:val="20"/>
          <w:szCs w:val="20"/>
          <w:color w:val="auto"/>
        </w:rPr>
        <w:t>To supplement our consolidated fnancial statements presented in accordance with GAAP, we consider Adjusted EBITDA, Adjusted EBITDA margin, Adjusted Net Income, Adjusted EPS, Segment income margin, Net Debt and Net Leverage Rato and constant currency, fnancial measures that are not based on any standardized methodology prescribed by GAAP.</w:t>
      </w:r>
    </w:p>
    <w:p>
      <w:pPr>
        <w:spacing w:after="0" w:line="92"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We defne Adjusted Net Income as net income (loss) before amortzaton and certain other adjustments that we do not consider in our evaluaton of our ongoing operatng performance from period to period.</w:t>
      </w:r>
    </w:p>
    <w:p>
      <w:pPr>
        <w:spacing w:after="0" w:line="91" w:lineRule="exact"/>
        <w:rPr>
          <w:sz w:val="20"/>
          <w:szCs w:val="20"/>
          <w:color w:val="auto"/>
        </w:rPr>
      </w:pPr>
    </w:p>
    <w:p>
      <w:pPr>
        <w:ind w:right="180"/>
        <w:spacing w:after="0" w:line="228" w:lineRule="auto"/>
        <w:rPr>
          <w:sz w:val="20"/>
          <w:szCs w:val="20"/>
          <w:color w:val="auto"/>
        </w:rPr>
      </w:pPr>
      <w:r>
        <w:rPr>
          <w:rFonts w:ascii="Calibri" w:cs="Calibri" w:eastAsia="Calibri" w:hAnsi="Calibri"/>
          <w:sz w:val="20"/>
          <w:szCs w:val="20"/>
          <w:color w:val="auto"/>
        </w:rPr>
        <w:t>We defne Adjusted EBITDA as Adjusted Net Income before interest expense, depreciaton (including depreciaton of Co-60 used in our operatons) and income tax provision applicable to Adjusted Net Income.</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Adjusted EBITDA margin is equal to Adjusted EBITDA divided by net revenues.</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Segment income margin is equal to segment income divided by net segment revenues.</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We defne Adjusted EPS as Adjusted Net Income divided by the weighted average number of diluted shares outstanding.</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Debt is equal to our total debt, plus unamortzed debt issuance costs and debt discounts, less cash and cash equivalents.</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Leverage Rato is equal to Net Debt divided by Adjusted EBITDA.</w:t>
      </w:r>
    </w:p>
    <w:p>
      <w:pPr>
        <w:spacing w:after="0" w:line="76" w:lineRule="exact"/>
        <w:rPr>
          <w:sz w:val="20"/>
          <w:szCs w:val="20"/>
          <w:color w:val="auto"/>
        </w:rPr>
      </w:pPr>
    </w:p>
    <w:p>
      <w:pPr>
        <w:ind w:right="60"/>
        <w:spacing w:after="0" w:line="218" w:lineRule="auto"/>
        <w:rPr>
          <w:sz w:val="20"/>
          <w:szCs w:val="20"/>
          <w:color w:val="auto"/>
        </w:rPr>
      </w:pPr>
      <w:r>
        <w:rPr>
          <w:rFonts w:ascii="Calibri" w:cs="Calibri" w:eastAsia="Calibri" w:hAnsi="Calibri"/>
          <w:sz w:val="20"/>
          <w:szCs w:val="20"/>
          <w:color w:val="auto"/>
        </w:rPr>
        <w:t>Constant currency is a non-GAAP fnancial measure we use to assess performance excluding the impact of foreign currency exchange rate changes. We calculate constant currency net revenues by translatng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additon to, not as a substtute for, results reported in accordance with GAAP. Results on a constant currency basis, as we present them, may not be comparable to similarly ttled measures used by other companies and are not measures of performance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00"/>
          </w:cols>
          <w:pgMar w:left="320" w:top="939" w:right="379" w:bottom="1440" w:gutter="0" w:footer="0" w:header="0"/>
        </w:sectPr>
      </w:pPr>
    </w:p>
    <w:bookmarkStart w:id="7" w:name="page8"/>
    <w:bookmarkEnd w:id="7"/>
    <w:p>
      <w:pPr>
        <w:ind w:right="120"/>
        <w:spacing w:after="0" w:line="234" w:lineRule="auto"/>
        <w:rPr>
          <w:sz w:val="20"/>
          <w:szCs w:val="20"/>
          <w:color w:val="auto"/>
        </w:rPr>
      </w:pPr>
      <w:r>
        <w:rPr>
          <w:rFonts w:ascii="Calibri" w:cs="Calibri" w:eastAsia="Calibri" w:hAnsi="Calibri"/>
          <w:sz w:val="20"/>
          <w:szCs w:val="20"/>
          <w:color w:val="auto"/>
        </w:rPr>
        <w:t>We use these non-GAAP fnancial measures as the principal measures of our operatng performance. Management believes these measures allow management to more efectvely evaluate our operatng performance and compare the results of our operatons from period to period without the impact of certain non-cash items and non-routne items that we do not expect to contnue at the same level in the future and other items that are not core to our operatons. We believe that these measures are useful to our investors because they provide a more complete understanding of the factors and trends afectng our business than could be obtained without these measures and their disclosure. In additon, we believe these measures will assist investors in making comparisons to our historical operatng results and analyzing the underlying performance of our operatons for the periods presented. Our management also uses these measurements in their fnancial analysis and operatonal decision-making and Adjusted EBITDA serves as the key metric for the atainment of our primary annual incentve program. These measures may be calculated diferently from, and therefore may not be comparable to, a similarly ttled measure used by other companies.</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Sotera Health</w:t>
      </w:r>
    </w:p>
    <w:p>
      <w:pPr>
        <w:spacing w:after="0" w:line="103"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RELATIONS CONTACTS</w:t>
      </w:r>
    </w:p>
    <w:p>
      <w:pPr>
        <w:spacing w:after="0" w:line="238" w:lineRule="auto"/>
        <w:rPr>
          <w:sz w:val="20"/>
          <w:szCs w:val="20"/>
          <w:color w:val="auto"/>
        </w:rPr>
      </w:pPr>
      <w:r>
        <w:rPr>
          <w:rFonts w:ascii="Calibri" w:cs="Calibri" w:eastAsia="Calibri" w:hAnsi="Calibri"/>
          <w:sz w:val="20"/>
          <w:szCs w:val="20"/>
          <w:color w:val="auto"/>
        </w:rPr>
        <w:t>Jason Peterson</w:t>
      </w:r>
    </w:p>
    <w:p>
      <w:pPr>
        <w:spacing w:after="0" w:line="226" w:lineRule="auto"/>
        <w:rPr>
          <w:sz w:val="20"/>
          <w:szCs w:val="20"/>
          <w:color w:val="auto"/>
        </w:rPr>
      </w:pPr>
      <w:r>
        <w:rPr>
          <w:rFonts w:ascii="Calibri" w:cs="Calibri" w:eastAsia="Calibri" w:hAnsi="Calibri"/>
          <w:sz w:val="20"/>
          <w:szCs w:val="20"/>
          <w:color w:val="auto"/>
        </w:rPr>
        <w:t>Vice President &amp; Treasurer, Sotera Health</w:t>
      </w:r>
    </w:p>
    <w:p>
      <w:pPr>
        <w:spacing w:after="0"/>
        <w:rPr>
          <w:sz w:val="20"/>
          <w:szCs w:val="20"/>
          <w:color w:val="auto"/>
        </w:rPr>
      </w:pPr>
      <w:r>
        <w:rPr>
          <w:rFonts w:ascii="Calibri" w:cs="Calibri" w:eastAsia="Calibri" w:hAnsi="Calibri"/>
          <w:sz w:val="20"/>
          <w:szCs w:val="20"/>
          <w:u w:val="single" w:color="auto"/>
          <w:color w:val="0563C1"/>
        </w:rPr>
        <w:t>IR@soterahealth.com</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Kristn Gibbs</w:t>
      </w:r>
    </w:p>
    <w:p>
      <w:pPr>
        <w:spacing w:after="0" w:line="238" w:lineRule="auto"/>
        <w:rPr>
          <w:sz w:val="20"/>
          <w:szCs w:val="20"/>
          <w:color w:val="auto"/>
        </w:rPr>
      </w:pPr>
      <w:r>
        <w:rPr>
          <w:rFonts w:ascii="Calibri" w:cs="Calibri" w:eastAsia="Calibri" w:hAnsi="Calibri"/>
          <w:sz w:val="20"/>
          <w:szCs w:val="20"/>
          <w:color w:val="auto"/>
        </w:rPr>
        <w:t>Chief Marketng Ofcer, Sotera Health</w:t>
      </w:r>
    </w:p>
    <w:p>
      <w:pPr>
        <w:spacing w:after="0" w:line="226" w:lineRule="auto"/>
        <w:rPr>
          <w:sz w:val="20"/>
          <w:szCs w:val="20"/>
          <w:color w:val="auto"/>
        </w:rPr>
      </w:pPr>
      <w:r>
        <w:rPr>
          <w:rFonts w:ascii="Calibri" w:cs="Calibri" w:eastAsia="Calibri" w:hAnsi="Calibri"/>
          <w:sz w:val="20"/>
          <w:szCs w:val="20"/>
          <w:u w:val="single" w:color="auto"/>
          <w:color w:val="0563C1"/>
        </w:rPr>
        <w:t>kgibbs@soterahealth.com</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p>
      <w:pPr>
        <w:spacing w:after="0" w:line="242" w:lineRule="exact"/>
        <w:rPr>
          <w:sz w:val="20"/>
          <w:szCs w:val="20"/>
          <w:color w:val="auto"/>
        </w:rPr>
      </w:pPr>
    </w:p>
    <w:p>
      <w:pPr>
        <w:jc w:val="center"/>
        <w:ind w:right="-159"/>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9"/>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100"/>
          </w:cols>
          <w:pgMar w:left="320" w:top="939" w:right="4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20" w:type="dxa"/>
            <w:vAlign w:val="bottom"/>
          </w:tcPr>
          <w:p>
            <w:pPr>
              <w:spacing w:after="0"/>
              <w:rPr>
                <w:sz w:val="17"/>
                <w:szCs w:val="17"/>
                <w:color w:val="auto"/>
              </w:rPr>
            </w:pPr>
          </w:p>
        </w:tc>
        <w:tc>
          <w:tcPr>
            <w:tcW w:w="246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9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237,918</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220,377</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905,598</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864,828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72,321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31,213</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143,690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138,859</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310,239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251,590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1,049,288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1,003,687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106,921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418,611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390,860</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23,235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53,519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55,823</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130,156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109,870</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472,130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446,683</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577,158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557,004</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60,358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236,667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245,714</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15,701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63,799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62,940</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76,059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81,552</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300,466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308,654</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104,024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276,692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248,350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42,653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142,878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80,144</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 EO litigation settlement</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 EO litigation settlement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investment in unconsolidated affiliate</w:t>
            </w: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65,670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(378,502)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(243,111)</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26,989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54,651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38,681</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(319,719)</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51,376</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(233,570)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281,335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280,417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281,008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280,096</w:t>
            </w:r>
          </w:p>
        </w:tc>
        <w:tc>
          <w:tcPr>
            <w:tcW w:w="0" w:type="dxa"/>
            <w:vAlign w:val="bottom"/>
          </w:tcPr>
          <w:p>
            <w:pPr>
              <w:spacing w:after="0"/>
              <w:rPr>
                <w:sz w:val="1"/>
                <w:szCs w:val="1"/>
                <w:color w:val="auto"/>
              </w:rPr>
            </w:pPr>
          </w:p>
        </w:tc>
      </w:tr>
      <w:tr>
        <w:trPr>
          <w:trHeight w:val="238"/>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283,339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280,417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283,222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240"/>
          </w:cols>
          <w:pgMar w:left="320" w:top="12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76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20" w:type="dxa"/>
            <w:vAlign w:val="bottom"/>
          </w:tcPr>
          <w:p>
            <w:pPr>
              <w:spacing w:after="0"/>
              <w:rPr>
                <w:sz w:val="17"/>
                <w:szCs w:val="17"/>
                <w:color w:val="auto"/>
              </w:rPr>
            </w:pPr>
          </w:p>
        </w:tc>
        <w:tc>
          <w:tcPr>
            <w:tcW w:w="2420" w:type="dxa"/>
            <w:vAlign w:val="bottom"/>
            <w:gridSpan w:val="4"/>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Sterigenics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172,196</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161,669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667,130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626,646</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Nordion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153,639</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Nelson Labs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58,208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221,699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223,402</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310,239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1,003,687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94,753</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362,212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339,144</w:t>
            </w:r>
          </w:p>
        </w:tc>
        <w:tc>
          <w:tcPr>
            <w:tcW w:w="0" w:type="dxa"/>
            <w:vAlign w:val="bottom"/>
          </w:tcPr>
          <w:p>
            <w:pPr>
              <w:spacing w:after="0"/>
              <w:rPr>
                <w:sz w:val="1"/>
                <w:szCs w:val="1"/>
                <w:color w:val="auto"/>
              </w:rPr>
            </w:pPr>
          </w:p>
        </w:tc>
      </w:tr>
      <w:tr>
        <w:trPr>
          <w:trHeight w:val="230"/>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96,678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89,477</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18,679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77,628</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166,748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528,029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506,249</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116,068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78,490</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145,554</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(c)</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21,211</w:t>
            </w:r>
          </w:p>
        </w:tc>
        <w:tc>
          <w:tcPr>
            <w:tcW w:w="0" w:type="dxa"/>
            <w:vAlign w:val="bottom"/>
          </w:tcPr>
          <w:p>
            <w:pPr>
              <w:spacing w:after="0"/>
              <w:rPr>
                <w:sz w:val="1"/>
                <w:szCs w:val="1"/>
                <w:color w:val="auto"/>
              </w:rPr>
            </w:pPr>
          </w:p>
        </w:tc>
      </w:tr>
      <w:tr>
        <w:trPr>
          <w:trHeight w:val="176"/>
        </w:trPr>
        <w:tc>
          <w:tcPr>
            <w:tcW w:w="5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loss on foreign currency and derivatives not designated as hedging</w:t>
            </w:r>
          </w:p>
        </w:tc>
        <w:tc>
          <w:tcPr>
            <w:tcW w:w="2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instruments, net</w:t>
            </w:r>
            <w:r>
              <w:rPr>
                <w:rFonts w:ascii="Times New Roman" w:cs="Times New Roman" w:eastAsia="Times New Roman" w:hAnsi="Times New Roman"/>
                <w:sz w:val="23"/>
                <w:szCs w:val="23"/>
                <w:color w:val="auto"/>
                <w:vertAlign w:val="superscript"/>
              </w:rPr>
              <w:t>(d)</w:t>
            </w:r>
          </w:p>
        </w:tc>
        <w:tc>
          <w:tcPr>
            <w:tcW w:w="28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Acquisition and divestiture related charges, net</w:t>
            </w:r>
            <w:r>
              <w:rPr>
                <w:rFonts w:ascii="Times New Roman" w:cs="Times New Roman" w:eastAsia="Times New Roman" w:hAnsi="Times New Roman"/>
                <w:sz w:val="23"/>
                <w:szCs w:val="23"/>
                <w:color w:val="auto"/>
                <w:vertAlign w:val="superscript"/>
              </w:rPr>
              <w:t>(e)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optimization project expenses</w:t>
            </w:r>
            <w:r>
              <w:rPr>
                <w:rFonts w:ascii="Times New Roman" w:cs="Times New Roman" w:eastAsia="Times New Roman" w:hAnsi="Times New Roman"/>
                <w:sz w:val="23"/>
                <w:szCs w:val="23"/>
                <w:color w:val="auto"/>
                <w:vertAlign w:val="superscript"/>
              </w:rPr>
              <w:t>(f)</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Plant closure expenses</w:t>
            </w:r>
            <w:r>
              <w:rPr>
                <w:rFonts w:ascii="Times New Roman" w:cs="Times New Roman" w:eastAsia="Times New Roman" w:hAnsi="Times New Roman"/>
                <w:sz w:val="23"/>
                <w:szCs w:val="23"/>
                <w:color w:val="auto"/>
                <w:vertAlign w:val="superscript"/>
              </w:rPr>
              <w:t>(g)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Impairment of investment in unconsolidated affiliate</w:t>
            </w:r>
            <w:r>
              <w:rPr>
                <w:rFonts w:ascii="Times New Roman" w:cs="Times New Roman" w:eastAsia="Times New Roman" w:hAnsi="Times New Roman"/>
                <w:sz w:val="23"/>
                <w:szCs w:val="23"/>
                <w:color w:val="auto"/>
                <w:vertAlign w:val="superscript"/>
              </w:rPr>
              <w:t>(h)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services and other expenses relating to EO sterilization facilities</w:t>
            </w:r>
            <w:r>
              <w:rPr>
                <w:rFonts w:ascii="Times New Roman" w:cs="Times New Roman" w:eastAsia="Times New Roman" w:hAnsi="Times New Roman"/>
                <w:sz w:val="23"/>
                <w:szCs w:val="23"/>
                <w:color w:val="auto"/>
                <w:vertAlign w:val="superscript"/>
              </w:rPr>
              <w:t>(i)</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Georgia EO litigation settlement</w:t>
            </w:r>
            <w:r>
              <w:rPr>
                <w:rFonts w:ascii="Times New Roman" w:cs="Times New Roman" w:eastAsia="Times New Roman" w:hAnsi="Times New Roman"/>
                <w:sz w:val="23"/>
                <w:szCs w:val="23"/>
                <w:color w:val="auto"/>
                <w:vertAlign w:val="superscript"/>
              </w:rPr>
              <w:t>(j)</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Illinois EO litigation settlement</w:t>
            </w:r>
            <w:r>
              <w:rPr>
                <w:rFonts w:ascii="Times New Roman" w:cs="Times New Roman" w:eastAsia="Times New Roman" w:hAnsi="Times New Roman"/>
                <w:sz w:val="23"/>
                <w:szCs w:val="23"/>
                <w:color w:val="auto"/>
                <w:vertAlign w:val="superscript"/>
              </w:rPr>
              <w:t>(k)</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COVID-19 expenses</w:t>
            </w:r>
            <w:r>
              <w:rPr>
                <w:rFonts w:ascii="Times New Roman" w:cs="Times New Roman" w:eastAsia="Times New Roman" w:hAnsi="Times New Roman"/>
                <w:sz w:val="23"/>
                <w:szCs w:val="23"/>
                <w:color w:val="auto"/>
                <w:vertAlign w:val="superscript"/>
              </w:rPr>
              <w:t>(m)</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8"/>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(loss) before income taxes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65,670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(243,111)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00" w:right="20" w:hanging="492"/>
        <w:spacing w:after="0" w:line="270" w:lineRule="auto"/>
        <w:tabs>
          <w:tab w:leader="none" w:pos="49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and twelve months ended December 31, 2023 excludes $8.8 million and $26.8 million, respectively, of interest expense, net on Term Loan B attributable to the loan proceeds that were used to fund the $408.0 million Illinois EO litigation settlement. The three and twelve months ended December 31, 2022 exclude a $7.8 million and $1.7 million net decrease, respectively, in the fair value of interest rate derivatives not designated as hedging instruments recorded to interest expense.</w:t>
      </w:r>
    </w:p>
    <w:p>
      <w:pPr>
        <w:ind w:left="500" w:hanging="492"/>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w:t>
      </w:r>
    </w:p>
    <w:p>
      <w:pPr>
        <w:spacing w:after="0" w:line="45"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auto"/>
        </w:rPr>
      </w:pPr>
    </w:p>
    <w:p>
      <w:pPr>
        <w:ind w:left="500" w:right="20" w:hanging="492"/>
        <w:spacing w:after="0" w:line="281" w:lineRule="auto"/>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(i) fluctuations in foreign currency exchange rates, (ii) non-cash mark-to-fair value of embedded derivatives relating to certain customer and supply contracts at Nordion, and (iii) unrealized gains and losses on interest rate derivatives not designated as hedging instruments.</w:t>
      </w:r>
    </w:p>
    <w:p>
      <w:pPr>
        <w:spacing w:after="0" w:line="1" w:lineRule="exact"/>
        <w:rPr>
          <w:rFonts w:ascii="Times New Roman" w:cs="Times New Roman" w:eastAsia="Times New Roman" w:hAnsi="Times New Roman"/>
          <w:sz w:val="16"/>
          <w:szCs w:val="16"/>
          <w:color w:val="auto"/>
        </w:rPr>
      </w:pPr>
    </w:p>
    <w:p>
      <w:pPr>
        <w:jc w:val="both"/>
        <w:ind w:left="500" w:right="100" w:hanging="492"/>
        <w:spacing w:after="0" w:line="263" w:lineRule="auto"/>
        <w:tabs>
          <w:tab w:leader="none" w:pos="49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direct and incremental costs related to the acquisitions of RCA and BioSciences Labs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w:t>
      </w:r>
    </w:p>
    <w:p>
      <w:pPr>
        <w:spacing w:after="0" w:line="2" w:lineRule="exact"/>
        <w:rPr>
          <w:rFonts w:ascii="Times New Roman" w:cs="Times New Roman" w:eastAsia="Times New Roman" w:hAnsi="Times New Roman"/>
          <w:sz w:val="16"/>
          <w:szCs w:val="16"/>
          <w:color w:val="auto"/>
        </w:rPr>
      </w:pPr>
    </w:p>
    <w:p>
      <w:pPr>
        <w:ind w:left="500" w:right="80" w:hanging="492"/>
        <w:spacing w:after="0" w:line="281" w:lineRule="auto"/>
        <w:tabs>
          <w:tab w:leader="none" w:pos="50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professional fees, exit costs, severance and other payroll costs, and other costs associated with business optimization and cost savings projects relating to the integration of recent acquisitions, operating structure realignment and other process enhancement projects.</w:t>
      </w:r>
    </w:p>
    <w:p>
      <w:pPr>
        <w:spacing w:after="0" w:line="1" w:lineRule="exact"/>
        <w:rPr>
          <w:rFonts w:ascii="Times New Roman" w:cs="Times New Roman" w:eastAsia="Times New Roman" w:hAnsi="Times New Roman"/>
          <w:sz w:val="16"/>
          <w:szCs w:val="16"/>
          <w:color w:val="231F20"/>
        </w:rPr>
      </w:pPr>
    </w:p>
    <w:p>
      <w:pPr>
        <w:ind w:left="500" w:right="160" w:hanging="492"/>
        <w:spacing w:after="0" w:line="270" w:lineRule="auto"/>
        <w:tabs>
          <w:tab w:leader="none" w:pos="50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Represents professional fees, severance and other payroll costs, and other costs including ongoing lease and utility expenses associated with the closure of the Willowbrook, Illinois facility. The twelve months ended </w:t>
      </w:r>
      <w:r>
        <w:rPr>
          <w:rFonts w:ascii="Times New Roman" w:cs="Times New Roman" w:eastAsia="Times New Roman" w:hAnsi="Times New Roman"/>
          <w:sz w:val="16"/>
          <w:szCs w:val="16"/>
          <w:color w:val="000000"/>
        </w:rPr>
        <w:t>December 31, 2023</w:t>
      </w:r>
      <w:r>
        <w:rPr>
          <w:rFonts w:ascii="Times New Roman" w:cs="Times New Roman" w:eastAsia="Times New Roman" w:hAnsi="Times New Roman"/>
          <w:sz w:val="16"/>
          <w:szCs w:val="16"/>
          <w:color w:val="231F20"/>
        </w:rPr>
        <w:t xml:space="preserve"> also includes a $1.0 million cancellation fee received from a tenant in connection with the termination of an office space lease at the Nordion facility.</w:t>
      </w:r>
    </w:p>
    <w:p>
      <w:pPr>
        <w:ind w:left="500" w:hanging="492"/>
        <w:spacing w:after="0"/>
        <w:tabs>
          <w:tab w:leader="none" w:pos="50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an impairment charge on an equity method investment in a joint venture.</w:t>
      </w:r>
    </w:p>
    <w:p>
      <w:pPr>
        <w:spacing w:after="0" w:line="45" w:lineRule="exact"/>
        <w:rPr>
          <w:rFonts w:ascii="Times New Roman" w:cs="Times New Roman" w:eastAsia="Times New Roman" w:hAnsi="Times New Roman"/>
          <w:sz w:val="16"/>
          <w:szCs w:val="16"/>
          <w:color w:val="231F20"/>
        </w:rPr>
      </w:pPr>
    </w:p>
    <w:p>
      <w:pPr>
        <w:ind w:left="500" w:right="60" w:hanging="492"/>
        <w:spacing w:after="0" w:line="263" w:lineRule="auto"/>
        <w:tabs>
          <w:tab w:leader="none" w:pos="491"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Represents litigation and other professional fees associated with our EO sterilization facilities. This includes </w:t>
      </w:r>
      <w:r>
        <w:rPr>
          <w:rFonts w:ascii="Times New Roman" w:cs="Times New Roman" w:eastAsia="Times New Roman" w:hAnsi="Times New Roman"/>
          <w:sz w:val="16"/>
          <w:szCs w:val="16"/>
          <w:color w:val="000000"/>
        </w:rPr>
        <w:t>$8.8 million and</w:t>
      </w:r>
      <w:r>
        <w:rPr>
          <w:rFonts w:ascii="Times New Roman" w:cs="Times New Roman" w:eastAsia="Times New Roman" w:hAnsi="Times New Roman"/>
          <w:sz w:val="16"/>
          <w:szCs w:val="16"/>
          <w:color w:val="231F20"/>
        </w:rPr>
        <w:t xml:space="preserve"> $26.8 million, respectively, of interest expense, net for the three and twelve months ended December 31, 2023 associated with Term Loan B that was issued to finance the $408.0 million settlement of 880 pending and threatened EO claims against Sterigenics U.S., LLC and Sotera Health LLC (“the Defendant Subsidiaries”) in Illinois under Settlement Agreements entered into on March 28, 2023.</w:t>
      </w:r>
    </w:p>
    <w:p>
      <w:pPr>
        <w:sectPr>
          <w:pgSz w:w="11900" w:h="16838" w:orient="portrait"/>
          <w:cols w:equalWidth="0" w:num="1">
            <w:col w:w="11240"/>
          </w:cols>
          <w:pgMar w:left="320" w:top="338"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40"/>
          </w:cols>
          <w:pgMar w:left="320" w:top="338" w:right="339" w:bottom="1440" w:gutter="0" w:footer="0" w:header="0"/>
          <w:type w:val="continuous"/>
        </w:sectPr>
      </w:pPr>
    </w:p>
    <w:bookmarkStart w:id="10" w:name="page11"/>
    <w:bookmarkEnd w:id="10"/>
    <w:p>
      <w:pPr>
        <w:jc w:val="center"/>
        <w:ind w:right="-5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ind w:right="-51"/>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472" w:hanging="472"/>
        <w:spacing w:after="0"/>
        <w:tabs>
          <w:tab w:leader="none" w:pos="47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cost to settle 79 pending EO claims against the Defendant Subsidiaries in Georgia under a Settlement Term Sheet entered into on December 21, 2023.</w:t>
      </w:r>
    </w:p>
    <w:p>
      <w:pPr>
        <w:spacing w:after="0" w:line="45" w:lineRule="exact"/>
        <w:rPr>
          <w:rFonts w:ascii="Times New Roman" w:cs="Times New Roman" w:eastAsia="Times New Roman" w:hAnsi="Times New Roman"/>
          <w:sz w:val="16"/>
          <w:szCs w:val="16"/>
          <w:color w:val="231F20"/>
        </w:rPr>
      </w:pPr>
    </w:p>
    <w:p>
      <w:pPr>
        <w:ind w:left="492" w:right="400" w:hanging="492"/>
        <w:spacing w:after="0" w:line="281" w:lineRule="auto"/>
        <w:tabs>
          <w:tab w:leader="none" w:pos="49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cost to settle 880 pending and threatened EO claims against the Defendant Subsidiaries in Illinois under Settlement Agreements entered into on March 28, 2023.</w:t>
      </w:r>
    </w:p>
    <w:p>
      <w:pPr>
        <w:spacing w:after="0" w:line="1" w:lineRule="exact"/>
        <w:rPr>
          <w:rFonts w:ascii="Times New Roman" w:cs="Times New Roman" w:eastAsia="Times New Roman" w:hAnsi="Times New Roman"/>
          <w:sz w:val="16"/>
          <w:szCs w:val="16"/>
          <w:color w:val="231F20"/>
        </w:rPr>
      </w:pPr>
    </w:p>
    <w:p>
      <w:pPr>
        <w:ind w:left="492" w:right="180" w:hanging="492"/>
        <w:spacing w:after="0" w:line="260" w:lineRule="auto"/>
        <w:tabs>
          <w:tab w:leader="none" w:pos="483"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non-cash accretion of asset retirement obligations related to Co-60 gamma and EO processing facilities, which are based on estimated site remediation costs for any future decommissioning of these facilities and are accreted over the life of the asset.</w:t>
      </w:r>
    </w:p>
    <w:p>
      <w:pPr>
        <w:ind w:left="472" w:hanging="472"/>
        <w:spacing w:after="0"/>
        <w:tabs>
          <w:tab w:leader="none" w:pos="47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Represents non-recurring costs associated with the COVID-19 pandemic, including incremental costs to implement workplace health </w:t>
      </w:r>
      <w:r>
        <w:rPr>
          <w:rFonts w:ascii="Times New Roman" w:cs="Times New Roman" w:eastAsia="Times New Roman" w:hAnsi="Times New Roman"/>
          <w:sz w:val="16"/>
          <w:szCs w:val="16"/>
          <w:color w:val="000000"/>
        </w:rPr>
        <w:t>and safety measures.</w:t>
      </w:r>
    </w:p>
    <w:p>
      <w:pPr>
        <w:spacing w:after="0" w:line="200" w:lineRule="exact"/>
        <w:rPr>
          <w:sz w:val="20"/>
          <w:szCs w:val="20"/>
          <w:color w:val="auto"/>
        </w:rPr>
      </w:pPr>
    </w:p>
    <w:p>
      <w:pPr>
        <w:spacing w:after="0" w:line="216" w:lineRule="exact"/>
        <w:rPr>
          <w:sz w:val="20"/>
          <w:szCs w:val="20"/>
          <w:color w:val="auto"/>
        </w:rPr>
      </w:pPr>
    </w:p>
    <w:p>
      <w:pPr>
        <w:jc w:val="center"/>
        <w:ind w:right="-51"/>
        <w:spacing w:after="0"/>
        <w:rPr>
          <w:sz w:val="20"/>
          <w:szCs w:val="20"/>
          <w:color w:val="auto"/>
        </w:rPr>
      </w:pPr>
      <w:r>
        <w:rPr>
          <w:rFonts w:ascii="Calibri" w:cs="Calibri" w:eastAsia="Calibri" w:hAnsi="Calibri"/>
          <w:sz w:val="18"/>
          <w:szCs w:val="18"/>
          <w:color w:val="auto"/>
        </w:rPr>
        <w:t>8</w:t>
      </w:r>
    </w:p>
    <w:p>
      <w:pPr>
        <w:sectPr>
          <w:pgSz w:w="11900" w:h="16838" w:orient="portrait"/>
          <w:cols w:equalWidth="0" w:num="1">
            <w:col w:w="11172"/>
          </w:cols>
          <w:pgMar w:left="328" w:top="338" w:right="3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including restricted cash</w:t>
            </w:r>
          </w:p>
        </w:tc>
        <w:tc>
          <w:tcPr>
            <w:tcW w:w="34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301,654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396,294</w:t>
            </w:r>
          </w:p>
        </w:tc>
        <w:tc>
          <w:tcPr>
            <w:tcW w:w="0" w:type="dxa"/>
            <w:vAlign w:val="bottom"/>
          </w:tcPr>
          <w:p>
            <w:pPr>
              <w:spacing w:after="0"/>
              <w:rPr>
                <w:sz w:val="1"/>
                <w:szCs w:val="1"/>
                <w:color w:val="auto"/>
              </w:rPr>
            </w:pPr>
          </w:p>
        </w:tc>
      </w:tr>
      <w:tr>
        <w:trPr>
          <w:trHeight w:val="230"/>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147,696</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118,482</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48,316</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37,145</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59,578</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93,089</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557,244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645,010</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946,914</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774,527</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24,037</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416,318</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491,265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1,111,190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1,101,768</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74,717</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78,654</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3,130,420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3,117,705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230,654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791,567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2,223,674</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1,747,115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167,904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160,761</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64,454</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68,024</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1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2,686,686</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2,767,467</w:t>
            </w: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1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443,734</w:t>
            </w: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350,238</w:t>
            </w:r>
          </w:p>
        </w:tc>
        <w:tc>
          <w:tcPr>
            <w:tcW w:w="0" w:type="dxa"/>
            <w:vAlign w:val="bottom"/>
          </w:tcPr>
          <w:p>
            <w:pPr>
              <w:spacing w:after="0"/>
              <w:rPr>
                <w:sz w:val="1"/>
                <w:szCs w:val="1"/>
                <w:color w:val="auto"/>
              </w:rPr>
            </w:pPr>
          </w:p>
        </w:tc>
      </w:tr>
      <w:tr>
        <w:trPr>
          <w:trHeight w:val="28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3,130,420</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3,117,705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Calibri" w:cs="Calibri" w:eastAsia="Calibri" w:hAnsi="Calibri"/>
                <w:sz w:val="18"/>
                <w:szCs w:val="18"/>
                <w:color w:val="auto"/>
              </w:rPr>
              <w:t>9</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48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4"/>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9"/>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8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51,376</w:t>
            </w:r>
          </w:p>
        </w:tc>
        <w:tc>
          <w:tcPr>
            <w:tcW w:w="14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(233,570)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items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204,177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102,297</w:t>
            </w:r>
          </w:p>
        </w:tc>
      </w:tr>
      <w:tr>
        <w:trPr>
          <w:trHeight w:val="228"/>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(403,285)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409,234</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(147,732)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277,961</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(214,975)</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(182,378)</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to purchase of Regulatory Compliance Associates Inc.</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(214,906)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(181,896)</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revolving credit facility and long-term borrowings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500,000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of revolving credit facility</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(200,000)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of long-term borrowings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of debt issuance costs and prepayment premium</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(25,645)</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withheld for employee taxes on equity awards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(4,089)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(1,807)</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265,959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197,761</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2,039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(4,456)</w:t>
            </w:r>
          </w:p>
        </w:tc>
      </w:tr>
      <w:tr>
        <w:trPr>
          <w:trHeight w:val="244"/>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 including restricted cash</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(94,640)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289,370</w:t>
            </w: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beginning of period</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396,294</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106,924</w:t>
            </w:r>
          </w:p>
        </w:tc>
      </w:tr>
      <w:tr>
        <w:trPr>
          <w:trHeight w:val="252"/>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end of period</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301,654</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396,294</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8"/>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interest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173,842</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75,849</w:t>
            </w:r>
          </w:p>
        </w:tc>
      </w:tr>
      <w:tr>
        <w:trPr>
          <w:trHeight w:val="228"/>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income taxes, net of tax refunds received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50,210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75,496</w:t>
            </w:r>
          </w:p>
        </w:tc>
      </w:tr>
      <w:tr>
        <w:trPr>
          <w:trHeight w:val="231"/>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Purchases of property, plant and equipment included in accounts payable</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16,720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16,413</w:t>
            </w:r>
          </w:p>
        </w:tc>
      </w:tr>
    </w:tbl>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40"/>
          </w:cols>
          <w:pgMar w:left="320" w:top="12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40" w:type="dxa"/>
            <w:vAlign w:val="bottom"/>
          </w:tcPr>
          <w:p>
            <w:pPr>
              <w:spacing w:after="0"/>
              <w:rPr>
                <w:sz w:val="18"/>
                <w:szCs w:val="18"/>
                <w:color w:val="auto"/>
              </w:rPr>
            </w:pPr>
          </w:p>
        </w:tc>
        <w:tc>
          <w:tcPr>
            <w:tcW w:w="266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38,681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(319,719)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51,376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(233,570)</w:t>
            </w: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20,058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19,958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81,348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81,554</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8,229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6,256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32,364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21,211</w:t>
            </w:r>
          </w:p>
        </w:tc>
        <w:tc>
          <w:tcPr>
            <w:tcW w:w="0" w:type="dxa"/>
            <w:vAlign w:val="bottom"/>
          </w:tcPr>
          <w:p>
            <w:pPr>
              <w:spacing w:after="0"/>
              <w:rPr>
                <w:sz w:val="1"/>
                <w:szCs w:val="1"/>
                <w:color w:val="auto"/>
              </w:rPr>
            </w:pPr>
          </w:p>
        </w:tc>
      </w:tr>
      <w:tr>
        <w:trPr>
          <w:trHeight w:val="162"/>
        </w:trPr>
        <w:tc>
          <w:tcPr>
            <w:tcW w:w="52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(Gain) loss on foreign currency and derivatives not designated as hedging</w:t>
            </w:r>
          </w:p>
        </w:tc>
        <w:tc>
          <w:tcPr>
            <w:tcW w:w="160" w:type="dxa"/>
            <w:vAlign w:val="bottom"/>
          </w:tcPr>
          <w:p>
            <w:pPr>
              <w:spacing w:after="0"/>
              <w:rPr>
                <w:sz w:val="14"/>
                <w:szCs w:val="14"/>
                <w:color w:val="auto"/>
              </w:rPr>
            </w:pPr>
          </w:p>
        </w:tc>
        <w:tc>
          <w:tcPr>
            <w:tcW w:w="12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(3,011)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7,938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(1,552)</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3,150</w:t>
            </w: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instruments, net</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Acquisition and divestiture related charges, net</w:t>
            </w:r>
            <w:r>
              <w:rPr>
                <w:rFonts w:ascii="Times New Roman" w:cs="Times New Roman" w:eastAsia="Times New Roman" w:hAnsi="Times New Roman"/>
                <w:sz w:val="21"/>
                <w:szCs w:val="21"/>
                <w:color w:val="auto"/>
                <w:vertAlign w:val="superscript"/>
              </w:rPr>
              <w:t>(c)</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120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937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1,398</w:t>
            </w: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project expenses</w:t>
            </w:r>
            <w:r>
              <w:rPr>
                <w:rFonts w:ascii="Times New Roman" w:cs="Times New Roman" w:eastAsia="Times New Roman" w:hAnsi="Times New Roman"/>
                <w:sz w:val="21"/>
                <w:szCs w:val="21"/>
                <w:color w:val="auto"/>
                <w:vertAlign w:val="superscript"/>
              </w:rPr>
              <w:t>(d)</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217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7,310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2,226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Plant closure expenses</w:t>
            </w:r>
            <w:r>
              <w:rPr>
                <w:rFonts w:ascii="Times New Roman" w:cs="Times New Roman" w:eastAsia="Times New Roman" w:hAnsi="Times New Roman"/>
                <w:sz w:val="21"/>
                <w:szCs w:val="21"/>
                <w:color w:val="auto"/>
                <w:vertAlign w:val="superscript"/>
              </w:rPr>
              <w:t>(e)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(585)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4,730</w:t>
            </w: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Impairment on investment in unconsolidated affiliate</w:t>
            </w:r>
            <w:r>
              <w:rPr>
                <w:rFonts w:ascii="Times New Roman" w:cs="Times New Roman" w:eastAsia="Times New Roman" w:hAnsi="Times New Roman"/>
                <w:sz w:val="21"/>
                <w:szCs w:val="21"/>
                <w:color w:val="auto"/>
                <w:vertAlign w:val="superscript"/>
              </w:rPr>
              <w:t>(f)</w:t>
            </w: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9,613</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Professional services and other expenses relating to EO sterilization</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20,222</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22,401</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72,122</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72,639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facilities</w:t>
            </w:r>
            <w:r>
              <w:rPr>
                <w:rFonts w:ascii="Times New Roman" w:cs="Times New Roman" w:eastAsia="Times New Roman" w:hAnsi="Times New Roman"/>
                <w:sz w:val="21"/>
                <w:szCs w:val="21"/>
                <w:color w:val="auto"/>
                <w:vertAlign w:val="superscript"/>
              </w:rPr>
              <w:t>(g)</w:t>
            </w: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line="230" w:lineRule="exact"/>
              <w:rPr>
                <w:sz w:val="20"/>
                <w:szCs w:val="20"/>
                <w:color w:val="auto"/>
              </w:rPr>
            </w:pPr>
            <w:r>
              <w:rPr>
                <w:rFonts w:ascii="Times New Roman" w:cs="Times New Roman" w:eastAsia="Times New Roman" w:hAnsi="Times New Roman"/>
                <w:sz w:val="16"/>
                <w:szCs w:val="16"/>
                <w:color w:val="auto"/>
              </w:rPr>
              <w:t>Georgia EO litigation settlement</w:t>
            </w:r>
            <w:r>
              <w:rPr>
                <w:rFonts w:ascii="Times New Roman" w:cs="Times New Roman" w:eastAsia="Times New Roman" w:hAnsi="Times New Roman"/>
                <w:sz w:val="21"/>
                <w:szCs w:val="21"/>
                <w:color w:val="auto"/>
                <w:vertAlign w:val="superscript"/>
              </w:rPr>
              <w:t>(h)</w:t>
            </w:r>
          </w:p>
        </w:tc>
        <w:tc>
          <w:tcPr>
            <w:tcW w:w="16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35,000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Illinois EO litigation settlement</w:t>
            </w:r>
            <w:r>
              <w:rPr>
                <w:rFonts w:ascii="Times New Roman" w:cs="Times New Roman" w:eastAsia="Times New Roman" w:hAnsi="Times New Roman"/>
                <w:sz w:val="21"/>
                <w:szCs w:val="21"/>
                <w:color w:val="auto"/>
                <w:vertAlign w:val="superscript"/>
              </w:rPr>
              <w:t>(i)</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408,000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408,000</w:t>
            </w: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(j)</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731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2,413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2,194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COVID-19 expenses</w:t>
            </w:r>
            <w:r>
              <w:rPr>
                <w:rFonts w:ascii="Times New Roman" w:cs="Times New Roman" w:eastAsia="Times New Roman" w:hAnsi="Times New Roman"/>
                <w:sz w:val="21"/>
                <w:szCs w:val="21"/>
                <w:color w:val="auto"/>
                <w:vertAlign w:val="superscript"/>
              </w:rPr>
              <w:t>(k)</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(l)</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(11,166)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(77,744)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(50,617)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(103,081)</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74,136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69,632</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230,116</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270,219</w:t>
            </w:r>
          </w:p>
        </w:tc>
        <w:tc>
          <w:tcPr>
            <w:tcW w:w="0" w:type="dxa"/>
            <w:vAlign w:val="bottom"/>
          </w:tcPr>
          <w:p>
            <w:pPr>
              <w:spacing w:after="0"/>
              <w:rPr>
                <w:sz w:val="1"/>
                <w:szCs w:val="1"/>
                <w:color w:val="auto"/>
              </w:rPr>
            </w:pPr>
          </w:p>
        </w:tc>
      </w:tr>
      <w:tr>
        <w:trPr>
          <w:trHeight w:val="209"/>
        </w:trPr>
        <w:tc>
          <w:tcPr>
            <w:tcW w:w="520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(m)</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33,793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24,516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116,068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78,490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20,664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16,504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76,577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64,000</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(o)</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38,155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18,961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105,268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93,540</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166,748</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129,613</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528,029</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506,249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310,239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251,590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1,049,288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1,003,687</w:t>
            </w: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53.7 %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50.3 %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50.4 %</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281,335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280,417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281,008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280,096</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283,339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280,417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283,222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280,096</w:t>
            </w: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0.14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0.18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0.14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0.18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0.26</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0.25</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0.82</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0.96</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0.26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0.81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0.96</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80" w:hanging="472"/>
        <w:spacing w:after="0"/>
        <w:tabs>
          <w:tab w:leader="none" w:pos="48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231F20"/>
        </w:rPr>
      </w:pPr>
    </w:p>
    <w:p>
      <w:pPr>
        <w:ind w:left="500" w:right="20" w:hanging="492"/>
        <w:spacing w:after="0" w:line="272" w:lineRule="auto"/>
        <w:tabs>
          <w:tab w:leader="none" w:pos="50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effects of (i) fluctuations in foreign currency exchange rates, (ii) non-cash mark-to-fair value of embedded derivatives relating to certain customer and supply contracts at Nordion, and (iii) unrealized gains and losses on interest rate derivatives not designated as hedging instruments.</w:t>
      </w:r>
    </w:p>
    <w:p>
      <w:pPr>
        <w:spacing w:after="0" w:line="1" w:lineRule="exact"/>
        <w:rPr>
          <w:rFonts w:ascii="Times New Roman" w:cs="Times New Roman" w:eastAsia="Times New Roman" w:hAnsi="Times New Roman"/>
          <w:sz w:val="16"/>
          <w:szCs w:val="16"/>
          <w:color w:val="231F20"/>
        </w:rPr>
      </w:pPr>
    </w:p>
    <w:p>
      <w:pPr>
        <w:jc w:val="both"/>
        <w:ind w:left="500" w:right="100" w:hanging="492"/>
        <w:spacing w:after="0" w:line="270" w:lineRule="auto"/>
        <w:tabs>
          <w:tab w:leader="none" w:pos="491"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(i) certain direct and incremental costs related to the acquisitions of RCA and BioSciences Labs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w:t>
      </w:r>
    </w:p>
    <w:p>
      <w:pPr>
        <w:ind w:left="500" w:right="80" w:hanging="492"/>
        <w:spacing w:after="0" w:line="281"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fees, exit costs, severance and other payroll costs, and other costs associated with business optimization and cost savings projects relating to the integration of recent acquisitions, operating structure realignment and other process enhancement projects.</w:t>
      </w:r>
    </w:p>
    <w:p>
      <w:pPr>
        <w:spacing w:after="0" w:line="1" w:lineRule="exact"/>
        <w:rPr>
          <w:rFonts w:ascii="Times New Roman" w:cs="Times New Roman" w:eastAsia="Times New Roman" w:hAnsi="Times New Roman"/>
          <w:sz w:val="16"/>
          <w:szCs w:val="16"/>
          <w:color w:val="auto"/>
        </w:rPr>
      </w:pPr>
    </w:p>
    <w:p>
      <w:pPr>
        <w:ind w:left="500" w:right="160" w:hanging="492"/>
        <w:spacing w:after="0" w:line="263" w:lineRule="auto"/>
        <w:tabs>
          <w:tab w:leader="none" w:pos="491"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professional fees, severance and other payroll costs, and other costs including ongoing lease and utility expenses associated with the closure of the Willowbrook, Illinois facility. The twelve months ended December 31, 2023 also includes a $1.0 million cancellation fee received from a tenant in connection with the termination of an office space lease at the Nordion facility.</w:t>
      </w:r>
    </w:p>
    <w:p>
      <w:pPr>
        <w:spacing w:after="0" w:line="2" w:lineRule="exact"/>
        <w:rPr>
          <w:rFonts w:ascii="Times New Roman" w:cs="Times New Roman" w:eastAsia="Times New Roman" w:hAnsi="Times New Roman"/>
          <w:sz w:val="16"/>
          <w:szCs w:val="16"/>
          <w:color w:val="231F20"/>
        </w:rPr>
      </w:pPr>
    </w:p>
    <w:p>
      <w:pPr>
        <w:ind w:left="500" w:hanging="492"/>
        <w:spacing w:after="0"/>
        <w:tabs>
          <w:tab w:leader="none" w:pos="50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an impairment charge on an equity method investment in a joint venture.</w:t>
      </w:r>
    </w:p>
    <w:p>
      <w:pPr>
        <w:spacing w:after="0" w:line="59" w:lineRule="exact"/>
        <w:rPr>
          <w:rFonts w:ascii="Times New Roman" w:cs="Times New Roman" w:eastAsia="Times New Roman" w:hAnsi="Times New Roman"/>
          <w:sz w:val="16"/>
          <w:szCs w:val="16"/>
          <w:color w:val="231F20"/>
        </w:rPr>
      </w:pPr>
    </w:p>
    <w:p>
      <w:pPr>
        <w:jc w:val="both"/>
        <w:ind w:left="500" w:right="60" w:hanging="492"/>
        <w:spacing w:after="0" w:line="263" w:lineRule="auto"/>
        <w:tabs>
          <w:tab w:leader="none" w:pos="50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 xml:space="preserve">Represents litigation and other professional fees associated with our EO sterilization facilities. This includes $8.8 million and </w:t>
      </w:r>
      <w:r>
        <w:rPr>
          <w:rFonts w:ascii="Times New Roman" w:cs="Times New Roman" w:eastAsia="Times New Roman" w:hAnsi="Times New Roman"/>
          <w:sz w:val="16"/>
          <w:szCs w:val="16"/>
          <w:color w:val="231F20"/>
        </w:rPr>
        <w:t>$26.8 million, respectively,</w:t>
      </w:r>
      <w:r>
        <w:rPr>
          <w:rFonts w:ascii="Times New Roman" w:cs="Times New Roman" w:eastAsia="Times New Roman" w:hAnsi="Times New Roman"/>
          <w:sz w:val="16"/>
          <w:szCs w:val="16"/>
          <w:color w:val="auto"/>
        </w:rPr>
        <w:t xml:space="preserve"> of interest expense, net for the three and twelve months ended December 31, 2023 associated with Term Loan B that was issued to finance the $408.0 million settlement of 880 pending and threatened EO claims against the Defendant Subsidiaries in Illinois under Settlement Agreements entered into on March 28, 2023.</w:t>
      </w:r>
    </w:p>
    <w:p>
      <w:pPr>
        <w:spacing w:after="0" w:line="2" w:lineRule="exact"/>
        <w:rPr>
          <w:rFonts w:ascii="Times New Roman" w:cs="Times New Roman" w:eastAsia="Times New Roman" w:hAnsi="Times New Roman"/>
          <w:sz w:val="16"/>
          <w:szCs w:val="16"/>
          <w:color w:val="231F20"/>
        </w:rPr>
      </w:pPr>
    </w:p>
    <w:p>
      <w:pPr>
        <w:ind w:left="500" w:hanging="492"/>
        <w:spacing w:after="0"/>
        <w:tabs>
          <w:tab w:leader="none" w:pos="50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cost to settle 79 pending EO claims against the Defendant Subsidiaries in Georgia under a Settlement Term Sheet entered into on December 21, 2023.</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240"/>
          </w:cols>
          <w:pgMar w:left="320" w:top="122" w:right="339" w:bottom="1440" w:gutter="0" w:footer="0" w:header="0"/>
        </w:sectPr>
      </w:pPr>
    </w:p>
    <w:bookmarkStart w:id="14" w:name="page15"/>
    <w:bookmarkEnd w:id="14"/>
    <w:p>
      <w:pPr>
        <w:spacing w:after="0" w:line="144" w:lineRule="exact"/>
        <w:rPr>
          <w:sz w:val="20"/>
          <w:szCs w:val="20"/>
          <w:color w:val="auto"/>
        </w:rPr>
      </w:pPr>
    </w:p>
    <w:p>
      <w:pPr>
        <w:ind w:left="492" w:right="100" w:hanging="492"/>
        <w:spacing w:after="0" w:line="281" w:lineRule="auto"/>
        <w:tabs>
          <w:tab w:leader="none" w:pos="48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cost to settle 880 pending and threatened EO claims against the Defendant Subsidiaries in Illinois pursuant to Settlement Agreements entered into on March 28, 2023.</w:t>
      </w:r>
    </w:p>
    <w:p>
      <w:pPr>
        <w:spacing w:after="0" w:line="1" w:lineRule="exact"/>
        <w:rPr>
          <w:rFonts w:ascii="Times New Roman" w:cs="Times New Roman" w:eastAsia="Times New Roman" w:hAnsi="Times New Roman"/>
          <w:sz w:val="16"/>
          <w:szCs w:val="16"/>
          <w:color w:val="auto"/>
        </w:rPr>
      </w:pPr>
    </w:p>
    <w:p>
      <w:pPr>
        <w:ind w:left="492" w:right="220" w:hanging="492"/>
        <w:spacing w:after="0" w:line="272" w:lineRule="auto"/>
        <w:tabs>
          <w:tab w:leader="none" w:pos="483"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non-cash accretion of asset retirement obligations related to Co-60 gamma and EO processing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6"/>
          <w:szCs w:val="16"/>
          <w:color w:val="231F20"/>
        </w:rPr>
      </w:pPr>
    </w:p>
    <w:p>
      <w:pPr>
        <w:ind w:left="492" w:hanging="492"/>
        <w:spacing w:after="0"/>
        <w:tabs>
          <w:tab w:leader="none" w:pos="492"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Represents non-recurring costs associated with the COVID-19 pandemic, including incremental costs to implement workplace health </w:t>
      </w:r>
      <w:r>
        <w:rPr>
          <w:rFonts w:ascii="Times New Roman" w:cs="Times New Roman" w:eastAsia="Times New Roman" w:hAnsi="Times New Roman"/>
          <w:sz w:val="16"/>
          <w:szCs w:val="16"/>
          <w:color w:val="000000"/>
        </w:rPr>
        <w:t>and safety measures.</w:t>
      </w:r>
    </w:p>
    <w:p>
      <w:pPr>
        <w:spacing w:after="0" w:line="45" w:lineRule="exact"/>
        <w:rPr>
          <w:rFonts w:ascii="Times New Roman" w:cs="Times New Roman" w:eastAsia="Times New Roman" w:hAnsi="Times New Roman"/>
          <w:sz w:val="16"/>
          <w:szCs w:val="16"/>
          <w:color w:val="231F20"/>
        </w:rPr>
      </w:pPr>
    </w:p>
    <w:p>
      <w:pPr>
        <w:ind w:left="492" w:right="20" w:hanging="492"/>
        <w:spacing w:after="0" w:line="281" w:lineRule="auto"/>
        <w:tabs>
          <w:tab w:leader="none" w:pos="483"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6"/>
          <w:szCs w:val="16"/>
          <w:color w:val="231F20"/>
        </w:rPr>
      </w:pPr>
    </w:p>
    <w:p>
      <w:pPr>
        <w:ind w:left="492" w:hanging="492"/>
        <w:spacing w:after="0" w:line="263" w:lineRule="auto"/>
        <w:tabs>
          <w:tab w:leader="none" w:pos="483"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three and twelve months ended December 31, 2023 excludes $8.8 million and $26.8 million, respectively, of interest expense, net on Term Loan B attributable to the loan proceeds that were used to fund the $408.0 million Illinois EO litigation settlement. The three and twelve months ended December 31, 2022 exclude a $7.8 million and $1.7 million net decrease, respectively, in the fair value of interest rate derivatives not designated as hedging instruments recorded to interest expense.</w:t>
      </w:r>
    </w:p>
    <w:p>
      <w:pPr>
        <w:spacing w:after="0" w:line="2" w:lineRule="exact"/>
        <w:rPr>
          <w:rFonts w:ascii="Times New Roman" w:cs="Times New Roman" w:eastAsia="Times New Roman" w:hAnsi="Times New Roman"/>
          <w:sz w:val="16"/>
          <w:szCs w:val="16"/>
          <w:color w:val="231F20"/>
        </w:rPr>
      </w:pPr>
    </w:p>
    <w:p>
      <w:pPr>
        <w:ind w:left="492" w:hanging="492"/>
        <w:spacing w:after="0"/>
        <w:tabs>
          <w:tab w:leader="none" w:pos="492"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depreciation of Co-60 held at gamma irradiation sites.</w:t>
      </w:r>
    </w:p>
    <w:p>
      <w:pPr>
        <w:spacing w:after="0" w:line="45" w:lineRule="exact"/>
        <w:rPr>
          <w:rFonts w:ascii="Times New Roman" w:cs="Times New Roman" w:eastAsia="Times New Roman" w:hAnsi="Times New Roman"/>
          <w:sz w:val="16"/>
          <w:szCs w:val="16"/>
          <w:color w:val="231F20"/>
        </w:rPr>
      </w:pPr>
    </w:p>
    <w:p>
      <w:pPr>
        <w:ind w:left="492" w:right="80" w:hanging="492"/>
        <w:spacing w:after="0" w:line="281" w:lineRule="auto"/>
        <w:tabs>
          <w:tab w:leader="none" w:pos="492"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difference between the income tax provision/benefit as determined under U.S. GAAP and the income tax benefit associated with pre-tax adjustments described in footnote (l).</w:t>
      </w:r>
    </w:p>
    <w:p>
      <w:pPr>
        <w:spacing w:after="0" w:line="1" w:lineRule="exact"/>
        <w:rPr>
          <w:rFonts w:ascii="Times New Roman" w:cs="Times New Roman" w:eastAsia="Times New Roman" w:hAnsi="Times New Roman"/>
          <w:sz w:val="16"/>
          <w:szCs w:val="16"/>
          <w:color w:val="231F20"/>
        </w:rPr>
      </w:pPr>
    </w:p>
    <w:p>
      <w:pPr>
        <w:jc w:val="both"/>
        <w:ind w:left="492" w:right="20" w:hanging="492"/>
        <w:spacing w:after="0" w:line="272" w:lineRule="auto"/>
        <w:tabs>
          <w:tab w:leader="none" w:pos="492"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$24.4 million and $20.9 million of the adjustments for the three months ended December 31, 2023 </w:t>
      </w:r>
      <w:r>
        <w:rPr>
          <w:rFonts w:ascii="Times New Roman" w:cs="Times New Roman" w:eastAsia="Times New Roman" w:hAnsi="Times New Roman"/>
          <w:sz w:val="16"/>
          <w:szCs w:val="16"/>
          <w:color w:val="000000"/>
        </w:rPr>
        <w:t>and</w:t>
      </w:r>
      <w:r>
        <w:rPr>
          <w:rFonts w:ascii="Times New Roman" w:cs="Times New Roman" w:eastAsia="Times New Roman" w:hAnsi="Times New Roman"/>
          <w:sz w:val="16"/>
          <w:szCs w:val="16"/>
          <w:color w:val="231F20"/>
        </w:rPr>
        <w:t xml:space="preserve"> 2022, respectively, and $94.1 million and $83.6 million of the adjustments for the </w:t>
      </w:r>
      <w:r>
        <w:rPr>
          <w:rFonts w:ascii="Times New Roman" w:cs="Times New Roman" w:eastAsia="Times New Roman" w:hAnsi="Times New Roman"/>
          <w:sz w:val="16"/>
          <w:szCs w:val="16"/>
          <w:color w:val="000000"/>
        </w:rPr>
        <w:t>year ended December 31, 2023 and</w:t>
      </w:r>
      <w:r>
        <w:rPr>
          <w:rFonts w:ascii="Times New Roman" w:cs="Times New Roman" w:eastAsia="Times New Roman" w:hAnsi="Times New Roman"/>
          <w:sz w:val="16"/>
          <w:szCs w:val="16"/>
          <w:color w:val="231F20"/>
        </w:rPr>
        <w:t xml:space="preserve"> 2022, respectively, are included in cost of revenues, primarily consisting of amortization of intangible assets, depreciation, and accretion of asset retirement obligations.</w:t>
      </w:r>
    </w:p>
    <w:p>
      <w:pPr>
        <w:spacing w:after="0" w:line="374"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12</w:t>
      </w:r>
    </w:p>
    <w:p>
      <w:pPr>
        <w:sectPr>
          <w:pgSz w:w="11900" w:h="16838" w:orient="portrait"/>
          <w:cols w:equalWidth="0" w:num="1">
            <w:col w:w="11212"/>
          </w:cols>
          <w:pgMar w:left="328" w:top="1440"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Net Leverage)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Borders>
              <w:bottom w:val="single" w:sz="8" w:color="auto"/>
            </w:tcBorders>
          </w:tcPr>
          <w:p>
            <w:pPr>
              <w:spacing w:after="0"/>
              <w:rPr>
                <w:sz w:val="19"/>
                <w:szCs w:val="19"/>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4,797</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197,119</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2,223,674</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1,747,115</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30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8,771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30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63,793</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56,955</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0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2,301,035</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2,002,911</w:t>
            </w:r>
          </w:p>
        </w:tc>
      </w:tr>
      <w:tr>
        <w:trPr>
          <w:trHeight w:val="196"/>
        </w:trPr>
        <w:tc>
          <w:tcPr>
            <w:tcW w:w="40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0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(296,407)</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(395,214)</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3000" w:type="dxa"/>
            <w:vAlign w:val="bottom"/>
          </w:tcPr>
          <w:p>
            <w:pPr>
              <w:spacing w:after="0"/>
              <w:rPr>
                <w:sz w:val="19"/>
                <w:szCs w:val="19"/>
                <w:color w:val="auto"/>
              </w:rPr>
            </w:pPr>
          </w:p>
        </w:tc>
        <w:tc>
          <w:tcPr>
            <w:tcW w:w="12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2,004,628</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1,607,697</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02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24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528,029</w:t>
            </w:r>
          </w:p>
        </w:tc>
        <w:tc>
          <w:tcPr>
            <w:tcW w:w="140" w:type="dxa"/>
            <w:vAlign w:val="bottom"/>
          </w:tcPr>
          <w:p>
            <w:pPr>
              <w:spacing w:after="0"/>
              <w:rPr>
                <w:sz w:val="19"/>
                <w:szCs w:val="19"/>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506,249</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30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3.8x</w:t>
            </w: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3.2x</w:t>
            </w:r>
          </w:p>
        </w:tc>
      </w:tr>
      <w:tr>
        <w:trPr>
          <w:trHeight w:val="706"/>
        </w:trPr>
        <w:tc>
          <w:tcPr>
            <w:tcW w:w="4020" w:type="dxa"/>
            <w:vAlign w:val="bottom"/>
          </w:tcPr>
          <w:p>
            <w:pPr>
              <w:spacing w:after="0"/>
              <w:rPr>
                <w:sz w:val="24"/>
                <w:szCs w:val="24"/>
                <w:color w:val="auto"/>
              </w:rPr>
            </w:pPr>
          </w:p>
        </w:tc>
        <w:tc>
          <w:tcPr>
            <w:tcW w:w="3000" w:type="dxa"/>
            <w:vAlign w:val="bottom"/>
          </w:tcPr>
          <w:p>
            <w:pPr>
              <w:jc w:val="right"/>
              <w:ind w:right="1210"/>
              <w:spacing w:after="0"/>
              <w:rPr>
                <w:sz w:val="20"/>
                <w:szCs w:val="20"/>
                <w:color w:val="auto"/>
              </w:rPr>
            </w:pPr>
            <w:r>
              <w:rPr>
                <w:rFonts w:ascii="Calibri" w:cs="Calibri" w:eastAsia="Calibri" w:hAnsi="Calibri"/>
                <w:sz w:val="18"/>
                <w:szCs w:val="18"/>
                <w:color w:val="auto"/>
              </w:rPr>
              <w:t>13</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0"/>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2024-02-27T06:17:23Z</dcterms:created>
  <dcterms:modified xsi:type="dcterms:W3CDTF">2024-02-27T06:17:23Z</dcterms:modified>
</cp:coreProperties>
</file>