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042d8k.htm"/>
      <w:bookmarkStart w:id="1" w:name="ksd1130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May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001-39729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47-3531161</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9100 South Hills Blvd, Suite 300</w:t>
      </w:r>
    </w:p>
    <w:p>
      <w:pPr>
        <w:pStyle w:val="TextBody"/>
        <w:bidi w:val="0"/>
        <w:spacing w:before="0" w:after="0"/>
        <w:jc w:val="center"/>
        <w:rPr>
          <w:rFonts w:ascii="Times New Roman" w:hAnsi="Times New Roman"/>
          <w:b/>
          <w:sz w:val="20"/>
        </w:rPr>
      </w:pPr>
      <w:r>
        <w:rPr>
          <w:rFonts w:ascii="Times New Roman" w:hAnsi="Times New Roman"/>
          <w:b/>
          <w:sz w:val="20"/>
        </w:rPr>
        <w:t>Broadview Heights, Ohio 44147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(440) 262-1410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3980"/>
        <w:gridCol w:w="60"/>
        <w:gridCol w:w="605"/>
        <w:gridCol w:w="60"/>
        <w:gridCol w:w="305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SHC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125" w:type="dxa"/>
        <w:jc w:val="left"/>
        <w:tblInd w:w="0" w:type="dxa"/>
        <w:tblLayout w:type="fixed"/>
        <w:tblCellMar>
          <w:top w:w="0" w:type="dxa"/>
          <w:left w:w="0" w:type="dxa"/>
          <w:bottom w:w="0" w:type="dxa"/>
          <w:right w:w="0" w:type="dxa"/>
        </w:tblCellMar>
      </w:tblPr>
      <w:tblGrid>
        <w:gridCol w:w="965"/>
        <w:gridCol w:w="4160"/>
      </w:tblGrid>
      <w:tr>
        <w:trPr/>
        <w:tc>
          <w:tcPr>
            <w:tcW w:w="965" w:type="dxa"/>
            <w:tcBorders/>
            <w:vAlign w:val="center"/>
          </w:tcPr>
          <w:p>
            <w:pPr>
              <w:pStyle w:val="TableContents"/>
              <w:bidi w:val="0"/>
              <w:spacing w:before="0" w:after="283"/>
              <w:jc w:val="left"/>
              <w:rPr>
                <w:b/>
              </w:rPr>
            </w:pPr>
            <w:r>
              <w:rPr>
                <w:b/>
              </w:rPr>
              <w:t>Item 1.02</w:t>
            </w:r>
          </w:p>
        </w:tc>
        <w:tc>
          <w:tcPr>
            <w:tcW w:w="41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13, 2026, the stockholders’ agreement (the “Stockholders Agreement”) by and among Sotera Health Company (the “Company”) and the stockholders party thereto, dated as of November 19, 2020, terminated pursuant to its terms as described below under Item 8.01.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the terms of the Stockholders Agreement is found under the caption “Certain Relationships and Related Party Transactions—Stockholders Agreement” in the Company’s Definitive Proxy Statement on Schedule 14A, filed with the Securities and Exchange Commission on April 8, 2026 and supplemented on May 5, 2026, which description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Such description of the Stockholders Agreement does not purport to be complete and is qualified in its entirety by reference to the Stockholders Agreement, which is filed hereto as Exhibit 10.1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under Item 8.01 with respect to the Stockholders Agreement is incorporated by reference into this Item 1.02.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11, 2026, the Company, certain stockholders named in Schedule 2 thereto (the “Selling Stockholders”) and Goldman Sachs &amp; Co. LLC, as underwriter (the “Underwriter”), entered into an underwriting agreement (the “Underwriting Agreement”) relating to the sale of 31,838,253 shares (the “Shares”) of the Company’s common stock, par value $0.01 per share (“Common Stock”) by the Selling Stockholders, at a price of $15.168 per share, subject to and upon the terms and conditions set forth therein (the “Offering”). On May 13, 2026, the Selling Stockholders sold the Shares to the Underwriter pursuant to the Underwriting Agreement. The Company did not issue or sell any shares of Common Stock in that transaction and will not receive any proceeds from the sale of the Shares by the Selling Stockholders. None of the Company’s executive officers participated in the sale of the Shares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affiliates of the Company’s prior private equity sponsors, Warburg Pincus LLC and GTCR LLC (collectively, the “Sponsors”), which have historically had special rights relating to the Company’s corporate governance, including the right to designate directors to serve on the Company’s board of directors (the “Board”). As a result of the completion of the Offering, the Sponsors will no longer own any Common Stock. The Company’s existing Stockholders Agreement terminated as a result, ending the Sponsors’ special corporate governance rights. Existing directors on the Board previously designated by the Sponsors are not, however, required to resign from the Board or its committees and may serve until the end of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Underwriting Agreement does not purport to be complete and is qualified in its entirety by reference to the Underwriting Agreement, which is filed herewith as Exhibit 1.1 and is incorporated herein by reference. The opinion of Cleary Gottlieb Steen &amp; Hamilton LLP, relating to the validity of the Shares, is filed as Exhibit 5.1 hereto.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042dex11.htm">
              <w:r>
                <w:rPr>
                  <w:rStyle w:val="InternetLink"/>
                </w:rPr>
                <w:t xml:space="preserve">Underwriting Agreement, dated May 11, 2026, among the Company, Goldman Sachs &amp; Co. LLC, as underwriter, and the selling stockholders named in Schedule 2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042dex51.htm">
              <w:r>
                <w:rPr>
                  <w:rStyle w:val="InternetLink"/>
                </w:rPr>
                <w:t xml:space="preserve">Opinion of Cleary Gottlieb Steen &amp; Hamilton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Stockholders Agreement (filed as Exhibit 10.9 to the Company’s Annual Report for the year ended December 31, 2020)</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13042dex51.htm">
              <w:r>
                <w:rPr>
                  <w:rStyle w:val="InternetLink"/>
                </w:rPr>
                <w:t xml:space="preserve">Consent of Cleary Gottlieb Steen &amp; Hamilton LLP (included as part of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25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474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283"/>
              <w:jc w:val="left"/>
              <w:rPr/>
            </w:pPr>
            <w:r>
              <w:rPr/>
              <w:t>Sotera Health Company</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283"/>
              <w:jc w:val="left"/>
              <w:rPr/>
            </w:pPr>
            <w:r>
              <w:rPr/>
              <w:t> </w:t>
            </w:r>
            <w:r>
              <w:rPr/>
              <w:t>(Registrant)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M. Lyons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Jonathan M. Lyons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jc w:val="right"/>
        <w:rPr>
          <w:rFonts w:ascii="Times New Roman" w:hAnsi="Times New Roman"/>
          <w:b/>
          <w:sz w:val="20"/>
        </w:rPr>
      </w:pPr>
      <w:bookmarkStart w:id="2" w:name="d113042dex11.htm"/>
      <w:bookmarkStart w:id="3" w:name="ksd113042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SOTERA HEALTH COMPANY </w:t>
      </w:r>
    </w:p>
    <w:p>
      <w:pPr>
        <w:pStyle w:val="TextBody"/>
        <w:bidi w:val="0"/>
        <w:spacing w:before="120" w:after="0"/>
        <w:jc w:val="center"/>
        <w:rPr>
          <w:rFonts w:ascii="Times New Roman" w:hAnsi="Times New Roman"/>
          <w:sz w:val="20"/>
        </w:rPr>
      </w:pPr>
      <w:r>
        <w:rPr>
          <w:rFonts w:ascii="Times New Roman" w:hAnsi="Times New Roman"/>
          <w:sz w:val="20"/>
        </w:rPr>
        <w:t xml:space="preserve">31,838,253 Shares of Common Stock </w:t>
      </w:r>
    </w:p>
    <w:p>
      <w:pPr>
        <w:pStyle w:val="TextBody"/>
        <w:bidi w:val="0"/>
        <w:spacing w:before="120" w:after="0"/>
        <w:jc w:val="center"/>
        <w:rPr>
          <w:rFonts w:ascii="Times New Roman" w:hAnsi="Times New Roman"/>
          <w:sz w:val="20"/>
        </w:rPr>
      </w:pPr>
      <w:r>
        <w:rPr>
          <w:rFonts w:ascii="Times New Roman" w:hAnsi="Times New Roman"/>
          <w:sz w:val="20"/>
        </w:rPr>
        <w:t xml:space="preserve">Underwriting Agreement </w:t>
      </w:r>
    </w:p>
    <w:p>
      <w:pPr>
        <w:pStyle w:val="TextBody"/>
        <w:bidi w:val="0"/>
        <w:spacing w:before="120" w:after="0"/>
        <w:jc w:val="right"/>
        <w:rPr>
          <w:rFonts w:ascii="Times New Roman" w:hAnsi="Times New Roman"/>
          <w:sz w:val="20"/>
        </w:rPr>
      </w:pPr>
      <w:r>
        <w:rPr>
          <w:rFonts w:ascii="Times New Roman" w:hAnsi="Times New Roman"/>
          <w:sz w:val="20"/>
        </w:rPr>
        <w:t xml:space="preserve">May 11, 2026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named in Schedule 2 hereto (the “Selling Stockholders”) of Sotera Health Company, a Delaware corporation (the “Company”), propose to sell to the several underwriters listed in Schedule 1 hereto (the “Underwriters”), an aggregate of 31,838,253 shares (the “Underwritten Shares”) of common stock, par value $0.01 per share (“Common Stock”), of the Company. The Underwritten Shares are herein referred to as the “Shares.” The shares of Common Stock of the Company to be outstanding after giving effect to the sale of the Shares are referred to herein as the “Stock.” In the event only one underwriter is listed in Schedule 1 hereto, any references in this Agreement to the “Underwriters” shall be deemed to refer to the sole underwriter in the singular form listed in such Schedule 1.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Selling Stockholders hereby confirm their agreement with the Underwriters concerning the purchase and sale of the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Registration Statement</w:t>
      </w:r>
      <w:r>
        <w:rPr>
          <w:rFonts w:ascii="Times New Roman" w:hAnsi="Times New Roman"/>
          <w:sz w:val="20"/>
        </w:rPr>
        <w:t xml:space="preserve">. The Company has prepared and filed with the Securities and Exchange Commission (the “Commission”) under the Securities Act of 1933, as amended, and the rules and regulations of the Commission thereunder (collectively, the “Securities Act”), a registration statement on Form S-3 (File No. 333-277418),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including any preliminary prospectus supplement,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Applicable Time (as defined below), the Company had prepared the following information (collectively with the pricing information set forth on Annex A, the “Pricing Disclosure Package”): a Preliminary Prospectus dated May 11, 2026 and each “free-writing prospectus” (as defined pursuant to Rule 405 under the Securities Act) listed on Annex A hereto. </w:t>
      </w:r>
    </w:p>
    <w:p>
      <w:pPr>
        <w:pStyle w:val="TextBody"/>
        <w:bidi w:val="0"/>
        <w:spacing w:before="240" w:after="0"/>
        <w:jc w:val="left"/>
        <w:rPr/>
      </w:pPr>
      <w:r>
        <w:rPr/>
        <w:t>“</w:t>
      </w:r>
      <w:r>
        <w:rPr>
          <w:rFonts w:ascii="Times New Roman" w:hAnsi="Times New Roman"/>
          <w:sz w:val="20"/>
        </w:rPr>
        <w:t xml:space="preserve">Applicable Time” means 4:18 P.M., New York City time, on May 11, 2026.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Selling Stockholders agrees, severally and not jointly, to sell the Underwritten Shares to the Underwriters as provided in this Agreement, and each Underwriter, on the basis of the representations, warranties and agreements set forth herein and subject to the conditions set forth herein, agrees, severally and not jointly, to purchase at a price per share of $15.168 (the “Purchase Price”) from each of the Selling Stockholders the number of Underwritten Shares (to be adjusted by the Underwriters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as set forth opposite the name of such Underwriter in Schedule 1 hereto and the denominator of which is the aggregate number of Underwritten Shares to be purchased by all the Underwriters from all of the Selling Stockholders hereunder. </w:t>
      </w:r>
    </w:p>
    <w:p>
      <w:pPr>
        <w:pStyle w:val="TextBody"/>
        <w:bidi w:val="0"/>
        <w:spacing w:before="240" w:after="0"/>
        <w:jc w:val="left"/>
        <w:rPr>
          <w:rFonts w:ascii="Times New Roman" w:hAnsi="Times New Roman"/>
          <w:sz w:val="20"/>
        </w:rPr>
      </w:pPr>
      <w:r>
        <w:rPr>
          <w:rFonts w:ascii="Times New Roman" w:hAnsi="Times New Roman"/>
          <w:sz w:val="20"/>
        </w:rPr>
        <w:t xml:space="preserve">(b) The Selling Stockholders understand that the Underwriters intend to make a public offering of the Shares, and initially to offer the Shares on the terms set forth in the Pricing Disclosure Package. The Selling Stockholders acknowledge and agree that the Underwriters may offer and sell Shares to or through any affiliate of an Underwriter. </w:t>
      </w:r>
    </w:p>
    <w:p>
      <w:pPr>
        <w:pStyle w:val="TextBody"/>
        <w:bidi w:val="0"/>
        <w:spacing w:before="240" w:after="0"/>
        <w:jc w:val="left"/>
        <w:rPr>
          <w:rFonts w:ascii="Times New Roman" w:hAnsi="Times New Roman"/>
          <w:sz w:val="20"/>
        </w:rPr>
      </w:pPr>
      <w:r>
        <w:rPr>
          <w:rFonts w:ascii="Times New Roman" w:hAnsi="Times New Roman"/>
          <w:sz w:val="20"/>
        </w:rPr>
        <w:t xml:space="preserve">(c) Payment for the Shares shall be made by wire transfer in immediately available funds to the account specified by each of the Selling Stockholders to the Underwriters in the case of the Underwritten Shares, via teleconference at 10:00 A.M. New York City time on May 13, 2026, or at such other time or place on the same or such other date, not later than the fifth business day thereafter, as the Underwriters and each of the Selling Stockholders may agree upon in writing. The time and date of such payment for the Underwritten Shares is referred to herein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Payment for the Shares to be purchased on the Closing Date shall be made against delivery to the Underwriters of the Shares to be purchased on such date with any transfer taxes payable in connection with the sale of such Shares duly paid by the Selling Stockholders. Delivery of the Shares shall be made through the facilities of The Depository Trust Company (“DTC”) unless the Underwriters shall otherwise instruct.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of the Company and each Selling Stockholder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no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no Underwriter shall have any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Underwriters may be required or choose to provide certain Selling Stockholders with certain Regulation Best Interest and Form CRS disclosures in connection with the offering, the Underwriters are not making a recommendation to any Selling Stockholder to participate in the offering, enter into a “lock-up” agreement, or sell any Shares at the price determined in the offering, and nothing set forth in such disclosures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each Underwriter and each Selling Stockholder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Preliminary Prospectus.</w:t>
      </w:r>
      <w:r>
        <w:rPr>
          <w:rFonts w:ascii="Times New Roman" w:hAnsi="Times New Roman"/>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included in the Pricing Disclosure Package,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any Preliminary Prospectus, it being understood and agreed that the only such information furnished by any Underwriter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Pricing Disclosure Package. </w:t>
      </w:r>
      <w:r>
        <w:rPr>
          <w:rFonts w:ascii="Times New Roman" w:hAnsi="Times New Roman"/>
          <w:sz w:val="20"/>
        </w:rPr>
        <w:t xml:space="preserve">The Pricing Disclosure Package as of the Applicable Time did not, and as of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writing by such Underwriter expressly for use in such Pricing Disclosure Package, it being understood and agreed that the only such information furnished by any Underwriter consists of the information described as such in Section 9(d) hereof. No statement of material fact included in the Prospectus has been omitted from the Pricing Disclosure Package and no statement of material fact included in the Pricing Disclosure Package that is required to be included in the Prospectus has been omitted therefrom.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Underwriters.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expressly for use in such Issuer Free Writing Prospectus or Preliminary Prospectus, it being understood and agreed that the only such information furnished by any Underwriter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Testing-the-Waters Materials. </w:t>
      </w:r>
      <w:r>
        <w:rPr>
          <w:rFonts w:ascii="Times New Roman" w:hAnsi="Times New Roman"/>
          <w:sz w:val="20"/>
        </w:rPr>
        <w:t xml:space="preserve">The Company (i) has not alone engaged in any Testing-the-Waters Communications and (ii) has not authorized anyone to engage in Testing-the-Waters Communications. The Company has not distributed or approved for distribution any Written Testing-the-Waters Communications. “Testing-the-Waters Communication” means any oral or written communication with potential investors undertaken in reliance on either Section 5(d) of, or Rule 163B under, the Securities Act. “Written Testing-the-Waters Communication” means any Testing-the-Waters Communication that is a written communication within the meaning of Rule 405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Registration Statement and Prospectus.</w:t>
      </w:r>
      <w:r>
        <w:rPr>
          <w:rFonts w:ascii="Times New Roman" w:hAnsi="Times New Roman"/>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the Company makes no representation or warranty with respect to any statements or omissions made in reliance upon and in conformity with information relating to any Underwriter furnished to the Company in writing by such Underwriter expressly for use in the Registration Statement and the Prospectus and any amendment or supplement thereto, it being understood and agreed that the only such information furnished by any Underwriter consists of the information described as such in Section 9(d) hereof.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Incorporated Documents. </w:t>
      </w:r>
      <w:r>
        <w:rPr>
          <w:rFonts w:ascii="Times New Roman" w:hAnsi="Times New Roman"/>
          <w:sz w:val="20"/>
        </w:rPr>
        <w:t xml:space="preserve">The documents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Financial Statements.</w:t>
      </w:r>
      <w:r>
        <w:rPr>
          <w:rFonts w:ascii="Times New Roman" w:hAnsi="Times New Roman"/>
          <w:sz w:val="20"/>
        </w:rPr>
        <w:t xml:space="preserve"> The historical financial statements (including the related notes and supporting schedules) and the other financial data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operations and the changes in cash flows of the entities purported to be shown thereby, at the dates and for the periods indicated, and have been prepared in conformity with accounting principles generally accepted in the United States applied on a consistent basis throughout the periods involved, except as otherwise stated therein; the other financial information included or incorporated by reference in each of the Registration Statement, the Pricing Disclosure Package and the Prospectus has been derived from the accounting records of the Company and its consolidated subsidiaries and presents fairly in all material respects the information shown thereby;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to the extent included or incorporated by reference in the Registration Statement, Pricing Disclosure Package and the Prospectus, any pro forma financial information and the related notes thereto included or incorporated by reference in the Registration Statement, the Pricing Disclosure Package and the Prospectus have been prepared in accordance with the applicable requirements, in all material respects, of the Securities Act and the Exchange Act, as applicable, and the assumptions underlying such pro forma financial information are reasonable and are set forth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 Material Adverse Change.</w:t>
      </w:r>
      <w:r>
        <w:rPr>
          <w:rFonts w:ascii="Times New Roman" w:hAnsi="Times New Roman"/>
          <w:sz w:val="20"/>
        </w:rPr>
        <w:t xml:space="preserve"> Since the date of the most recent financial statements of the Company included or incorporated by reference in the Registration Statement, the Pricing Disclosure Package and the Prospectus, (i) there has not been any change in the capital stock (other than the grant or forfeiture of equity awards under equity incentive plans described in the Registration 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the case of clause (i) – (iii) above, as otherwise disclosed in the Registration Statement,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Organization and Good Standing.</w:t>
      </w:r>
      <w:r>
        <w:rPr>
          <w:rFonts w:ascii="Times New Roman" w:hAnsi="Times New Roman"/>
          <w:sz w:val="20"/>
        </w:rPr>
        <w:t xml:space="preserve"> Each of the Company and its subsidiaries has been duly organized, is validly existing and in good standing as a corporation or other business entity under the laws of its jurisdiction of organization, is duly qualified to do business and in good standing as a foreign corporation or other business entity in each jurisdiction in which its ownership or lease of property or the conduct of its businesses requires such qualification, and has all requisite corporate and other organizational power and authority necessary to own or hold its properties and to conduct the businesses in which it is engaged, except where the failure to be so qualified or in good standing or have such power or authority could not, in the aggregate, reasonably be expected to have a material adverse effect on the business, properties, management, financial position, stockholders’ equity or results of operations of the Company and its subsidiaries taken as a whole or on the performance by the Company of its obligations under this Agreement (a “Material Adverse Effect”). There are no significant subsidiaries of the Company that are not listed in Exhibit 21.1 to the Company’s Annual Report on Form 10-K filed with the Commission on February 24, 2026.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Capitalization.</w:t>
      </w:r>
      <w:r>
        <w:rPr>
          <w:rFonts w:ascii="Times New Roman" w:hAnsi="Times New Roman"/>
          <w:sz w:val="20"/>
        </w:rPr>
        <w:t xml:space="preserve"> The Company has an authorized capitalization as set forth in the Registration Statement, the Pricing Disclosure Package and the Prospectus under the heading “Description of Common Stock – Authorized Capitalization”; all the outstanding shares of capital stock of the Company (including the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except in the case of any foreign subsidiary, for directors’ qualifying shares, are owned directly or indirectly by the Company, free and clear of any lien, charge, encumbrance, security interest, restriction on voting or transfer or any other claim of any third party (except as (i) would not reasonably be expected, individually or in the aggregate, to have a Material Adverse Effect and (ii) described in the Pricing Disclosure Package and Prospectus).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Stock Options. </w:t>
      </w:r>
      <w:r>
        <w:rPr>
          <w:rFonts w:ascii="Times New Roman" w:hAnsi="Times New Roman"/>
          <w:sz w:val="20"/>
        </w:rPr>
        <w:t xml:space="preserve">With respect to the stock options (the “Stock Options”) and other equity awards granted pursuant to the stock-based compensation plans of the Company and its subsidiaries (the “Company Stock Plans”), (i) each Stock Option intended to qualify as an “incentive stock option” under Section 422 of the Code so qualifies, (ii) each such grant was duly authorized no later than the date on which each such grant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Nasdaq Global Select Market (the “Nasdaq Market”) and any other exchange on which Company securities are traded, and (iv) each such grant was properly accounted for in accordance with GAAP in the financial statements (including the related notes) of the Company and included in the disclosures in the Company’s filings with the Commission in accordance with the Exchange Act and all other applicable laws to the extent required to be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has not knowingly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Due Authorization.</w:t>
      </w:r>
      <w:r>
        <w:rPr>
          <w:rFonts w:ascii="Times New Roman" w:hAnsi="Times New Roman"/>
          <w:sz w:val="20"/>
        </w:rPr>
        <w:t xml:space="preserve"> The Company has all requisite corporate power and authority to execute, deliver and perform its obligations under this Agreement; and all corporate action required to be taken for the due and proper authorization, execution and delivery by it of this Agreement and the consummation by it of the transactions contemplated hereby has been duly and validly taken.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Underwriting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Description of the Underwriting Agreement.</w:t>
      </w:r>
      <w:r>
        <w:rPr>
          <w:rFonts w:ascii="Times New Roman" w:hAnsi="Times New Roman"/>
          <w:sz w:val="20"/>
        </w:rPr>
        <w:t xml:space="preserve"> This Agreement conforms in all material respects to the description thereof contained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No Conflicts. </w:t>
      </w:r>
      <w:r>
        <w:rPr>
          <w:rFonts w:ascii="Times New Roman" w:hAnsi="Times New Roman"/>
          <w:sz w:val="20"/>
        </w:rPr>
        <w:t xml:space="preserve">The execution, delivery and performance by the Company of this Agreement and the consummation of the transactions contemplated hereby and by the Pricing Disclosure Package and the Prospectus, will not (i) conflict with or result in a breach or violation of any of the terms or provisions of, result in the termination, modification or acceleration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any violation of any law or statute applicable to the Company or any of its subsidiaries or any judgment, order, decree, rule or regulation of any court or arbitration or governmental or regulatory agency or body having jurisdiction over the Company or any of its subsidiaries or any of their properties or assets, except, with respect to clauses (i) and (iii),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No Consents Required.</w:t>
      </w:r>
      <w:r>
        <w:rPr>
          <w:rFonts w:ascii="Times New Roman" w:hAnsi="Times New Roman"/>
          <w:sz w:val="20"/>
        </w:rPr>
        <w:t xml:space="preserve"> No consent, approval, authorization or order of, or filing, registration or qualification with any U.S. court or governmental agency or body, or to the knowledge of the Company, any non-U.S. court or governmental agency or body, having jurisdiction over the Company, any of the subsidiaries of the Company or any of their respective properties or assets is required for the execution, delivery and performance by the Company of this Agreement and the consummation of the transactions contemplated hereby, except for (i) the registration of the Shares under the Securities Act, (ii) such consents, approvals, authorizations, orders, filings, registrations or qualifications as may be required by the Financial Industry Regulatory Authority, Inc. (“FINRA”) and under state securities or Blue Sky laws in connection with the purchase and distribution of the Shares by the Underwriters, (iii) as shall have been obtained or made prior to the Closing Date and (iv) where the failure to obtain any such consent, approval, authorization, order, license, registration or qualification would not reasonably be expected, individually or in the aggregate,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Legal Proceedings.</w:t>
      </w:r>
      <w:r>
        <w:rPr>
          <w:rFonts w:ascii="Times New Roman" w:hAnsi="Times New Roman"/>
          <w:sz w:val="20"/>
        </w:rPr>
        <w:t xml:space="preserve"> Except as described in each of the Registration Statement, the Pricing Disclosure Package and the Prospectus, there are no legal, governmental or regulatory investigations, actions, demands, claims, suits, arbitrations, inquiries or proceedings (“Actions”) pending to which the Company or any of its subsidiaries is or may be reasonably expected to become a party or to which any property of the Company or any of its subsidiaries is or may be reasonably expected to become the subject that, individually or in the aggregate, could reasonably be expected to have a Material Adverse Effect or could, individually or in the aggregate, reasonably be expected to have a material adverse effect on the performance by the Company of this Agreement or the consummation of any of the transactions contemplated hereby; and no such Actions are threatened in writing by any governmental or regulatory authority or by others or, to the knowledge of the Company, contemplated by any governmental or regulatory authority or by others; and (i) there are no current or pending Actions that are required under the Securities Act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and no statutes, regulations or contracts or other documents that are required under the Securities Act to be described in the Registration Statement, the Pricing Disclosure Package or the Prospectus that are not so filed as exhibits to the Registration Statement or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Independent Accountants</w:t>
      </w:r>
      <w:r>
        <w:rPr>
          <w:rFonts w:ascii="Times New Roman" w:hAnsi="Times New Roman"/>
          <w:sz w:val="20"/>
        </w:rPr>
        <w:t xml:space="preserve">. Ernst &amp; Young LLP, who has audited certain financial statements of the Company and its subsidiaries, whose report is included or incorporated by reference in the Registration Statement, the Pricing Disclosure Package and the Prospectus and who have delivered the initial letter referred to in Section 8(f) hereof, is an independent registered public accounting firm within the meaning of the Securities Act and the applicable rules and regulations adopted by the Commission and Public Company Accounting Oversight Board (United States) and as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Title to Real and Personal Property</w:t>
      </w:r>
      <w:r>
        <w:rPr>
          <w:rFonts w:ascii="Times New Roman" w:hAnsi="Times New Roman"/>
          <w:sz w:val="20"/>
        </w:rPr>
        <w:t xml:space="preserve">. The Company and its subsidiaries own or lease all such real and personal property necessary to the conduct of their respective businesses, 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Intellectual Property.</w:t>
      </w:r>
      <w:r>
        <w:rPr>
          <w:rFonts w:ascii="Times New Roman" w:hAnsi="Times New Roman"/>
          <w:sz w:val="20"/>
        </w:rPr>
        <w:t xml:space="preserve"> Except as would not, individually or in the aggregate, reasonably be expected to have a Material Adverse Effect and except as described in each of the Registration Statement, the Pricing Disclosure Package and the Prospectus, the Company and each of its subsidiaries (i) own or otherwise possess, or can acquire on commercially reasonable terms, adequate rights to use all patents, trademarks, service marks, trade names, domain names, copyrights, know-how and systems (including trade secrets and other unpatented and/or unpatentable proprietary or confidential information, systems or procedures and other intellectual property) necessary for the conduct of their respective businesses as currently conducted, (ii) do not, through the conduct of their respective businesses, infringe or violate any intellectual property rights of others and (iii) have not received any written notice of any claim of infringement or violation of any intellectual property rights of others.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No Undisclosed Relationships</w:t>
      </w:r>
      <w:r>
        <w:rPr>
          <w:rFonts w:ascii="Times New Roman" w:hAnsi="Times New Roman"/>
          <w:sz w:val="20"/>
        </w:rPr>
        <w:t xml:space="preserve">. No relationship, direct or indirect, exists between or among the Company or any of its subsidiaries, on the one hand, and the directors, executive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Investment Company Act</w:t>
      </w:r>
      <w:r>
        <w:rPr>
          <w:rFonts w:ascii="Times New Roman" w:hAnsi="Times New Roman"/>
          <w:sz w:val="20"/>
        </w:rPr>
        <w:t xml:space="preserve">. The Company is not an “investment company” within the meaning of the Investment Company Act of 1940, as amended, and the rules and regulations of the Commission thereunder (collectively,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Taxes.</w:t>
      </w:r>
      <w:r>
        <w:rPr>
          <w:rFonts w:ascii="Times New Roman" w:hAnsi="Times New Roman"/>
          <w:sz w:val="20"/>
        </w:rPr>
        <w:t xml:space="preserve"> Except, in each case, as would not have a Material Adverse Effect, (i) the Company and its subsidiaries have filed all federal, state, local and foreign tax returns required to be filed by them through the date hereof, subject to permitted extensions, and have paid all taxes required to be paid by them, to the extent that any of the foregoing is due and payable, and (ii) the Company does not have any knowledge of any tax deficiencies that have been, or could reasonably be expected to be, asserted against the Company and its subsidiaries, except, in the case of either (i) or (ii), for any items being contested in good faith for which adequate reserves for taxes have been established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Licenses and Permits. </w:t>
      </w:r>
      <w:r>
        <w:rPr>
          <w:rFonts w:ascii="Times New Roman" w:hAnsi="Times New Roman"/>
          <w:sz w:val="20"/>
        </w:rPr>
        <w:t xml:space="preserve">The Company and each of its subsidiaries have such permits, licenses, approvals, clearances, exemptions, authorizations, consents, franchises, certificates, registrations, supplements, amendments and other approvals or authorizations of governmental or regulatory authorities having jurisdiction over the Company and its subsidiaries (“Permits”) as are necessary under applicable law to own their respective properties and conduct their respective businesses in the manner described in the Registration Statement, the Pricing Disclosure Package and the Prospectus, except for any of the foregoing that could not, in the aggregate, reasonably be expected to have a Material Adverse Effect or except as described in the Registration Statement, the Pricing Disclosure Package and the Prospectus. Except as described in each of the Registration Statement, the Pricing Disclosure Package and the Prospectus, neither the Company nor any of its subsidiaries has received notice of any proceedings related to the revocation, suspension or modification of any such Permits that, individually or in the aggregate, if the subject of an unfavorable decision, ruling or finding,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No Labor Disputes.</w:t>
      </w:r>
      <w:r>
        <w:rPr>
          <w:rFonts w:ascii="Times New Roman" w:hAnsi="Times New Roman"/>
          <w:sz w:val="20"/>
        </w:rPr>
        <w:t xml:space="preserve"> Except as would not have a Material Adverse Effect, no labor disturbance by or dispute with employees of the Company or any of its subsidiaries exists or, to the knowledge of the Company, is imminent. Neither the Company nor any of its subsidiaries has received any notice of cancellation or termination with respect to any collective bargaining agreement to which it is a party, 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Certain Environmental Matters</w:t>
      </w:r>
      <w:r>
        <w:rPr>
          <w:rFonts w:ascii="Times New Roman" w:hAnsi="Times New Roman"/>
          <w:sz w:val="20"/>
        </w:rPr>
        <w:t xml:space="preserve">. Except as described in each of the Registration Statement, the Pricing Disclosure Package and the Prospectus, (i) the Company and its subsidiaries (x) are, and, to the knowledge of the Company, for the past five years were, in compliance with any and all applicable U.S. federal, state, local and non-U.S. laws, rules, regulations, requirements, decisions and orders relating to the protection of human health or safety, the environment, natural resources, or the use, transport, manufacture, treatment, storage, disposal or release of hazardous, toxic or radioactive materials, substances or wastes, pollutants or contaminants (collectively, “Environmental Laws”), (y) have received and are in compliance with all permits, licenses, certificates or other authorizations or approvals, and have obtained all financial assurances, required of them under applicable Environmental Laws to conduct their respective businesses, and (z) have not received notice of any actual or potential liability under or relating to any Environmental Laws, including for the investigation or remediation of any disposal or release of hazardous, toxic or radioactive materials, substances or wastes, pollutants or contaminants, and have no knowledge that any such notice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threatened, and (ii) there are no costs or liabilities associated with Environmental Laws of or relating to the Company or its subsidiaries or the conduct of their respective businesses, except in the case of each of (i) and (ii) above, for any such failure to comply, or failure to receive, or cost or liability, as would not, individually or in the aggregate, have a Material Adverse Effect; and (iii) (x) there are no proceedings that are pending, or that are known to be contemplated, against the Company or any of its subsidiaries under any Environmental Laws in which a governmental entity is also a party, other than such proceedings regarding which it is reasonably believed no monetary sanctions of $1,000,000 or more will be imposed, and (y) neither the Company nor any of its subsidiaries is aware of any issues regarding compliance with Environmental Laws, or liabilities or other obligations under Environmental Laws or concerning hazardous, toxic or radioactive materials, substances or wastes, pollutants or contaminants, that could reasonably be expected to have a Material Adverse Effect or have a material effect on the capital expenditures or earnings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Compliance with ERISA. </w:t>
      </w:r>
      <w:r>
        <w:rPr>
          <w:rFonts w:ascii="Times New Roman" w:hAnsi="Times New Roman"/>
          <w:sz w:val="20"/>
        </w:rPr>
        <w:t xml:space="preserve">Except, in each case, as would not have a Material Adverse Effect or as described in each of the Registration Statement, the Pricing Disclosure Package and the Prospectus, (i)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failure to satisfy the “minimum funding standard”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nor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(iv) each Plan that is intended to be qualified under Section 401(a) of the Code is so qualified and nothing has occurred, whether by action or by failure to act, which would cause the loss of such qualification; and (v) with respect to (A) each employee benefit plan (within the meaning of Section 3(3) of ERISA, whether or not subject to ERISA) that is not subject to US law and (B) each employee benefit arrangement mandated by non-US law, in each case of (A) and (B), that is maintained, contributed to, or required to be contributed to, by the Company or any member of its Controlled Group or any other entity related to a member of its Controlled Group on a controlled group basis or for which the Company,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member of its Controlled Group or any such other entity has liability (as to (A) and (B), a “Foreign Plan” and “Foreign Benefit Arrangement,” respectively), (x) there has been no failure to timely make, fund, reserve, secure by way of an insurance policy or, if applicable, accrue in accordance with normal accounting practices, any employer or employee contributions, and any insurance premium payments (if applicable), required by applicable law or by the terms of such Foreign Plan or Foreign Benefit Arrangement, (y) there has been no failure to register or loss of good standing with applicable regulatory authorities of any such Foreign Plan or Foreign Benefit Arrangement required to be registered and if any such Foreign Plan or Foreign Benefit Arrangement is intended to qualify for special tax treatment, it meets all applicable requirements to qualify for such tax treatment, and (z) there has been no failure of any Foreign Plan or Foreign Benefit Arrangement to comply with any material provisions of applicable law and regulations or with the material terms of such Foreign Plan or Foreign Benefit Arrangement; and (vi) no proceeding, audit, assessment, complaint or examination has been made, commenced or, to the Company’s knowledge, threatened with respect to any Plan, Foreign Plan or Foreign Benefit Arrangement (other than routine claims for benefits payable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Disclosure Controls</w:t>
      </w:r>
      <w:r>
        <w:rPr>
          <w:rFonts w:ascii="Times New Roman" w:hAnsi="Times New Roman"/>
          <w:sz w:val="20"/>
        </w:rPr>
        <w:t xml:space="preserve">. The Company and its subsidiaries maintain a system of “disclosure controls and procedures” (as defined in Rule 13a-15(e) of the Exchange Act) that complies with the applicable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Accounting Controls. </w:t>
      </w:r>
      <w:r>
        <w:rPr>
          <w:rFonts w:ascii="Times New Roman" w:hAnsi="Times New Roman"/>
          <w:sz w:val="20"/>
        </w:rPr>
        <w:t xml:space="preserve">The Company and its subsidiaries maintain systems of “internal control over financial reporting” (as defined in 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Company’s most recent evaluation of its internal controls over financial reporting pursuant to Rule 13a-15(c) of the Exchange Act,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Insurance. </w:t>
      </w:r>
      <w:r>
        <w:rPr>
          <w:rFonts w:ascii="Times New Roman" w:hAnsi="Times New Roman"/>
          <w:sz w:val="20"/>
        </w:rPr>
        <w:t xml:space="preserve">The Company and its subsidiaries, taken as a whole, are insured against such losses and risks and in such amounts as are, in the reasonable judgment of the Company, prudent and customary in the businesses in which they are engaged or as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Cybersecurity; Data Protection.</w:t>
      </w:r>
      <w:r>
        <w:rPr>
          <w:rFonts w:ascii="Times New Roman" w:hAnsi="Times New Roman"/>
          <w:sz w:val="20"/>
        </w:rPr>
        <w:t xml:space="preserve"> Except as would not, individually or in the aggregate, reasonably be expected to have a Material Adverse Effect and except as described in each of the Registration Statement, the Pricing Disclosure Package and the Prospectus, the Company and its subsidiaries’ information technology assets, equipment, systems, networks, software, hardware, computers, websites, applications and databases (collectively, “IT Systems”) are adequate for, and operate and perform in all respects as required in connection with the operation of the business of the Company and its subsidiaries as currently conducted, free and clear of all bugs, errors, defects, Trojan horses, time bombs, malware and other corruptants. Except as would not, individually or in the aggregate, reasonably be expected to have a Material Adverse Effect and except as described in each of the Registration Statement, the Pricing Disclosure Package and the Prospectus, (i) the Company and its subsidiaries have implemented and maintained commercially reasonable policies, procedures, and safeguards to maintain and protect their confidential information and the integrity, continuous operation, redundancy and security of all IT Systems and data, including all personal, personally identifiable, sensitive, confidential or regulated data (“Data”) used in connection with their businesses, and (ii) there have been no breaches, violations, outages or unauthorized uses of or accesses to the same, except for those that have been remedied, nor any incidents currently under internal review or investigations relating to the same. Except as would not, individually or in the aggregate, reasonably be expected to have a Material Adverse Effect and except as described in each of the Registration Statement, the Pricing Disclosure Package and the Prospectus,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the privacy and security of IT Systems and Data collected, stored, processed, transferred, disclosed or used by the Company or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No Unlawful Payments.</w:t>
      </w:r>
      <w:r>
        <w:rPr>
          <w:rFonts w:ascii="Times New Roman" w:hAnsi="Times New Roman"/>
          <w:sz w:val="20"/>
        </w:rPr>
        <w:t xml:space="preserve"> Neither the Company nor any of its subsidiaries nor any director, officer or employee of the Company or any of its subsidiaries when acting on behalf of the Company or any of its subsidiaries nor, to the knowledge of the Company, any agent, when acting on behalf of the Company or any of its subsidiaries, or controlled affiliate thereof has in the past five years (i) used any corporate funds for any unlawful contribution, gift, entertainment or other unlawful expense relating to political activity; (ii) made or taken an act in furtherance of an offer, promise or authorization of any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taken any action, directly or knowingly indirectly, that would result in a violation by such person of the Foreign Corrupt Practices Act of 1977, as amended, or the rules and regulations thereunder (“FCPA”), the U.K. Bribery Act 2010, the Canadian Corruption of Foreign Public Officials Act or any other applicable anti-corruption or anti-bribery statute or regulation of any jurisdiction in which the Company or any of its subsidiaries operate (collectively, the “Anti-Corruption Laws”); or (iv) made, offered, agreed, requested or taken an act in furtherance of any unlawful bribe or other unlawful benefit, including, without limitation, any rebate, payoff, influence payment, kickback or other unlawful payment or benefit, in each case if such would result in a violation of any Anti-Corruption Laws. The Company and its subsidiaries have instituted, and maintain and enforce, policies and procedures designed to promote continued compliance with the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Compliance with Anti-Money Laundering Laws and Cannabis Laws</w:t>
      </w:r>
      <w:r>
        <w:rPr>
          <w:rFonts w:ascii="Times New Roman" w:hAnsi="Times New Roman"/>
          <w:sz w:val="20"/>
        </w:rPr>
        <w:t xml:space="preserve">. In the past five years, the operations of the Company and its subsidiaries are and have been conducted in material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rules, regulations or guidelines issued, administered or enforced by any governmental agency with jurisdiction over the Company (collectively, the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The operations of the Company and its subsidiaries are and have been conducted for each of the last three years (i) in compliance with the Controlled Substances Act (21 U.S.C. § 801 </w:t>
      </w:r>
      <w:r>
        <w:rPr>
          <w:rFonts w:ascii="Times New Roman" w:hAnsi="Times New Roman"/>
          <w:i/>
          <w:sz w:val="20"/>
        </w:rPr>
        <w:t>et seq</w:t>
      </w:r>
      <w:r>
        <w:rPr>
          <w:rFonts w:ascii="Times New Roman" w:hAnsi="Times New Roman"/>
          <w:sz w:val="20"/>
        </w:rPr>
        <w:t xml:space="preserve">) related to cannabis, including cannabis that meets the definition of “marihuana” under 21 U.S.C. § 802(16), and all rules, regulations, and orders related thereto as well as (ii) in material compliance with all other applicable laws, statutes, rules, and regulations concerning cannabis in all jurisdictions in which the Company and its subsidiaries operate ((i) and (ii) collectively, “Cannabis Laws”). </w:t>
      </w:r>
    </w:p>
    <w:p>
      <w:pPr>
        <w:pStyle w:val="TextBody"/>
        <w:bidi w:val="0"/>
        <w:spacing w:before="120" w:after="0"/>
        <w:jc w:val="left"/>
        <w:rPr>
          <w:rFonts w:ascii="Times New Roman" w:hAnsi="Times New Roman"/>
          <w:sz w:val="20"/>
        </w:rPr>
      </w:pPr>
      <w:r>
        <w:rPr>
          <w:rFonts w:ascii="Times New Roman" w:hAnsi="Times New Roman"/>
          <w:sz w:val="20"/>
        </w:rPr>
        <w:t xml:space="preserve">No action, suit or proceeding by or before any court or governmental agency, authority or body or any arbitrator involving the Company or any of its subsidiaries with respect to the Anti-Money Laundering Laws or Cannabis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proceeds from the offering of the Shares will not be lent, used, or otherwise made available in any way that would cause a material violation of Anti-Money Laundering Laws or a violation of Cannabis Laws by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No Conflicts with Sanctions Laws. </w:t>
      </w:r>
      <w:r>
        <w:rPr>
          <w:rFonts w:ascii="Times New Roman" w:hAnsi="Times New Roman"/>
          <w:sz w:val="20"/>
        </w:rPr>
        <w:t xml:space="preserve">Neither the Company nor any of its subsidiaries, nor any directors or officers of the Company or any of its subsidiaries nor, to the knowledge of the Company, any employee, agent or controlled affiliate thereof, is (i) currently a person with whom dealings are prohibited under any sanctions administered or enforced by the U.S. government (including, without limitation, the Office of Foreign Assets Control of the U.S. Department of the Treasury (“OFAC”) or the U.S. Department of State) the United Nations Security Council, the European Union, His Majesty’s Treasury of the United Kingdom or Canada (collectively, “Sanctions”) (“Sanctioned Person”) or (ii) located, organized or resident in a country or territory that is the subject or target of Sanctions that broadly prohibit dealings with such country or territory (currently, the so-called Donetsk People’s Republic, the so-called Luhansk People’s Republic, the Crimea Region of Ukraine, Cuba, Iran and North Korea (each, a “Sanctioned Jurisdiction”)). The Company will not, directly or indirectly, use the proceeds of the offering of the Shares hereunder, or lend, contribute or otherwise make available such proceeds to any subsidiary, joint venture partner or other person or entity, (i) for the purpose of financing the activities of any person that is, at the time of such financing, a Sanctioned Person or located in a Sanctioned Jurisdiction or (ii) in any other manner that would result in a violation by any person (including any person participating in the offering, whether as underwriter, advisor, investor or otherwise) of Sanctions in connection with the transactions contemplated by this Agreement. Neither the Company nor any of its subsidiaries is knowingly engaged in any dealings or transactions with or involving any individual or entity that is the subject or target of Sanctions or with any Sanctioned Jurisdiction. The Company and its subsidiaries have instituted, and maintain, policies and procedures designed to promote continued compliance with Sanctions.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No Restrictions on Subsidiaries</w:t>
      </w:r>
      <w:r>
        <w:rPr>
          <w:rFonts w:ascii="Times New Roman" w:hAnsi="Times New Roman"/>
          <w:sz w:val="20"/>
        </w:rPr>
        <w:t xml:space="preserve">. No subsidiary of the Company, excluding any joint venture, is currently prohibited, directly or indirectly, under any agreement or instrument to which it is party, from paying any cash dividends to the Company, from making any other cash distribution on such subsidiary’s capital stock, from repaying to the Company any loans or advances to such subsidiary from the Company or from transferring any of such subsidiary’s cash assets to the Company or any other subsidiary of the Company, except as described in the Registration Statement,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No Broker’s Fees.</w:t>
      </w:r>
      <w:r>
        <w:rPr>
          <w:rFonts w:ascii="Times New Roman" w:hAnsi="Times New Roman"/>
          <w:sz w:val="20"/>
        </w:rPr>
        <w:t xml:space="preserve"> Neither the Company nor any of its subsidiaries is a party to any contract, agreement or understanding with any person (other than this Agreement) that could give rise to a valid claim against any of them or any Underwriter for a brokerage commission, finder’s fee or like payment in connection with the offering and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(nn) </w:t>
      </w:r>
      <w:r>
        <w:rPr>
          <w:rFonts w:ascii="Times New Roman" w:hAnsi="Times New Roman"/>
          <w:i/>
          <w:sz w:val="20"/>
        </w:rPr>
        <w:t>No Registration Rights</w:t>
      </w:r>
      <w:r>
        <w:rPr>
          <w:rFonts w:ascii="Times New Roman" w:hAnsi="Times New Roman"/>
          <w:sz w:val="20"/>
        </w:rPr>
        <w:t xml:space="preserve">. No person has the right to require the Company or any of its subsidiaries to register any securities for sale under the Securities Act by reason of the filing of the Registration Statement with the Commission except for such rights that are described in the Registration Statement, the Pricing Disclosure Package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w:t>
      </w:r>
      <w:r>
        <w:rPr>
          <w:rFonts w:ascii="Times New Roman" w:hAnsi="Times New Roman"/>
          <w:i/>
          <w:sz w:val="20"/>
        </w:rPr>
        <w:t>No Stabilization.</w:t>
      </w:r>
      <w:r>
        <w:rPr>
          <w:rFonts w:ascii="Times New Roman" w:hAnsi="Times New Roman"/>
          <w:sz w:val="20"/>
        </w:rPr>
        <w:t xml:space="preserve"> Neither the Company nor any of its affiliates has taken or will take, directly or indirectly, without giving effect to activities by the Underwriters, any action designed to or that could reasonably be expected to cause or result in the stabilization or manipulation of the price of any security of the Company or any of its subsidiaries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(pp) </w:t>
      </w:r>
      <w:r>
        <w:rPr>
          <w:rFonts w:ascii="Times New Roman" w:hAnsi="Times New Roman"/>
          <w:i/>
          <w:sz w:val="20"/>
        </w:rPr>
        <w:t>Forward-Looking Statements.</w:t>
      </w:r>
      <w:r>
        <w:rPr>
          <w:rFonts w:ascii="Times New Roman" w:hAnsi="Times New Roman"/>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(qq) </w:t>
      </w:r>
      <w:r>
        <w:rPr>
          <w:rFonts w:ascii="Times New Roman" w:hAnsi="Times New Roman"/>
          <w:i/>
          <w:sz w:val="20"/>
        </w:rPr>
        <w:t>Statistical and Market Data.</w:t>
      </w:r>
      <w:r>
        <w:rPr>
          <w:rFonts w:ascii="Times New Roman" w:hAnsi="Times New Roman"/>
          <w:sz w:val="20"/>
        </w:rPr>
        <w:t xml:space="preserve"> 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reasonably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(rr) </w:t>
      </w:r>
      <w:r>
        <w:rPr>
          <w:rFonts w:ascii="Times New Roman" w:hAnsi="Times New Roman"/>
          <w:i/>
          <w:sz w:val="20"/>
        </w:rPr>
        <w:t>Sarbanes-Oxley Act</w:t>
      </w:r>
      <w:r>
        <w:rPr>
          <w:rFonts w:ascii="Times New Roman" w:hAnsi="Times New Roman"/>
          <w:sz w:val="20"/>
        </w:rPr>
        <w:t xml:space="preserve">.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(ss) </w:t>
      </w:r>
      <w:r>
        <w:rPr>
          <w:rFonts w:ascii="Times New Roman" w:hAnsi="Times New Roman"/>
          <w:i/>
          <w:sz w:val="20"/>
        </w:rPr>
        <w:t>Status under the Securities Act</w:t>
      </w:r>
      <w:r>
        <w:rPr>
          <w:rFonts w:ascii="Times New Roman" w:hAnsi="Times New Roman"/>
          <w:sz w:val="20"/>
        </w:rPr>
        <w:t xml:space="preserve">. At the time of filing the Registration Statement and any post-effective amendment thereto, at the earliest time thereafter that the Company or any offering participant made a </w:t>
      </w:r>
      <w:r>
        <w:rPr>
          <w:rFonts w:ascii="Times New Roman" w:hAnsi="Times New Roman"/>
          <w:i/>
          <w:sz w:val="20"/>
        </w:rPr>
        <w:t>bona fide</w:t>
      </w:r>
      <w:r>
        <w:rPr>
          <w:rFonts w:ascii="Times New Roman" w:hAnsi="Times New Roman"/>
          <w:sz w:val="20"/>
        </w:rPr>
        <w:t xml:space="preserve"> offer (within the meaning of Rule 164(h)(2) under the Securities Act) of the Shares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(tt) </w:t>
      </w:r>
      <w:r>
        <w:rPr>
          <w:rFonts w:ascii="Times New Roman" w:hAnsi="Times New Roman"/>
          <w:i/>
          <w:sz w:val="20"/>
        </w:rPr>
        <w:t>Compliance with Healthcare Laws.</w:t>
      </w:r>
      <w:r>
        <w:rPr>
          <w:rFonts w:ascii="Times New Roman" w:hAnsi="Times New Roman"/>
          <w:sz w:val="20"/>
        </w:rPr>
        <w:t xml:space="preserve"> In the past three years, the Company and its subsidiaries (i) are and at all times have been in material compliance with all statutes, rules or regulations of the U.S. Food and Drug Administration (“FDA”), the U.S. Department of Health and Human Services (“HHS”), Drug Enforcement Administration (“DEA”) and other comparable governmental or regulatory authorities and contractual requirements applicable to the ownership, testing, development, manufacture, packaging, processing (including by sterilizing or irradiating), use, distribution, labeling, storage, import, export or disposal of any article tested, developed, manufactured, packaged, processed or distributed by the Company (collectively, the “Food and Drug Laws”); (ii) have not received written notice that the FDA, HHS, DEA or any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governmental or regulatory authority has taken, is taking or intends to take action to limit, suspend, modify or revoke any licenses, certificates, approvals, clearances, exemptions, authorizations, permits, registrations and supplements or amendments required by the FDA, HHS, DEA or any comparable governmental or regulatory authority (“Authorizations”) and have no knowledge that the FDA, HHS, DEA or any comparable governmental or regulatory authority is considering such action and have no reason to believe that any such Authorizations will not be renewed in the ordinary course, except as would not reasonably be expected to have a Material Adverse Effect; and (iii) have not received any FDA Form 483, notice of adverse finding, warning letter, untitled letter or other correspondence or written notice from FDA, HHS, DEA, or any comparable governmental or regulatory authority alleging or asserting noncompliance with applicable statutes, rules and regulations, except for such FDA Form 483s, notices of adverse finding, warning letters, untitled letters or other correspondence or written notices that have been resolved as of the date hereof or as would not have a Material Adverse Effect. Additionally, none of the Company, its subsidiaries, or their respective employees, officers, directors, or, to the Company’s knowledge, agents, has been excluded, suspended, debarred or disqualified from participation in any U.S. federal health care program or human clinical research or, to the knowledge of the Company or its subsidiaries, is subject to a governmental inquiry, claim, investigation, proceeding, or other similar action that would reasonably be expected to result in any such exclusion, suspension, debarment or disqualification or has engaged in any conduct that would reasonably be expected to result in any such exclusion, suspension, debarment or disqualification, except in the case of the employees of the Company or its subsidiaries, as would not have a material effect on the Company or its subsidiaries. In the past three years, the Company has complied with DEA instructions with respect to the irradiation of cannabis in the United States, including cannabis that meets the definition of “marihuana” under 21 U.S.C. § 802(16). </w:t>
      </w:r>
    </w:p>
    <w:p>
      <w:pPr>
        <w:pStyle w:val="TextBody"/>
        <w:bidi w:val="0"/>
        <w:spacing w:before="120" w:after="0"/>
        <w:jc w:val="left"/>
        <w:rPr>
          <w:rFonts w:ascii="Times New Roman" w:hAnsi="Times New Roman"/>
          <w:sz w:val="20"/>
        </w:rPr>
      </w:pPr>
      <w:r>
        <w:rPr>
          <w:rFonts w:ascii="Times New Roman" w:hAnsi="Times New Roman"/>
          <w:sz w:val="20"/>
        </w:rPr>
        <w:t xml:space="preserve">(uu) </w:t>
      </w:r>
      <w:r>
        <w:rPr>
          <w:rFonts w:ascii="Times New Roman" w:hAnsi="Times New Roman"/>
          <w:i/>
          <w:sz w:val="20"/>
        </w:rPr>
        <w:t>Clinical Data and Regulatory Compliance</w:t>
      </w:r>
      <w:r>
        <w:rPr>
          <w:rFonts w:ascii="Times New Roman" w:hAnsi="Times New Roman"/>
          <w:sz w:val="20"/>
        </w:rPr>
        <w:t xml:space="preserve">. (i) The tests, studies, and clinical trials conducted by or on behalf of or sponsored by the Company or its subsidiaries (“Studies”), or in which any of the Company or its subsidiaries has participated, were and, if still ongoing, are being conducted in accordance with protocols, procedures and controls designed and approved for such tests, studies, and clinical trials and with accepted professional medical and scientific research procedures and standards and all applicable Food and Drug Laws, and Authorizations of the jurisdiction in which such Studies are being conducted in all material respects; and (ii) the Company and its subsidiaries have not received any material written notices, correspondence or other communications from the FDA, HHS, DEA or DOJ or any governmental or regulatory authority or similar entity requiring or threatening the termination or suspension of any Studies or with respect to the performance of such Studies, except for such notices, correspondence or communications that have been resolved as of the date hereof or as would not have an adverse effect on the Company. None of the Company, any of its subsidiaries or any director, officer, employee, agent, employee or affiliate of the Company or its subsidiaries has committed any act, made any statement or failed to make any statement that would reasonably be expected to provide a basis for the FDA or any other governmental or regulatory authority to invoke its policy with respect to “Fraud, Untrue Statements of Material Facts, Bribery, and Illegal Gratuities,” or similar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(vv)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Selling Stockholders</w:t>
      </w:r>
      <w:r>
        <w:rPr>
          <w:rFonts w:ascii="Times New Roman" w:hAnsi="Times New Roman"/>
          <w:sz w:val="20"/>
        </w:rPr>
        <w:t xml:space="preserve">. Each of the Selling Stockholders severally and not jointly represents and warrants to each Underwriter and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Consents; Authority</w:t>
      </w:r>
      <w:r>
        <w:rPr>
          <w:rFonts w:ascii="Times New Roman" w:hAnsi="Times New Roman"/>
          <w:sz w:val="20"/>
        </w:rPr>
        <w:t xml:space="preserve">. Except (i) as may be required under foreign or state securities (or Blue Sky) laws or by FINRA or by the Nasdaq Market in connection with the purchase and distribution of Shares by the Underwriters and (ii) as would not, individually or in the aggregate, reasonably be expected to impair such Selling Stockholder’s ability to perform its obligations under this Agreement in any material respect, all consents, approvals, authorizations and orders necessary for the execution and delivery by such Selling Stockholder of this Agreement hereinafter referred to, and for the sale and delivery of the Shares to be sold by such Selling Stockholder hereunder, have been obtained; and such Selling Stockholder has full right, power and authority to enter into this Agreement and to sell, assign, transfer and deliver the Shares to be sold by such Selling Stockholder hereunder; this Agreement has been duly authorized, executed and delivered by such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Conflicts</w:t>
      </w:r>
      <w:r>
        <w:rPr>
          <w:rFonts w:ascii="Times New Roman" w:hAnsi="Times New Roman"/>
          <w:sz w:val="20"/>
        </w:rPr>
        <w:t xml:space="preserve">. The execution, delivery and performance by such Selling Stockholder of this Agreement, the sale of the Shares to be sold by such Selling Stockholder and the consummation by such Selling Stockholder of the transactions contemplated 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(i) and (iii), as would not, individually or in the aggregate, reasonably be expected to impair such Selling Stockholder’s ability to perform its obligations under this Agreement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Title to Shares. </w:t>
      </w:r>
      <w:r>
        <w:rPr>
          <w:rFonts w:ascii="Times New Roman" w:hAnsi="Times New Roman"/>
          <w:sz w:val="20"/>
        </w:rPr>
        <w:t xml:space="preserve">Such Selling Stockholder has good and valid title to the Shares to be sold at the Closing Date by such Selling Stockholder hereunder, free and clear of all liens, encumbrances, equities or adverse claims; such Selling Stockholder will have, immediately prior to the Closing Date good and valid title to the Shares to be sold at the Closing Date by such Selling Stockholder, free and clear of all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encumbrances, equities or adverse claims; and upon payment for the Shares to be sold by such Selling Stockholder pursuant to this Agreement, delivery of such Shares, as directed by the Underwriters, to Cede &amp; Co. (“Cede”) or such other nominee as may be designated by DTC, registration of such Shares in the name of Cede or such other nominee and the crediting of such Shares on the books of DTC to the securities account of the Underwriters, as provided herein (assuming that neither DTC nor the Underwriters has notice of any adverse claim (within the meaning of Section 8-105 of the New York Uniform Commercial Code (“UCC”)) to such Shares), (A) the Underwriters will, under Section 8-501 of the UCC, acquire a valid security entitlement in respect of such Shares and (B) no action based on any adverse claim (within the meaning of Section 8-102 of the UCC) to such Shares may be asserted against the Underwriters with respect to such security entitlement.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Stabilization. </w:t>
      </w:r>
      <w:r>
        <w:rPr>
          <w:rFonts w:ascii="Times New Roman" w:hAnsi="Times New Roman"/>
          <w:sz w:val="20"/>
        </w:rPr>
        <w:t xml:space="preserve">Such Selling Stockholder has not taken and will not take, directly or indirectly, any action designed to or that could reasonably be expected to cause or result in any stabilization or manipulation of the price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Pricing Disclosure Package</w:t>
      </w:r>
      <w:r>
        <w:rPr>
          <w:rFonts w:ascii="Times New Roman" w:hAnsi="Times New Roman"/>
          <w:sz w:val="20"/>
        </w:rPr>
        <w:t xml:space="preserve">. The Pricing Disclosure Package, at the Applicable Time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that such Selling Stockholder’s representation under this Section 4(e) shall only apply to any untrue statement of a material fact or omission to state a material fact made in reliance upon and in conformity with any information relating to such Selling Stockholder furnished to the Company in writing by such Selling Stockholder expressly for use in the Pricing Disclosure Package, it being understood and agreed that the only such information furnished by each Selling Stockholder consists of (A) the legal name and address of such Selling Stockholder and the other information about such Selling Stockholder set forth in the footnote relating to such Selling Stockholder under the caption “Principal and Selling Stockholders,” (B) the number of shares of common stock beneficially owned by such Selling Stockholder before and after the offering (excluding percentages) that appears in the table (and corresponding footnotes) under the caption “Selling Stockholders” and (C) the information about such Selling Stockholder under the caption “Summary—Principal Stockholders” (collectively, the “Selling Stockholder Information”).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Issuer Free Writing Prospectus. </w:t>
      </w:r>
      <w:r>
        <w:rPr>
          <w:rFonts w:ascii="Times New Roman" w:hAnsi="Times New Roman"/>
          <w:sz w:val="20"/>
        </w:rPr>
        <w:t xml:space="preserve">Other than the Registration Statement, the Preliminary 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Company and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Registration Statement and Prospectus. </w:t>
      </w:r>
      <w:r>
        <w:rPr>
          <w:rFonts w:ascii="Times New Roman" w:hAnsi="Times New Roman"/>
          <w:sz w:val="20"/>
        </w:rPr>
        <w:t xml:space="preserve">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that such Selling Stockholder’s representation under this Section 4(g) shall apply only to any untrue statement of a material fact or omission to state a material fact made in reliance upon and in conformity with the Selling Stockholder Information.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Use of Proceeds</w:t>
      </w:r>
      <w:r>
        <w:rPr>
          <w:rFonts w:ascii="Times New Roman" w:hAnsi="Times New Roman"/>
          <w:sz w:val="20"/>
        </w:rPr>
        <w:t xml:space="preserve">. Such Selling Stockholder will not use, directly or knowingly indirectly, the proceeds of the offering in furtherance of an offer, payment, promise to pay, or authorization of the payment or giving of money, or anything else of value, to any person in violation of any applicable Anti-Corruption Laws; and such Selling Stockholder will not directly or knowingly indirectly use the proceeds of the offering of the Shares to be sold by such Selling Stockholder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Organization and Good Standing</w:t>
      </w:r>
      <w:r>
        <w:rPr>
          <w:rFonts w:ascii="Times New Roman" w:hAnsi="Times New Roman"/>
          <w:sz w:val="20"/>
        </w:rPr>
        <w:t xml:space="preserve">. Such Selling Stockholder has been duly organized and is validly existing and in good standing under the laws of its respective jurisdictions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ERISA.</w:t>
      </w:r>
      <w:r>
        <w:rPr>
          <w:rFonts w:ascii="Times New Roman" w:hAnsi="Times New Roman"/>
          <w:sz w:val="20"/>
        </w:rPr>
        <w:t xml:space="preserve"> Such Selling Stockholder is not (i) an employee benefit plan subject to Title I of ERISA, (ii) a plan as defined in Section 4975(e)(1) of the Code that is subject to Section 4975 of the Code or (iii) an entity deemed to hold “plan assets” of any such plan or account under Section 3(42) of ERISA, 29 C.F.R. 2510.3-101, or otherwise.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Stamp Taxes</w:t>
      </w:r>
      <w:r>
        <w:rPr>
          <w:rFonts w:ascii="Times New Roman" w:hAnsi="Times New Roman"/>
          <w:sz w:val="20"/>
        </w:rPr>
        <w:t xml:space="preserve">. No stamp duties or other issuance or transfer taxes are payable by or on behalf of the Underwriters in the United States or, in each case, any political subdivision or taxing authority thereof in connection with (A) the execution, delivery and performance of this Agreement, (B) the sale and the delivery to the Underwriters of the Shares to be sold by such Selling Stockholder in the manner contemplated by this Agreement and the Prospectus or (C) the sale and delivery by the Underwriters to the initial purchasers thereof of the Shares to be sold by such Selling Stockholder as contemplated herein and in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Enforcement of Foreign Judgments</w:t>
      </w:r>
      <w:r>
        <w:rPr>
          <w:rFonts w:ascii="Times New Roman" w:hAnsi="Times New Roman"/>
          <w:sz w:val="20"/>
        </w:rPr>
        <w:t xml:space="preserve">. Any final judgment for a fixed or determined sum of money rendered by any U.S. federal or New York State court located in the State of New York having jurisdiction under its own laws in respect of any suit, action or proceeding against such Selling Stockholder based upon this Agreement would be declared enforceable against such Selling Stockholder by the courts of such Selling Stockholder’s jurisdiction of organization (if other than the United States), without reconsideration or reexamination of the merits.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Valid Choice of Law</w:t>
      </w:r>
      <w:r>
        <w:rPr>
          <w:rFonts w:ascii="Times New Roman" w:hAnsi="Times New Roman"/>
          <w:sz w:val="20"/>
        </w:rPr>
        <w:t xml:space="preserve">. The choice of laws of the State of New York as the governing law of this Agreement is a valid choice of law under the laws of such Selling Stockholder’s jurisdiction of organization (if other than the United States) and will be honored by the courts of such Selling Stockholder’s jurisdiction of organization (if other than the United States). The Selling Stockholder has the power to submit, and pursuant to Section 18(c)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Currency</w:t>
      </w:r>
      <w:r>
        <w:rPr>
          <w:rFonts w:ascii="Times New Roman" w:hAnsi="Times New Roman"/>
          <w:sz w:val="20"/>
        </w:rPr>
        <w:t xml:space="preserve">. To the extent any payment is to be made by such Selling Stockholder pursuant to this Agreement, such Selling Stockholder has access, subject to the laws of such Selling Stockholder’s jurisdiction of organization (if other than the United States), to the internal currency market in such Selling Stockholder’s jurisdiction of organization (if other than the United States) and, to the extent necessary, valid agreements with commercial banks of such Selling Stockholder’s jurisdiction of organization (if other than the United States) for purchasing U.S. dollars to make payments of amounts which may be payable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Further Agreements of the Company</w:t>
      </w:r>
      <w:r>
        <w:rPr>
          <w:rFonts w:ascii="Times New Roman" w:hAnsi="Times New Roman"/>
          <w:sz w:val="20"/>
        </w:rPr>
        <w:t xml:space="preserve">. The Company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Required Filings.</w:t>
      </w:r>
      <w:r>
        <w:rPr>
          <w:rFonts w:ascii="Times New Roman" w:hAnsi="Times New Roman"/>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Underwriters in New York City prior to 10:00 A.M., New York City time, on the business day next succeeding the date of this Agreement (or such later time as may be agreed by the Company and the Underwriters) in such quantities as the Underwriters may reasonably request. The Company will pay the registration fee for this offering within the time period required by Rule 456(b)(1) under the Securities Act (without giving effect to the proviso therein) and in any event prior to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Delivery of Copies.</w:t>
      </w:r>
      <w:r>
        <w:rPr>
          <w:rFonts w:ascii="Times New Roman" w:hAnsi="Times New Roman"/>
          <w:sz w:val="20"/>
        </w:rPr>
        <w:t xml:space="preserve"> The Company will deliver, without charge, (i) to the Underwriters, two signed copies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upon request of the Underwriters and (B) during the Prospectus Delivery Period (as defined below), as many copies of the Prospectus (including all amendments and supplements thereto and documents incorporated by reference therein and each Issuer Free Writing Prospectus) as the Underwriters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Amendments or Supplements, Issuer Free Writing Prospectuses.</w:t>
      </w:r>
      <w:r>
        <w:rPr>
          <w:rFonts w:ascii="Times New Roman" w:hAnsi="Times New Roman"/>
          <w:sz w:val="20"/>
        </w:rPr>
        <w:t xml:space="preserve"> Before making, preparing, using, authorizing, approving, referring to or filing any Issuer Free Writing Prospectus, and before filing any amendment or supplement to the Registration Statement, the Pricing Disclosure Package or the Prospectus, whether before or after the time that the Registration Statement becomes effective, the Company will furnish to the Underwriters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Underwriters reasonably object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Notice to the Underwriters.</w:t>
      </w:r>
      <w:r>
        <w:rPr>
          <w:rFonts w:ascii="Times New Roman" w:hAnsi="Times New Roman"/>
          <w:sz w:val="20"/>
        </w:rPr>
        <w:t xml:space="preserve"> The Company will advise the Underwriters promptly, and confirm such advice in writing, (i) when the Registration Statement has become effective; (ii) when any amendment to the Registration Statement has been filed or becomes effective; (iii) 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(vii) of the receipt by the Company of any notice of objection of the Commission to the use of the Registration Statement or any post-effective amendment thereto pursuant to Rule 401(g)(2) under the Securities Act; and (viii) of the receipt by the Company of any notice with respect to any suspension of the qualification of the Shares for offer and sale in any jurisdiction or the initiation or threatening of any proceeding for such purpose; and the Company will use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its reasonable best efforts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Ongoing Compliance.</w:t>
      </w:r>
      <w:r>
        <w:rPr>
          <w:rFonts w:ascii="Times New Roman" w:hAnsi="Times New Roman"/>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Underwriters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Underwriters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Compliance.</w:t>
      </w:r>
      <w:r>
        <w:rPr>
          <w:rFonts w:ascii="Times New Roman" w:hAnsi="Times New Roman"/>
          <w:sz w:val="20"/>
        </w:rPr>
        <w:t xml:space="preserve"> The Company will use its reasonable best efforts, in cooperation with the Underwriters, to qualify the Shares for offer and sale under the securities or Blue Sky laws of such jurisdictions as the Underwriters shall reasonably request and will continue such qualifications in effect so long as required for distribution of the Shares; </w:t>
      </w:r>
      <w:r>
        <w:rPr>
          <w:rFonts w:ascii="Times New Roman" w:hAnsi="Times New Roman"/>
          <w:sz w:val="20"/>
          <w:u w:val="single"/>
        </w:rPr>
        <w:t>provided</w:t>
      </w:r>
      <w:r>
        <w:rPr>
          <w:rFonts w:ascii="Times New Roman" w:hAnsi="Times New Roman"/>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Earning Statement. </w:t>
      </w:r>
      <w:r>
        <w:rPr>
          <w:rFonts w:ascii="Times New Roman" w:hAnsi="Times New Roman"/>
          <w:sz w:val="20"/>
        </w:rPr>
        <w:t xml:space="preserve">The Company will make generally available to its security holders and the Underwriters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hAnsi="Times New Roman"/>
          <w:sz w:val="20"/>
          <w:u w:val="single"/>
        </w:rPr>
        <w:t>provided</w:t>
      </w:r>
      <w:r>
        <w:rPr>
          <w:rFonts w:ascii="Times New Roman" w:hAnsi="Times New Roman"/>
          <w:sz w:val="20"/>
        </w:rPr>
        <w:t xml:space="preserve"> that the Company will be deemed to have complied with such requirement by filing such earnings statement on the Commission’s Electronic Data Gathering, Analysis, and Retrieval system (or any successor system) (“EDGAR”).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Clear Market.</w:t>
      </w:r>
      <w:r>
        <w:rPr>
          <w:rFonts w:ascii="Times New Roman" w:hAnsi="Times New Roman"/>
          <w:sz w:val="20"/>
        </w:rPr>
        <w:t xml:space="preserve"> For a period of 30 days after the date of the Prospectus, the Company will not (i) offer, pledge, sell, contract to sell, sell any option or contract to purchase, purchase any option or contract to sell, grant any option, right or warrant to purchase, lend, or otherwise transfer or dispose of, directly or indirectly, or publicly file with, the Commission a registration statement under the Securities Act relating to, any shares of Common Stock or any securities convertible into or exercisable or exchangeable for Common Stock, or publicly disclose the intention to undertake any of the foregoing (</w:t>
      </w:r>
      <w:r>
        <w:rPr>
          <w:rFonts w:ascii="Times New Roman" w:hAnsi="Times New Roman"/>
          <w:sz w:val="20"/>
          <w:u w:val="single"/>
        </w:rPr>
        <w:t>provided</w:t>
      </w:r>
      <w:r>
        <w:rPr>
          <w:rFonts w:ascii="Times New Roman" w:hAnsi="Times New Roman"/>
          <w:sz w:val="20"/>
        </w:rPr>
        <w:t xml:space="preserve"> that the Company shall provide written notice to the Underwriters at least two business days prior to any confidential or non-public submission of a registration statement described in this clause (i)),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Underwriters, other than the Shares to be sold hereunder.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restricted stock units (“RSUs”) or performance stock units (including net settlement), in each case outstanding on the date of this Agreement and described in the Prospectus; (ii) grants of stock options, stock awards, restricted stock, RSUs, performance stock units, or other equity awards and the issuance of shares of Stock or securities convertible into or exercisable or exchangeable for shares of Stock (whether upon the exercise of stock options, settlement of RSUs or otherwise), in each case, pursuant to or subject to the terms of an equity compensation plan in effect as of the Closing Date and described in the Prospectus (the “Compensation Plans”), </w:t>
      </w:r>
      <w:r>
        <w:rPr>
          <w:rFonts w:ascii="Times New Roman" w:hAnsi="Times New Roman"/>
          <w:sz w:val="20"/>
          <w:u w:val="single"/>
        </w:rPr>
        <w:t>provided</w:t>
      </w:r>
      <w:r>
        <w:rPr>
          <w:rFonts w:ascii="Times New Roman" w:hAnsi="Times New Roman"/>
          <w:sz w:val="20"/>
        </w:rPr>
        <w:t xml:space="preserve"> that such recipients that are executive officers or directors of the Company enter into a lock-up agreement with the Underwriters substantially in the form of </w:t>
      </w:r>
      <w:r>
        <w:rPr>
          <w:rFonts w:ascii="Times New Roman" w:hAnsi="Times New Roman"/>
          <w:sz w:val="20"/>
          <w:u w:val="single"/>
        </w:rPr>
        <w:t>Exhibit A</w:t>
      </w:r>
      <w:r>
        <w:rPr>
          <w:rFonts w:ascii="Times New Roman" w:hAnsi="Times New Roman"/>
          <w:sz w:val="20"/>
        </w:rPr>
        <w:t xml:space="preserve"> hereto; (iii) entry into one or more agreements providing for, and the issuance of, up to 10% of the outstanding shares of Stock, or securities convertible into, exercisable for, or which are otherwise exchangeable for, Stock, immediately following the Closing Date, in acquisitions of the securities, business, property or assets of another person or entity, joint ventures, commercial relationships or other similar strategic transactions or pursuant to any employee benefit plan assumed by the Company in connection with any such acquisition, provided that such recipients enter into a lock-up agreement with the Underwriters; or (iv) the filing of any registration statement on Form S-8 relating to securities granted or to be granted pursuant to any Compensation Plan described in the Prospectus or any assumed benefit plan pursuant to an acquisition or similar strategic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w:t>
      </w:r>
      <w:r>
        <w:rPr>
          <w:rFonts w:ascii="Times New Roman" w:hAnsi="Times New Roman"/>
          <w:i/>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No Stabilization.</w:t>
      </w:r>
      <w:r>
        <w:rPr>
          <w:rFonts w:ascii="Times New Roman" w:hAnsi="Times New Roman"/>
          <w:sz w:val="20"/>
        </w:rPr>
        <w:t xml:space="preserve"> The Company will not take, directly or indirectly, without giving effect to the activities by the Underwriters, any action designed to or that would reasonably be expected to cause or result in any stabilization or manipulation of the price of the Stock.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Exchange Listing.</w:t>
      </w:r>
      <w:r>
        <w:rPr>
          <w:rFonts w:ascii="Times New Roman" w:hAnsi="Times New Roman"/>
          <w:sz w:val="20"/>
        </w:rPr>
        <w:t xml:space="preserve"> For so long as the Company is a reporting company pursuant to Section 12 or 15 of the Exchange Act, the Company will use its reasonable best efforts to maintain the listing of the Shares on the Nasdaq Market.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Reports.</w:t>
      </w:r>
      <w:r>
        <w:rPr>
          <w:rFonts w:ascii="Times New Roman" w:hAnsi="Times New Roman"/>
          <w:sz w:val="20"/>
        </w:rPr>
        <w:t xml:space="preserve"> For a period of two years from the date of this Agreement, the Company will furnish to the Underwriters,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sz w:val="20"/>
          <w:u w:val="single"/>
        </w:rPr>
        <w:t>provided</w:t>
      </w:r>
      <w:r>
        <w:rPr>
          <w:rFonts w:ascii="Times New Roman" w:hAnsi="Times New Roman"/>
          <w:sz w:val="20"/>
        </w:rPr>
        <w:t xml:space="preserve"> the Company will be deemed to have furnished such reports and financial statements to the Underwriters to the extent they are filed on EDGAR.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Record Retention</w:t>
      </w:r>
      <w:r>
        <w:rPr>
          <w:rFonts w:ascii="Times New Roman" w:hAnsi="Times New Roman"/>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Shelf Renewal</w:t>
      </w:r>
      <w:r>
        <w:rPr>
          <w:rFonts w:ascii="Times New Roman" w:hAnsi="Times New Roman"/>
          <w:sz w:val="20"/>
        </w:rPr>
        <w:t xml:space="preserve">. If immediately prior to the third anniversary (the “Renewal Deadline”) of the initial effective date of the Registration Statement, any of the Shares remain un-sold by the Underwriters, the Company will, prior to the Renewal Deadline, file, if it has not already done so and is eligible to do so, a new automatic shelf registration statement relating to the Shares, in a form satisfactory to the Underwriters. If the Company is not eligible to file an automatic shelf registration statement, the Company will, prior to the Renewal Deadline, if it has not already done so, file a new shelf registration statement relating to the Shares, in a form satisfactory to the Underwriters, and will use its best efforts to cause such registration statement to be declared effective within 180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Further Agreements of the Selling Stockholders</w:t>
      </w:r>
      <w:r>
        <w:rPr>
          <w:rFonts w:ascii="Times New Roman" w:hAnsi="Times New Roman"/>
          <w:sz w:val="20"/>
        </w:rPr>
        <w:t xml:space="preserve">. Each of the Selling Stockholders severally covenants and agrees with each Underwriter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 Stabilization. </w:t>
      </w:r>
      <w:r>
        <w:rPr>
          <w:rFonts w:ascii="Times New Roman" w:hAnsi="Times New Roman"/>
          <w:sz w:val="20"/>
        </w:rPr>
        <w:t xml:space="preserve">Such Selling Stockholder will not take, directly or indirectly, any action designed to or that could reasonably be expected to cause or result in any stabilization or manipulation of the price of the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Tax Form. </w:t>
      </w:r>
      <w:r>
        <w:rPr>
          <w:rFonts w:ascii="Times New Roman" w:hAnsi="Times New Roman"/>
          <w:sz w:val="20"/>
        </w:rPr>
        <w:t xml:space="preserve">It will deliver to the Underwriters prior to or at the Closing Date a properly completed and executed United States Treasury Department Form W-9 or Form W-8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Use of Proceeds</w:t>
      </w:r>
      <w:r>
        <w:rPr>
          <w:rFonts w:ascii="Times New Roman" w:hAnsi="Times New Roman"/>
          <w:sz w:val="20"/>
        </w:rPr>
        <w:t xml:space="preserve">. It will not directly or indirectly use the proceeds of the offering of the Shares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Jurisdiction or (iii) in any other manner that will result in a violation by any person (including any person participating in the transaction, whether as underwriter, advisor, investor or otherwise) of Sanctions.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Certain Agreements of the Underwriters</w:t>
      </w:r>
      <w:r>
        <w:rPr>
          <w:rFonts w:ascii="Times New Roman" w:hAnsi="Times New Roman"/>
          <w:sz w:val="20"/>
        </w:rPr>
        <w:t xml:space="preserve">. Each Underwriter hereby represents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not used, authorized use of, referred to or participated in the planning for use of,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(including through incorporation by reference) that was not included in the Preliminary Prospectus or a previously filed Issuer Free Writing Prospectus, (ii) any Issuer Free Writing Prospectus listed on Annex A or prepared pursuant to Section 3(c) or Section 4(f) above (including any electronic road show), or (iii) any free writing prospectus prepared by such underwriter and approved by the Company in advance in writing (each such free writing prospectus referred to in clauses (i) or (iii), an “Underwriter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It has not and will not, without the prior written consent of the Company, use any free writing prospectus that contains the final terms of the Shares unless such terms have previously been included in a free writing prospectus filed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(c) It is not subject to any pending proceeding under Section 8A of the Securities Act with respect to the offering (and will promptly notify the Company and the Selling Stockholders if any such proceeding against it is initiated during the Prospectus Delivery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Conditions of Underwriters’ Obligations.</w:t>
      </w:r>
      <w:r>
        <w:rPr>
          <w:rFonts w:ascii="Times New Roman" w:hAnsi="Times New Roman"/>
          <w:sz w:val="20"/>
        </w:rPr>
        <w:t xml:space="preserve"> The obligation of each Underwriter to purchase the Underwritten Shares on the Closing Date as provided herein is subject to the performance by the Company and each of the Selling Stockholders of their respective covenants and other obligations hereunder and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Registration Compliance; No Stop Order.</w:t>
      </w:r>
      <w:r>
        <w:rPr>
          <w:rFonts w:ascii="Times New Roman" w:hAnsi="Times New Roman"/>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The respective representations and warranties of the Company and the Selling Stockholders contained herein shall be true and correct on the date hereof and on and as of the Closing Date; and the statements of the Company and its officers and of each of the Selling Stockholders and their officers made in any certificates delivered pursuant to this Agreement shall be true and correct on and as of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Downgrade.</w:t>
      </w:r>
      <w:r>
        <w:rPr>
          <w:rFonts w:ascii="Times New Roman" w:hAnsi="Times New Roman"/>
          <w:sz w:val="20"/>
        </w:rPr>
        <w:t xml:space="preserve"> Subsequent to the earlier of (A) the Applicable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Material Adverse Change.</w:t>
      </w:r>
      <w:r>
        <w:rPr>
          <w:rFonts w:ascii="Times New Roman" w:hAnsi="Times New Roman"/>
          <w:sz w:val="20"/>
        </w:rPr>
        <w:t xml:space="preserve"> No event or condition of a type described in Section 3(i) hereof shall have occurred or shall exist, which event or condition is not described in the Pricing Disclosure Package (excluding any amendment or supplement thereto) and the Prospectus (excluding any amendment or supplement thereto) and the effect of which in the judgment of the Underwriters makes it impracticable or inadvisable to proceed with the offering, sale or delivery of the Shares on the Closing Date on the terms and in the manner contemplated by this Agreement,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The Underwriters shall have received on and as of the Closing Date (x)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Underwriters (i) confirming that such officers have carefully reviewed the Registration Statement, the Pricing Disclosure Package and the Prospectus and, to the knowledge of such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representations of the Company set forth in Sections 3(b) and 3(f)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(c) and (d) above and (y) a certificate of each of the Selling Stockholders, in form and substance reasonably satisfactory to the Underwriters, (A) confirming that the representations of such Selling Stockholder set forth in Sections 4(A)(e), 4(A)(f) and 4(A)(g) hereof is true and correct and (B) confirming that the other representations and warranties of such Selling Stockholder in this Agreement are true and correct and that such Selling Stockholder has complied in all material respects with all agreements and satisfied all conditions on their part to be performed or satisfied hereunder at or prior to such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Comfort Letters.</w:t>
      </w:r>
      <w:r>
        <w:rPr>
          <w:rFonts w:ascii="Times New Roman" w:hAnsi="Times New Roman"/>
          <w:sz w:val="20"/>
        </w:rPr>
        <w:t xml:space="preserve"> (i) On the date of this Agreement and on the Closing Date Ernst &amp; Young LLP shall have furnished to the Underwriters, at the request of the Company, letters, dated the respective dates of delivery thereof and addressed to the Underwriters, in form and substance reasonably satisfactory to the Underwriters,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shall use a “cut-off” date no more than three business days prior to such Closing Date. </w:t>
      </w:r>
    </w:p>
    <w:p>
      <w:pPr>
        <w:pStyle w:val="TextBody"/>
        <w:bidi w:val="0"/>
        <w:spacing w:before="120" w:after="0"/>
        <w:jc w:val="left"/>
        <w:rPr>
          <w:rFonts w:ascii="Times New Roman" w:hAnsi="Times New Roman"/>
          <w:sz w:val="20"/>
        </w:rPr>
      </w:pPr>
      <w:r>
        <w:rPr>
          <w:rFonts w:ascii="Times New Roman" w:hAnsi="Times New Roman"/>
          <w:sz w:val="20"/>
        </w:rPr>
        <w:t xml:space="preserve">(ii) On the date of this Agreement and on the Closing Date the Company shall have furnished to the Underwriters a certificate, dated the respective dates of delivery thereof and addressed to the Underwriters, of its chief financial officer with respect to certain financial data contained or incorporated by reference in the Pricing Disclosure Package and the Prospectus, providing “management comfort” with respect to such information, in form and substance reasonably satisfactory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Opinion and 10b-5 Statement of Counsel for the Company.</w:t>
      </w:r>
      <w:r>
        <w:rPr>
          <w:rFonts w:ascii="Times New Roman" w:hAnsi="Times New Roman"/>
          <w:sz w:val="20"/>
        </w:rPr>
        <w:t xml:space="preserve"> Cleary Gottlieb Steen &amp; Hamilton LLP, counsel for the Company, shall have furnished to the Underwriters, at the request of the Company, their written opinion and 10b-5 statement, dated the Closing Date and addressed to the Underwriters, in form and substance reasonably satisfactory to the Underwriters, to the effect set forth in Annex B-1 hereto.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Opinion of Delaware Counsel for the Company.</w:t>
      </w:r>
      <w:r>
        <w:rPr>
          <w:rFonts w:ascii="Times New Roman" w:hAnsi="Times New Roman"/>
          <w:sz w:val="20"/>
        </w:rPr>
        <w:t xml:space="preserve"> Richards, Layton &amp; Finger, P.A., Delaware counsel for the Company, shall have furnished to the Underwriters, at the request of the Company, their written opinion, dated the Closing Date and addressed to the Underwriters, in form and substance reasonably satisfactory to the Underwriters, to the effect set forth in Annex B-2 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Opinion of General Counsel for the Company</w:t>
      </w:r>
      <w:r>
        <w:rPr>
          <w:rFonts w:ascii="Times New Roman" w:hAnsi="Times New Roman"/>
          <w:sz w:val="20"/>
        </w:rPr>
        <w:t xml:space="preserve">. Alexander Dimitrief, Senior Vice President, General Counsel to the Company, shall have furnished to the Underwriters, at the request of the Company, his written opinion, dated the Closing Date and addressed to the Underwriters, in form and substance reasonably satisfactory to the Underwriters to the effect set forth in Annex B-3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Opinion of Counsel for the Warburg Selling Stockholders.</w:t>
      </w:r>
      <w:r>
        <w:rPr>
          <w:rFonts w:ascii="Times New Roman" w:hAnsi="Times New Roman"/>
          <w:sz w:val="20"/>
        </w:rPr>
        <w:t xml:space="preserve"> Cleary Gottlieb Steen &amp; Hamilton LLP, counsel for Bull Holdco, L.P. and Bull Co-Invest L.P. (collectively, the “Warburg Selling Stockholders”), shall have furnished to the Underwriters, at the request of the Warburg Selling Stockholders, their written opinion, dated the Closing Date and addressed to the Underwriters, in form and substance reasonably satisfactory to the Underwriters, to the effect set forth in Annex B-4 hereto.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Opinion of Counsel for the GTCR Selling Stockholders. </w:t>
      </w:r>
      <w:r>
        <w:rPr>
          <w:rFonts w:ascii="Times New Roman" w:hAnsi="Times New Roman"/>
          <w:sz w:val="20"/>
        </w:rPr>
        <w:t xml:space="preserve">Kirkland &amp; Ellis LLP, counsel for GTCR Fund XI/A LP, GTCR Fund XI/C LP and GTCR Co-Invest XI LP (collectively, the “GTCR 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B-5 hereto.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Opinion of Delaware Counsel for the GTCR Selling Stockholders. </w:t>
      </w:r>
      <w:r>
        <w:rPr>
          <w:rFonts w:ascii="Times New Roman" w:hAnsi="Times New Roman"/>
          <w:sz w:val="20"/>
        </w:rPr>
        <w:t xml:space="preserve">Richards, Layton &amp; Finger, P.A., Delaware counsel for the GTCR Selling Stockholders, shall have furnished to the Underwriters, at the request of the GTCR Selling Stockholders, their written opinion, dated the Closing Date and addressed to the Underwriters, in form and substance reasonably satisfactory to the Underwriters, to the effect set forth in Annex B-6 hereto.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Opinion and 10b-5 Statement of Counsel for the Underwriters.</w:t>
      </w:r>
      <w:r>
        <w:rPr>
          <w:rFonts w:ascii="Times New Roman" w:hAnsi="Times New Roman"/>
          <w:sz w:val="20"/>
        </w:rPr>
        <w:t xml:space="preserve"> The Underwriters shall have received on and as of the Closing Date an opinion and 10b-5 statement, addressed to the Underwriters, of Simpson Thacher &amp; Bartlett LLP, counsel for the Underwriters, with respect to such matters as the Underwriters may reasonably request, and such counsel shall have received such documents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No Legal Impediment to Sale.</w:t>
      </w:r>
      <w:r>
        <w:rPr>
          <w:rFonts w:ascii="Times New Roman" w:hAnsi="Times New Roman"/>
          <w:sz w:val="20"/>
        </w:rPr>
        <w:t xml:space="preserve"> No action shall have been taken and no statute, rule, regulation or order shall have been enacted, adopted or issued by any federal, state or foreign governmental or regulatory authority that would, as of the Closing Date prevent the sale of the Shares; and no injunction or order of any federal, state or foreign court shall have been issued that would, as of the Closing Date prevent the sale of the Shares.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Good Standing</w:t>
      </w:r>
      <w:r>
        <w:rPr>
          <w:rFonts w:ascii="Times New Roman" w:hAnsi="Times New Roman"/>
          <w:sz w:val="20"/>
        </w:rPr>
        <w:t xml:space="preserve">. The Underwriters shall have received on and as of the Closing Date satisfactory evidence of the good standing of the Company and its Significant Subsidiaries in their respective jurisdictions of organization and their good standing in such other jurisdictions as the Underwriters may reasonably request, in each case in writing or any standard form of telecommunication from the appropriate governmental authorities of such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Exchange Listing.</w:t>
      </w:r>
      <w:r>
        <w:rPr>
          <w:rFonts w:ascii="Times New Roman" w:hAnsi="Times New Roman"/>
          <w:sz w:val="20"/>
        </w:rPr>
        <w:t xml:space="preserve"> The Shares to be delivered on the Closing Date shall have been approved for listing on the Nasdaq Market, subject to official notice of issuance.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Lock-up Agreements</w:t>
      </w:r>
      <w:r>
        <w:rPr>
          <w:rFonts w:ascii="Times New Roman" w:hAnsi="Times New Roman"/>
          <w:sz w:val="20"/>
        </w:rPr>
        <w:t xml:space="preserve">. The “lock-up” agreements, each substantially in the form of </w:t>
      </w:r>
      <w:r>
        <w:rPr>
          <w:rFonts w:ascii="Times New Roman" w:hAnsi="Times New Roman"/>
          <w:sz w:val="20"/>
          <w:u w:val="single"/>
        </w:rPr>
        <w:t>Exhibit A</w:t>
      </w:r>
      <w:r>
        <w:rPr>
          <w:rFonts w:ascii="Times New Roman" w:hAnsi="Times New Roman"/>
          <w:sz w:val="20"/>
        </w:rPr>
        <w:t xml:space="preserve"> hereto, between the Underwriters and executive officers and directors of the Company and the Selling Stockholders, listed on </w:t>
      </w:r>
      <w:r>
        <w:rPr>
          <w:rFonts w:ascii="Times New Roman" w:hAnsi="Times New Roman"/>
          <w:sz w:val="20"/>
          <w:u w:val="single"/>
        </w:rPr>
        <w:t>Exhibit B</w:t>
      </w:r>
      <w:r>
        <w:rPr>
          <w:rFonts w:ascii="Times New Roman" w:hAnsi="Times New Roman"/>
          <w:sz w:val="20"/>
        </w:rPr>
        <w:t xml:space="preserve"> hereto relating to sales and certain other dispositions of shares of Stock or certain other securities, delivered to the Underwriters on or before the date hereof, shall be in full force and effect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Additional Documents.</w:t>
      </w:r>
      <w:r>
        <w:rPr>
          <w:rFonts w:ascii="Times New Roman" w:hAnsi="Times New Roman"/>
          <w:sz w:val="20"/>
        </w:rPr>
        <w:t xml:space="preserve"> On or prior to the Closing Date the Company and the Selling Stockholders shall have furnished to the Underwriters such further certificates and documents as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 by the Company.</w:t>
      </w:r>
      <w:r>
        <w:rPr>
          <w:rFonts w:ascii="Times New Roman" w:hAnsi="Times New Roman"/>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expressly for use therein, it being understood and agreed that the only such information furnished by any Underwriter consists of the information described as such in paragraph (d)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Selling Stockholders by the Company</w:t>
      </w:r>
      <w:r>
        <w:rPr>
          <w:rFonts w:ascii="Times New Roman" w:hAnsi="Times New Roman"/>
          <w:sz w:val="20"/>
        </w:rPr>
        <w:t xml:space="preserve">. The Company agrees to indemnify and hold harmless each Selling Stockholder from and against any and all losses, claims, damages and liabilities (including, without limitation, reasonable legal fees and other reasonable expenses incurred and documented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the Selling Stockholder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Indemnification of the Underwriters by the Selling Stockholders</w:t>
      </w:r>
      <w:r>
        <w:rPr>
          <w:rFonts w:ascii="Times New Roman" w:hAnsi="Times New Roman"/>
          <w:sz w:val="20"/>
        </w:rPr>
        <w:t xml:space="preserve">. Each of the Selling Stockholders severally in proportion to the number of 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in each case to the extent, and only to the extent, that such losses, claims, damages or liabilities arise out of, or are based upon, any untrue statement or omission or alleged untrue statement or omission made in reliance upon and in conformity with any Selling Stockholder Information relating to such Selling Stockholder in the Registration Statement, the Prospectus (or any amendment or supplement thereto), any Preliminary Prospectus, any Issuer Free Writing Prospectus or the Pricing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Indemnification of the Company and the Selling Stockholders by the Underwriters.</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information contained in the third, fourth, eleventh, twelfth and thirteenth paragraphs under the caption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 and Procedures.</w:t>
      </w:r>
      <w:r>
        <w:rPr>
          <w:rFonts w:ascii="Times New Roman" w:hAnsi="Times New Roman"/>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hAnsi="Times New Roman"/>
          <w:sz w:val="20"/>
          <w:u w:val="single"/>
        </w:rPr>
        <w:t>provided</w:t>
      </w:r>
      <w:r>
        <w:rPr>
          <w:rFonts w:ascii="Times New Roman" w:hAnsi="Times New Roman"/>
          <w:sz w:val="20"/>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upon request of the Indemnified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9 that the Indemnifying Person may designate in such proceeding and shall pay the reasonable fees and expenses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Underwriters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selling a majority of the Shares under this Agreement.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Contribution.</w:t>
      </w:r>
      <w:r>
        <w:rPr>
          <w:rFonts w:ascii="Times New Roman" w:hAnsi="Times New Roman"/>
          <w:sz w:val="20"/>
        </w:rPr>
        <w:t xml:space="preserve"> If the indemnification provided for in paragraphs (a), (b), (c) or (d)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(before deducting expenses) received by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Limitation on Liability.</w:t>
      </w:r>
      <w:r>
        <w:rPr>
          <w:rFonts w:ascii="Times New Roman" w:hAnsi="Times New Roman"/>
          <w:sz w:val="20"/>
        </w:rPr>
        <w:t xml:space="preserve"> The Company, the Selling Stockholders and the Underwriters agree that it would not be just and equitable if contribution pursuant to paragraph (f) above were determined by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allocation (even if the Selling Stockholders or the Underwriters were treated as one entity for such purpose) or by any other method of allocation that does not take account of the equitable considerations referred to in paragraph (f) above. The amount paid or payable by an Indemnified Person as a result of the losses, claims, damages and liabilities referred to in paragraph (f) above shall be deemed to include, subject to the limitations set forth above, any reasonable legal or other expenses incurred by such Indemnified Person in connection with any such action or claim. Notwithstanding the provisions of paragraphs (f) and (g),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(f) and (g) are several in proportion to their respective purchase obligations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Selling Stockholder Liability</w:t>
      </w:r>
      <w:r>
        <w:rPr>
          <w:rFonts w:ascii="Times New Roman" w:hAnsi="Times New Roman"/>
          <w:sz w:val="20"/>
        </w:rPr>
        <w:t xml:space="preserve">. The liability of each Selling Stockholder under the indemnity and contribution agreements contained in Sections 9(c) and 9(f) shall not exceed the aggregate gross proceeds after underwriting commissions and discounts, but before expenses, to such Selling Stockholder from the sale of the Shares sold by such Selling Stockholder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Non-Exclusive Remedies.</w:t>
      </w:r>
      <w:r>
        <w:rPr>
          <w:rFonts w:ascii="Times New Roman" w:hAnsi="Times New Roman"/>
          <w:sz w:val="20"/>
        </w:rPr>
        <w:t xml:space="preserve"> The remedies provided for in this Section 9 are not exclusive and shall not limit any rights or remedies that may otherwise be available to any Indemnified Person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Effectiveness of Agreement</w:t>
      </w:r>
      <w:r>
        <w:rPr>
          <w:rFonts w:ascii="Times New Roman" w:hAnsi="Times New Roman"/>
          <w:sz w:val="20"/>
        </w:rPr>
        <w:t xml:space="preserve">. This Agreement shall become effective as of the date first written above.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This Agreement may be terminated in the absolute discretion of the Underwriters, by notice to the Company and the Selling Stockholders,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Underwriters, is material and adverse and makes it impracticable or inadvisable to proceed with the offering, sale or delivery of the Shares on the Closing Date on the terms and in the manner contemplated by this Agreement,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Defaulting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the Closing Date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for up to five full business days in order to effect any changes that in the opinion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exceeds one-eleventh of the aggregate amount of Shares to be purchased on such date, or if the Company and the Selling Stockholders shall not exercise the right described in paragraph (b) above, then this Agreement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(d) Nothing contained herein shall relieve a defaulting Underwriter of any liability it may have to the Company, the Selling Stockholders or any non-defaulting Underwriter for damages caused by its default.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Payment of Expenses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Whether or not the transactions contemplated by this Agreement are consummated or this Agreement is terminated, the Company will pay or cause to be paid all costs and expenses incident to the performance of its and the Selling Stockholders’ obligations hereunder, including without limitation, (i) the costs incident to the authorization, issuance, sale, preparation and delivery of the Shares and, subject to the last sentence of this paragraph, any stamp or other issuance or transfer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fees and expenses of counsel to the Selling Stockholders pursuant to the Second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Restated Registration Rights Agreement, dated as of November 19, 2020 by and among the Company and certain stockholders, or as otherwise approved by the Company; (iv) the reasonable fees and expenses incurred in connection with the registration or qualification and determination of eligibility for investment of the Shares under the laws of such jurisdictions as the Underwriters may designate with the prior approval of the Company (such approval not to be unreasonably withheld, conditioned or delayed) and the preparation, printing and distribution of a Blue Sky Memorandum (including the related reasonable fees and expenses of counsel for the Underwriters pursuant to this clause (iv) which shall not exceed $10,000); (v) the cost of preparing stock certificates, if applicable; (vi) the costs and charges of any transfer agent and any registrar; (vii) all reasonable expenses and application fees incurred in connection with any filing with, and clearance of the offering by, FINRA (such application fees and the fees and disbursements of counsel for the Underwriters pursuant to this clause (vii) shall not exceed $25,000); (viii) all expenses incurred by the Company in connection with any “road show” presentation to potential investors; and (ix) all expenses and application fees related to the listing of the Shares on the Nasdaq Market. It is, however, understood that except as provided in this Section 13 or Section 9 hereof, the Underwriters shall pay all of their own costs and expenses, including, without limitation, the fees and disbursements of their counsel, stock transfer taxes payable on resale of any Shares by them and any advertising expenses connected with any offers they make. Each Selling Stockholder further agrees with the Underwriters to pay (directly or by reimbursement) any stock transfer taxes, stamp duties and other similar taxes incident to the sale and delivery of the Shares to be sold by such Selling Stockholder to the Underwriters hereunder.</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Persons Entitled to Benefit of Agreement</w:t>
      </w:r>
      <w:r>
        <w:rPr>
          <w:rFonts w:ascii="Times New Roman" w:hAnsi="Times New Roman"/>
          <w:sz w:val="20"/>
        </w:rPr>
        <w:t xml:space="preserve">.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Survival</w:t>
      </w:r>
      <w:r>
        <w:rPr>
          <w:rFonts w:ascii="Times New Roman" w:hAnsi="Times New Roman"/>
          <w:sz w:val="20"/>
        </w:rPr>
        <w:t xml:space="preserve">.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Certain Defined Terms</w:t>
      </w:r>
      <w:r>
        <w:rPr>
          <w:rFonts w:ascii="Times New Roman" w:hAnsi="Times New Roman"/>
          <w:sz w:val="20"/>
        </w:rPr>
        <w:t xml:space="preserve">.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 and (d) the term “significant subsidiary” has the meaning set forth in Rule 1-02 of Regulation S-X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Compliance with USA 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Notices. </w:t>
      </w:r>
      <w:r>
        <w:rPr>
          <w:rFonts w:ascii="Times New Roman" w:hAnsi="Times New Roman"/>
          <w:sz w:val="20"/>
        </w:rPr>
        <w:t xml:space="preserve">All notices and other communications hereunder shall be in writing and shall be deemed to have been duly given if mailed or transmitted and confirmed by any standard form of telecommunication. Notices to the Underwriters shall be given to Goldman Sachs &amp; Co. LLC, 200 West Street, New York, New York 10282-2198, Attention: Registration Department, email at </w:t>
      </w:r>
      <w:r>
        <w:rPr>
          <w:rFonts w:ascii="Times New Roman" w:hAnsi="Times New Roman"/>
          <w:sz w:val="20"/>
          <w:u w:val="single"/>
        </w:rPr>
        <w:t>registration-syndops@ny.email.gs.com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Governing Law.</w:t>
      </w:r>
      <w:r>
        <w:rPr>
          <w:rFonts w:ascii="Times New Roman" w:hAnsi="Times New Roman"/>
          <w:sz w:val="20"/>
        </w:rPr>
        <w:t xml:space="preserve"> This Agreement and any claim, controversy or dispute arising under or related to 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Submission to Jurisdiction</w:t>
      </w:r>
      <w:r>
        <w:rPr>
          <w:rFonts w:ascii="Times New Roman" w:hAnsi="Times New Roman"/>
          <w:sz w:val="20"/>
        </w:rPr>
        <w:t xml:space="preserve">. Each of the Company and the Selling Stockholders hereby submit to the exclusive jurisdiction of the U.S. federal 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Jury Trial.</w:t>
      </w:r>
      <w:r>
        <w:rPr>
          <w:rFonts w:ascii="Times New Roman" w:hAnsi="Times New Roman"/>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18(e):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Counterparts.</w:t>
      </w:r>
      <w:r>
        <w:rPr>
          <w:rFonts w:ascii="Times New Roman" w:hAnsi="Times New Roman"/>
          <w:sz w:val="20"/>
        </w:rPr>
        <w:t xml:space="preserve"> This Agreement may be signed in counterparts (which may include counterparts delivered by any standard form of telecommunication),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Amendments or Waivers.</w:t>
      </w:r>
      <w:r>
        <w:rPr>
          <w:rFonts w:ascii="Times New Roman" w:hAnsi="Times New Roman"/>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SOTERA HEALTH COMPANY</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3" w:type="dxa"/>
            <w:tcBorders>
              <w:bottom w:val="single" w:sz="2" w:space="0" w:color="000000"/>
            </w:tcBorders>
            <w:tcMar>
              <w:bottom w:w="28" w:type="dxa"/>
            </w:tcMar>
          </w:tcPr>
          <w:p>
            <w:pPr>
              <w:pStyle w:val="TableContents"/>
              <w:bidi w:val="0"/>
              <w:spacing w:before="0" w:after="283"/>
              <w:jc w:val="left"/>
              <w:rPr/>
            </w:pPr>
            <w:r>
              <w:rPr/>
              <w:t>/s/ Jonathan M. Lyons</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Name: Jonathan M. Lyons</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Title: Senior Vice President,</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vAlign w:val="bottom"/>
          </w:tcPr>
          <w:p>
            <w:pPr>
              <w:pStyle w:val="TableContents"/>
              <w:bidi w:val="0"/>
              <w:spacing w:before="0" w:after="283"/>
              <w:jc w:val="left"/>
              <w:rPr/>
            </w:pPr>
            <w:r>
              <w:rPr/>
              <w:t xml:space="preserve">    </w:t>
            </w: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SELLING STOCKHOLDERS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BULL HOLDCO, L.P.</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WP Bull Holdco GP LLC, its 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Warburg Pincus Private Equity XI, L.P., its sole and managing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Warburg Pincus XI, L.P., its 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WP Global LLC, its 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Warburg Pincus Partners II, L.P., its managing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Warburg Pincus Partners GP LLC, its 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Warburg Pincus &amp; Co., its managing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4" w:type="dxa"/>
            <w:tcBorders>
              <w:bottom w:val="single" w:sz="2" w:space="0" w:color="000000"/>
            </w:tcBorders>
            <w:tcMar>
              <w:bottom w:w="28" w:type="dxa"/>
            </w:tcMar>
          </w:tcPr>
          <w:p>
            <w:pPr>
              <w:pStyle w:val="TableContents"/>
              <w:bidi w:val="0"/>
              <w:spacing w:before="0" w:after="283"/>
              <w:jc w:val="left"/>
              <w:rPr/>
            </w:pPr>
            <w:r>
              <w:rPr/>
              <w:t>/s/ David Sreter</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David Sreter</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Partner, Warburg Pincus &amp; Co.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BULL CO-INVEST L.P.</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WP Bull Manager, LLC, its 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Warburg Pincus &amp; Co., its sole member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4" w:type="dxa"/>
            <w:tcBorders>
              <w:bottom w:val="single" w:sz="2" w:space="0" w:color="000000"/>
            </w:tcBorders>
            <w:tcMar>
              <w:bottom w:w="28" w:type="dxa"/>
            </w:tcMar>
          </w:tcPr>
          <w:p>
            <w:pPr>
              <w:pStyle w:val="TableContents"/>
              <w:bidi w:val="0"/>
              <w:spacing w:before="0" w:after="283"/>
              <w:jc w:val="left"/>
              <w:rPr/>
            </w:pPr>
            <w:r>
              <w:rPr/>
              <w:t>/s/ David Sreter</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David Sreter</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Partner, Warburg Pincus &amp; 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GTCR FUND XI/A LP</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GTCR Partners XI/A&amp;C LP, its general partner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GTCR Investment XI LLC, its general partner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Sean L Cunningham</w:t>
            </w:r>
          </w:p>
        </w:tc>
      </w:tr>
      <w:tr>
        <w:trPr/>
        <w:tc>
          <w:tcPr>
            <w:tcW w:w="4082" w:type="dxa"/>
            <w:gridSpan w:val="3"/>
            <w:tcBorders/>
          </w:tcPr>
          <w:p>
            <w:pPr>
              <w:pStyle w:val="TableContents"/>
              <w:bidi w:val="0"/>
              <w:spacing w:before="0" w:after="283"/>
              <w:jc w:val="left"/>
              <w:rPr/>
            </w:pPr>
            <w:r>
              <w:rPr/>
              <w:t>Name: Sean L Cunningham</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GTCR FUND XI/C LP</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GTCR Partners XI/A&amp;C LP, its general partner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GTCR Investment XI LLC, its general partner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Sean L Cunningham</w:t>
            </w:r>
          </w:p>
        </w:tc>
      </w:tr>
      <w:tr>
        <w:trPr/>
        <w:tc>
          <w:tcPr>
            <w:tcW w:w="4082" w:type="dxa"/>
            <w:gridSpan w:val="3"/>
            <w:tcBorders/>
          </w:tcPr>
          <w:p>
            <w:pPr>
              <w:pStyle w:val="TableContents"/>
              <w:bidi w:val="0"/>
              <w:spacing w:before="0" w:after="283"/>
              <w:jc w:val="left"/>
              <w:rPr/>
            </w:pPr>
            <w:r>
              <w:rPr/>
              <w:t>Name: Sean L Cunningham</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GTCR CO-INVEST XI LP</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GTCR Investment XI LLC, its general partner</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Sean L Cunningham</w:t>
            </w:r>
          </w:p>
        </w:tc>
      </w:tr>
      <w:tr>
        <w:trPr/>
        <w:tc>
          <w:tcPr>
            <w:tcW w:w="4082" w:type="dxa"/>
            <w:gridSpan w:val="3"/>
            <w:tcBorders/>
          </w:tcPr>
          <w:p>
            <w:pPr>
              <w:pStyle w:val="TableContents"/>
              <w:bidi w:val="0"/>
              <w:spacing w:before="0" w:after="283"/>
              <w:jc w:val="left"/>
              <w:rPr/>
            </w:pPr>
            <w:r>
              <w:rPr/>
              <w:t>Name: Sean L Cunningham</w:t>
            </w:r>
          </w:p>
        </w:tc>
      </w:tr>
      <w:tr>
        <w:trPr/>
        <w:tc>
          <w:tcPr>
            <w:tcW w:w="4082" w:type="dxa"/>
            <w:gridSpan w:val="3"/>
            <w:tcBorders/>
          </w:tcPr>
          <w:p>
            <w:pPr>
              <w:pStyle w:val="TableContents"/>
              <w:bidi w:val="0"/>
              <w:spacing w:before="0" w:after="283"/>
              <w:jc w:val="left"/>
              <w:rPr/>
            </w:pPr>
            <w:r>
              <w:rPr/>
              <w:t>Title: Manager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635"/>
        <w:gridCol w:w="99"/>
        <w:gridCol w:w="3348"/>
      </w:tblGrid>
      <w:tr>
        <w:trPr/>
        <w:tc>
          <w:tcPr>
            <w:tcW w:w="63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 itself and on behalf of the Underwriters listed in Schedule 1 hereto.</w:t>
            </w:r>
          </w:p>
        </w:tc>
      </w:tr>
      <w:tr>
        <w:trPr>
          <w:trHeight w:val="240" w:hRule="atLeast"/>
        </w:trPr>
        <w:tc>
          <w:tcPr>
            <w:tcW w:w="635" w:type="dxa"/>
            <w:tcBorders/>
            <w:vAlign w:val="center"/>
          </w:tcPr>
          <w:p>
            <w:pPr>
              <w:pStyle w:val="TableContents"/>
              <w:bidi w:val="0"/>
              <w:spacing w:before="0" w:after="283"/>
              <w:jc w:val="left"/>
              <w:rPr>
                <w:sz w:val="4"/>
                <w:szCs w:val="4"/>
              </w:rPr>
            </w:pPr>
            <w:r>
              <w:rPr>
                <w:sz w:val="4"/>
                <w:szCs w:val="4"/>
              </w:rPr>
            </w:r>
          </w:p>
        </w:tc>
        <w:tc>
          <w:tcPr>
            <w:tcW w:w="3447" w:type="dxa"/>
            <w:gridSpan w:val="2"/>
            <w:tcBorders/>
            <w:vAlign w:val="center"/>
          </w:tcPr>
          <w:p>
            <w:pPr>
              <w:pStyle w:val="TableContents"/>
              <w:bidi w:val="0"/>
              <w:spacing w:before="0" w:after="283"/>
              <w:jc w:val="left"/>
              <w:rPr>
                <w:sz w:val="4"/>
                <w:szCs w:val="4"/>
              </w:rPr>
            </w:pPr>
            <w:r>
              <w:rPr>
                <w:sz w:val="4"/>
                <w:szCs w:val="4"/>
              </w:rPr>
            </w:r>
          </w:p>
        </w:tc>
      </w:tr>
      <w:tr>
        <w:trPr/>
        <w:tc>
          <w:tcPr>
            <w:tcW w:w="635" w:type="dxa"/>
            <w:tcBorders/>
          </w:tcPr>
          <w:p>
            <w:pPr>
              <w:pStyle w:val="TableContents"/>
              <w:bidi w:val="0"/>
              <w:spacing w:before="0" w:after="283"/>
              <w:jc w:val="left"/>
              <w:rPr/>
            </w:pPr>
            <w:r>
              <w:rPr/>
              <w:t>By:</w:t>
            </w:r>
          </w:p>
        </w:tc>
        <w:tc>
          <w:tcPr>
            <w:tcW w:w="99"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tcPr>
          <w:p>
            <w:pPr>
              <w:pStyle w:val="TableContents"/>
              <w:bidi w:val="0"/>
              <w:spacing w:before="0" w:after="283"/>
              <w:jc w:val="left"/>
              <w:rPr/>
            </w:pPr>
            <w:r>
              <w:rPr/>
              <w:t>/s/ Lyla Bibi Maduri</w:t>
            </w:r>
          </w:p>
        </w:tc>
      </w:tr>
      <w:tr>
        <w:trPr/>
        <w:tc>
          <w:tcPr>
            <w:tcW w:w="635"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Lyla Bibi Maduri</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Sotera Health Company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Schedule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28"/>
        <w:gridCol w:w="681"/>
        <w:gridCol w:w="158"/>
        <w:gridCol w:w="2909"/>
        <w:gridCol w:w="63"/>
      </w:tblGrid>
      <w:tr>
        <w:trPr/>
        <w:tc>
          <w:tcPr>
            <w:tcW w:w="3128" w:type="dxa"/>
            <w:tcBorders/>
            <w:vAlign w:val="center"/>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28"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Underwriter</w:t>
            </w:r>
          </w:p>
        </w:tc>
        <w:tc>
          <w:tcPr>
            <w:tcW w:w="681" w:type="dxa"/>
            <w:tcBorders/>
            <w:vAlign w:val="bottom"/>
          </w:tcPr>
          <w:p>
            <w:pPr>
              <w:pStyle w:val="TableContents"/>
              <w:bidi w:val="0"/>
              <w:spacing w:before="0" w:after="283"/>
              <w:jc w:val="left"/>
              <w:rPr/>
            </w:pPr>
            <w:r>
              <w:rPr/>
              <w:t>  </w:t>
            </w:r>
          </w:p>
        </w:tc>
        <w:tc>
          <w:tcPr>
            <w:tcW w:w="3067" w:type="dxa"/>
            <w:gridSpan w:val="2"/>
            <w:tcBorders>
              <w:bottom w:val="single" w:sz="8" w:space="0" w:color="000000"/>
            </w:tcBorders>
            <w:tcMar>
              <w:bottom w:w="28" w:type="dxa"/>
            </w:tcMar>
            <w:vAlign w:val="bottom"/>
          </w:tcPr>
          <w:p>
            <w:pPr>
              <w:pStyle w:val="TableContents"/>
              <w:bidi w:val="0"/>
              <w:spacing w:before="0" w:after="283"/>
              <w:jc w:val="center"/>
              <w:rPr/>
            </w:pPr>
            <w:r>
              <w:rPr/>
              <w:t>Number of Underwritten Shares</w:t>
            </w:r>
          </w:p>
        </w:tc>
        <w:tc>
          <w:tcPr>
            <w:tcW w:w="63" w:type="dxa"/>
            <w:tcBorders/>
            <w:vAlign w:val="bottom"/>
          </w:tcPr>
          <w:p>
            <w:pPr>
              <w:pStyle w:val="TableContents"/>
              <w:bidi w:val="0"/>
              <w:spacing w:before="0" w:after="283"/>
              <w:jc w:val="left"/>
              <w:rPr/>
            </w:pPr>
            <w:r>
              <w:rPr/>
              <w:t> </w:t>
            </w:r>
          </w:p>
        </w:tc>
      </w:tr>
      <w:tr>
        <w:trPr/>
        <w:tc>
          <w:tcPr>
            <w:tcW w:w="3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681"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2909" w:type="dxa"/>
            <w:tcBorders/>
            <w:shd w:fill="CCEEFF" w:val="clear"/>
            <w:vAlign w:val="bottom"/>
          </w:tcPr>
          <w:p>
            <w:pPr>
              <w:pStyle w:val="TableContents"/>
              <w:bidi w:val="0"/>
              <w:spacing w:before="0" w:after="283"/>
              <w:jc w:val="right"/>
              <w:rPr/>
            </w:pPr>
            <w:r>
              <w:rPr/>
              <w:t>31,838,253</w:t>
            </w:r>
          </w:p>
        </w:tc>
        <w:tc>
          <w:tcPr>
            <w:tcW w:w="63" w:type="dxa"/>
            <w:tcBorders/>
            <w:shd w:fill="CCEEFF" w:val="clear"/>
            <w:vAlign w:val="bottom"/>
          </w:tcPr>
          <w:p>
            <w:pPr>
              <w:pStyle w:val="TableContents"/>
              <w:bidi w:val="0"/>
              <w:spacing w:before="0" w:after="283"/>
              <w:jc w:val="left"/>
              <w:rPr/>
            </w:pPr>
            <w:r>
              <w:rPr/>
              <w:t> </w:t>
            </w:r>
          </w:p>
        </w:tc>
      </w:tr>
      <w:tr>
        <w:trPr/>
        <w:tc>
          <w:tcPr>
            <w:tcW w:w="3128"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29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12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8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909" w:type="dxa"/>
            <w:tcBorders/>
            <w:vAlign w:val="bottom"/>
          </w:tcPr>
          <w:p>
            <w:pPr>
              <w:pStyle w:val="TableContents"/>
              <w:bidi w:val="0"/>
              <w:spacing w:before="0" w:after="283"/>
              <w:jc w:val="right"/>
              <w:rPr/>
            </w:pPr>
            <w:r>
              <w:rPr/>
              <w:t>31,838,253</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2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33"/>
        <w:gridCol w:w="471"/>
        <w:gridCol w:w="101"/>
        <w:gridCol w:w="1872"/>
        <w:gridCol w:w="62"/>
      </w:tblGrid>
      <w:tr>
        <w:trPr/>
        <w:tc>
          <w:tcPr>
            <w:tcW w:w="4433"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3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Selling Stockholders</w:t>
            </w:r>
          </w:p>
        </w:tc>
        <w:tc>
          <w:tcPr>
            <w:tcW w:w="471"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pPr>
            <w:r>
              <w:rPr/>
              <w:t>Number of</w:t>
              <w:br/>
              <w:t>Underwritten Shares:</w:t>
            </w:r>
          </w:p>
        </w:tc>
        <w:tc>
          <w:tcPr>
            <w:tcW w:w="62" w:type="dxa"/>
            <w:tcBorders/>
            <w:vAlign w:val="bottom"/>
          </w:tcPr>
          <w:p>
            <w:pPr>
              <w:pStyle w:val="TableContents"/>
              <w:bidi w:val="0"/>
              <w:spacing w:before="0" w:after="283"/>
              <w:jc w:val="left"/>
              <w:rPr/>
            </w:pPr>
            <w:r>
              <w:rPr/>
              <w:t> </w:t>
            </w:r>
          </w:p>
        </w:tc>
      </w:tr>
      <w:tr>
        <w:trPr/>
        <w:tc>
          <w:tcPr>
            <w:tcW w:w="4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Bull Holdco, L.P.</w:t>
            </w:r>
          </w:p>
        </w:tc>
        <w:tc>
          <w:tcPr>
            <w:tcW w:w="47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72" w:type="dxa"/>
            <w:tcBorders/>
            <w:shd w:fill="CCEEFF" w:val="clear"/>
            <w:vAlign w:val="bottom"/>
          </w:tcPr>
          <w:p>
            <w:pPr>
              <w:pStyle w:val="TableContents"/>
              <w:bidi w:val="0"/>
              <w:spacing w:before="0" w:after="283"/>
              <w:jc w:val="right"/>
              <w:rPr/>
            </w:pPr>
            <w:r>
              <w:rPr/>
              <w:t>15,287,717</w:t>
            </w:r>
          </w:p>
        </w:tc>
        <w:tc>
          <w:tcPr>
            <w:tcW w:w="62" w:type="dxa"/>
            <w:tcBorders/>
            <w:shd w:fill="CCEEFF" w:val="clear"/>
            <w:vAlign w:val="bottom"/>
          </w:tcPr>
          <w:p>
            <w:pPr>
              <w:pStyle w:val="TableContents"/>
              <w:bidi w:val="0"/>
              <w:spacing w:before="0" w:after="283"/>
              <w:jc w:val="left"/>
              <w:rPr/>
            </w:pPr>
            <w:r>
              <w:rPr/>
              <w:t> </w:t>
            </w:r>
          </w:p>
        </w:tc>
      </w:tr>
      <w:tr>
        <w:trPr/>
        <w:tc>
          <w:tcPr>
            <w:tcW w:w="4433" w:type="dxa"/>
            <w:tcBorders/>
          </w:tcPr>
          <w:p>
            <w:pPr>
              <w:pStyle w:val="TableContents"/>
              <w:bidi w:val="0"/>
              <w:spacing w:before="0" w:after="0"/>
              <w:jc w:val="left"/>
              <w:rPr>
                <w:rFonts w:ascii="Times New Roman" w:hAnsi="Times New Roman"/>
                <w:sz w:val="20"/>
              </w:rPr>
            </w:pPr>
            <w:r>
              <w:rPr>
                <w:rFonts w:ascii="Times New Roman" w:hAnsi="Times New Roman"/>
                <w:sz w:val="20"/>
              </w:rPr>
              <w:t>Bull Co-Invest L.P.</w:t>
            </w:r>
          </w:p>
        </w:tc>
        <w:tc>
          <w:tcPr>
            <w:tcW w:w="47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right"/>
              <w:rPr/>
            </w:pPr>
            <w:r>
              <w:rPr/>
              <w:t>3,815,235</w:t>
            </w:r>
          </w:p>
        </w:tc>
        <w:tc>
          <w:tcPr>
            <w:tcW w:w="62" w:type="dxa"/>
            <w:tcBorders/>
            <w:vAlign w:val="bottom"/>
          </w:tcPr>
          <w:p>
            <w:pPr>
              <w:pStyle w:val="TableContents"/>
              <w:bidi w:val="0"/>
              <w:spacing w:before="0" w:after="283"/>
              <w:jc w:val="left"/>
              <w:rPr/>
            </w:pPr>
            <w:r>
              <w:rPr/>
              <w:t> </w:t>
            </w:r>
          </w:p>
        </w:tc>
      </w:tr>
      <w:tr>
        <w:trPr/>
        <w:tc>
          <w:tcPr>
            <w:tcW w:w="4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GTCR Fund XI/A LP</w:t>
            </w:r>
          </w:p>
        </w:tc>
        <w:tc>
          <w:tcPr>
            <w:tcW w:w="47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72" w:type="dxa"/>
            <w:tcBorders/>
            <w:shd w:fill="CCEEFF" w:val="clear"/>
            <w:vAlign w:val="bottom"/>
          </w:tcPr>
          <w:p>
            <w:pPr>
              <w:pStyle w:val="TableContents"/>
              <w:bidi w:val="0"/>
              <w:spacing w:before="0" w:after="283"/>
              <w:jc w:val="right"/>
              <w:rPr/>
            </w:pPr>
            <w:r>
              <w:rPr/>
              <w:t>10,107,727</w:t>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433" w:type="dxa"/>
            <w:tcBorders/>
          </w:tcPr>
          <w:p>
            <w:pPr>
              <w:pStyle w:val="TableContents"/>
              <w:bidi w:val="0"/>
              <w:spacing w:before="0" w:after="0"/>
              <w:jc w:val="left"/>
              <w:rPr>
                <w:rFonts w:ascii="Times New Roman" w:hAnsi="Times New Roman"/>
                <w:sz w:val="20"/>
              </w:rPr>
            </w:pPr>
            <w:r>
              <w:rPr>
                <w:rFonts w:ascii="Times New Roman" w:hAnsi="Times New Roman"/>
                <w:sz w:val="20"/>
              </w:rPr>
              <w:t>GTCR Fund XI/C LP</w:t>
            </w:r>
          </w:p>
        </w:tc>
        <w:tc>
          <w:tcPr>
            <w:tcW w:w="471"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872" w:type="dxa"/>
            <w:tcBorders/>
            <w:vAlign w:val="bottom"/>
          </w:tcPr>
          <w:p>
            <w:pPr>
              <w:pStyle w:val="TableContents"/>
              <w:bidi w:val="0"/>
              <w:spacing w:before="0" w:after="283"/>
              <w:jc w:val="right"/>
              <w:rPr/>
            </w:pPr>
            <w:r>
              <w:rPr/>
              <w:t>2,546,564</w:t>
            </w:r>
          </w:p>
        </w:tc>
        <w:tc>
          <w:tcPr>
            <w:tcW w:w="62" w:type="dxa"/>
            <w:tcBorders/>
            <w:vAlign w:val="bottom"/>
          </w:tcPr>
          <w:p>
            <w:pPr>
              <w:pStyle w:val="TableContents"/>
              <w:bidi w:val="0"/>
              <w:spacing w:before="0" w:after="283"/>
              <w:jc w:val="left"/>
              <w:rPr/>
            </w:pPr>
            <w:r>
              <w:rPr/>
              <w:t> </w:t>
            </w:r>
          </w:p>
        </w:tc>
      </w:tr>
      <w:tr>
        <w:trPr/>
        <w:tc>
          <w:tcPr>
            <w:tcW w:w="4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GTCR Co-Invest XI LP</w:t>
            </w:r>
          </w:p>
        </w:tc>
        <w:tc>
          <w:tcPr>
            <w:tcW w:w="471"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872" w:type="dxa"/>
            <w:tcBorders/>
            <w:shd w:fill="CCEEFF" w:val="clear"/>
            <w:vAlign w:val="bottom"/>
          </w:tcPr>
          <w:p>
            <w:pPr>
              <w:pStyle w:val="TableContents"/>
              <w:bidi w:val="0"/>
              <w:spacing w:before="0" w:after="283"/>
              <w:jc w:val="right"/>
              <w:rPr/>
            </w:pPr>
            <w:r>
              <w:rPr/>
              <w:t>81,010</w:t>
            </w:r>
          </w:p>
        </w:tc>
        <w:tc>
          <w:tcPr>
            <w:tcW w:w="62"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Pricing Disclosure Package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Pricing Information Provided Orally by Underwriters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Underwritten Shares: 31,838,253 </w:t>
      </w:r>
    </w:p>
    <w:p>
      <w:pPr>
        <w:pStyle w:val="TextBody"/>
        <w:bidi w:val="0"/>
        <w:spacing w:before="120" w:after="0"/>
        <w:jc w:val="left"/>
        <w:rPr>
          <w:rFonts w:ascii="Times New Roman" w:hAnsi="Times New Roman"/>
          <w:sz w:val="20"/>
        </w:rPr>
      </w:pPr>
      <w:r>
        <w:rPr>
          <w:rFonts w:ascii="Times New Roman" w:hAnsi="Times New Roman"/>
          <w:sz w:val="20"/>
        </w:rPr>
        <w:t xml:space="preserve">The public offering price per share for the shares of Common Stock of the Company shall be $15.27 </w:t>
      </w:r>
    </w:p>
    <w:p>
      <w:pPr>
        <w:pStyle w:val="TextBody"/>
        <w:bidi w:val="0"/>
        <w:spacing w:before="120" w:after="0"/>
        <w:jc w:val="left"/>
        <w:rPr>
          <w:rFonts w:ascii="Times New Roman" w:hAnsi="Times New Roman"/>
          <w:sz w:val="20"/>
        </w:rPr>
      </w:pPr>
      <w:r>
        <w:rPr>
          <w:rFonts w:ascii="Times New Roman" w:hAnsi="Times New Roman"/>
          <w:sz w:val="20"/>
        </w:rPr>
        <w:t xml:space="preserve">Trade Date: May 12, 2026 </w:t>
      </w:r>
    </w:p>
    <w:p>
      <w:pPr>
        <w:pStyle w:val="TextBody"/>
        <w:bidi w:val="0"/>
        <w:spacing w:before="120" w:after="0"/>
        <w:jc w:val="left"/>
        <w:rPr>
          <w:rFonts w:ascii="Times New Roman" w:hAnsi="Times New Roman"/>
          <w:sz w:val="20"/>
        </w:rPr>
      </w:pPr>
      <w:r>
        <w:rPr>
          <w:rFonts w:ascii="Times New Roman" w:hAnsi="Times New Roman"/>
          <w:sz w:val="20"/>
        </w:rPr>
        <w:t xml:space="preserve">Settlement Date: May 13, 2026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Annex B-1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validly existing as a corporation in good standing under the laws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corporate power to own its properties and conduct its business as described in the Pricing Prospectus and the Final Prospectus, and the Company has corporate power to enter into the Underwriting Agreement and to perform its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have been duly authorized by all necessary corporate action of the Company, have been validly issued by the Company and are fully paid and nonassessable; and the holders of outstanding shares of capital stock of the Company are not entitled to any preemptive rights to subscribe for the Securities under the Certificate of Incorporation or By-Laws of the Company or the General Corporation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under the heading “Description of Capital Stock” in the Pricing Prospectus and the Final Prospectus, insofar as such statements purport to summarize certain provisions of the Securities and the Certificate of Incorporation of the Company, provide a fair summary of such provisions; the statements under the heading “Underwriting” in the Pricing Prospectus and the Final Prospectus, insofar as such statements purport to summarize certain provisions of the Underwriting Agreement, provide a fair summary of such provisions; and the statements under the heading “Material U.S. Federal Income Tax Considerations for Non-U.S. Holders” in the Pricing Prospectus and the Final Prospectus, insofar as such statements purport to summarize certain federal income tax laws of the United States, constitute a fair summary of the principal U.S. federal income tax consequences to Non-U.S. Holders (as defined therein) of an investment in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the Underwriting Agreement have been duly authorized by all necessary corporate action of the Company, and the Underwriting Agreement has been duly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the Company of its obligations in the Underwriting Agreement will not, (a) require any consent, approval, authorization, registration or qualification of or with any governmental authority of the United States or the State of New York that in our experience normally would be applicable to general business entities with respect to performance, except such as have been obtained or effected under the Securities Act and the Securities Exchange Act of 1934, as amended (but we express no opinion relating to any state securities or Blue Sky laws), (b) result in a breach of any of the terms and provisions of, or constitute a default under, any of the agreements of the Company filed as an exhibit to the Registration Statement, or a violation of the Certificate of Incorporation or By-Laws of the Company or (c) result in a violation of any United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States federal or New York State law or published rule or regulation that in our experience normally would be applicable to general business entities with respect to such performance (but we express no opinion relating to the United States federal securities laws or any state securities or Blue Sky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not required to register as an “investment company” as such term is defined in the U.S. Investment Company Act of 1940, as amended.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Form of 10b-5 Statement of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(except the financial statements and schedules and other financial data included therein, as to which we express no view), at the time it became effective, and the Final Prospectus (except as aforesaid), as of the date thereof, appeared on their face to be appropriately responsive in all material respects to the requirements of the Securities Act and the applicable rules and regulations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information has come to our attention that causes us to believe that the Registration Statement (except the financial statements and schedules and other financial data included therein, as to which we express no view), at the time it became effective, contained an untrue statement of a material fact or omitted to state a material fact required to be stated therein or necessary to make the statements therein not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information has come to our attention that causes us to believe that the Pricing Prospectus, considered together with the amount and the price to the public of the Securities on the front cover of the Final Prospectus (except in each case the financial statements and schedules and other financial data included therein, as to which we express no view), at [ p.m.] (Eastern time) on May [], 2026, contained an untrue statement of a material fact or omitted to state a material fact necessary in order to make the statements therein, in the light of the circumstances under which they were made, not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information has come to our attention that causes us to believe that the Final Prospectus (except the financial statements and schedules and other financial data included therein, as to which we express no view), as of the date thereof or hereof, contained or contains an untrue statement of a material fact or omitted or omits to state a material fact necessary in order to make the statements therein, in the light of the circumstances under which they were made, not misleading.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B-2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Delaware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by the Company of the Underwriting Agreement and the performance by the Company of its obligations under the Underwriting Agreement will not violate the Certificate of Incorporation, the Bylaws or any Delaware law, rule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authorization, approval, consent or order of any Delaware court or Delaware governmental authority is required to be obtained by the Company solely in connection with the execution and delivery by the Company of the Underwriting Agreement and the performance by the Company of its obligations under the Underwriting Agreement.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B-3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General Counsel for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subsidiary of the Company listed on Schedule I hereto has been duly organized and is validly existing and in good standing under the laws of its respective jurisdiction of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the statements set forth under the heading “Risk Factors” in the Registration Statement, the Pricing Prospectus and the Final Prospectus, insofar as such statements purport to summarize certain legal and regulatory matters, provide a fair summary of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(a) there are no current or pending legal, governmental or regulatory actions, suits or proceedings that are required under the Securities Act to be described in the Registration Statement, the Pricing Prospectus or the Final Prospectus and that are not so described in the Registration Statement, the Pricing Prospectus and the Final Prospectus and (b) there are (i) no contracts or other documents that are required under the Securities Act to be filed as exhibits to the Registration Statement that have not been so filed as exhibits to the Registration Statement and (ii) no statutes, regulations, contracts or other documents are required under the Securities Act to be described in the Registration Statement, the Pricing Prospectus or the Final Prospectus that have not been so described in the Registration Statement, the Pricing Prospectus and the Final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shares of capital stock of the Company have been duly and validly authorized and issued and are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best of my knowledge, from January 1, 2021 to the present the Company, on a consolidated basis, has complied in all material respects with the Food and Drug Laws with respect to its activities and services regulated by the U.S. Food and Drug Administration (“FDA”) or the Drug Enforcement Administration (“DEA”), as applicable, except as described in the Registration Statement, the Pricing Prospectus and the Final Prospectus. “Food and Drug Laws” means the Federal Food, Drug, and Cosmetic Act, the Public Health Service Act, the federal Controlled Substances Act, the applicable rules or regulations of the FDA, the U.S. Department of Health and Human Services, the Centers for Disease Control and Prevention, and the DEA, including those in Titles 21, 42, and 45 of the Code of Federal Regulations, and the applicable laws and regulations of other comparable governmental or regulatory authorities applicable to the testing, manufacture, processing (including by sterilizing or irradiating) or storage of any article tested, manufactured, processed or stored by the Company, on a consolidated basis.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B-4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Counsel for the Warburg Selling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WP Selling Stockholders is validly existing and in good standing as a limited partnership under the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WP Selling Stockholders has limited partnership power to sell the Securities, to execute and deliver the Underwriting Agreement and to perform its obligations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of the Underwriting Agreement have been duly authorized by all necessary limited partnership action of each WP Selling Stockholder, and the Underwriting Agreement has been duly executed and delivered by each WP Selling Stockholder under the law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the Securities by the WP Selling Stockholders to the Underwriters pursuant to the Underwriting Agreement does not, and the execution, delivery and performance by the WP Selling Stockholders of their obligations in the Underwriting Agreement will not, (a) require any consent, approval, authorization, registration or qualification of or with any governmental authority of the United States or the State of New York or pursuant to the Delaware Revised Uniform Limited Partnership Act, in each case, that in our experience normally would be applicable to general business entities with respect to such sale, execution, delivery or performance, except such as have been obtained or effected under the Securities Act and the Securities Exchange Act of 1934, as amended (but we express no opinion relating to any state securities or Blue Sky laws), or (b) result in a violation of the Certificate of Limited Partnership or the Amended and Restated Limited Partnership Agreement of any of the WP Selling Stockholders or other agreement or instrument identified on Annex I hereto, or (c) result in a violation of any United States federal or New York State law or published rule or regulation thereunder or the Delaware Revised Uniform Limited Partnership Act that in our experience normally would be applicable to general business entities with respect to such sale or performance (but we express no opinion relating to the United States federal securities laws or any state securities or Blue Sky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that (a) The Depository Trust Company (“DTC”) is a “clearing corporation” as defined in Section 8-102(a)(5) of the Uniform Commercial Code as in effect on the date hereof in the State of New York (the “UCC”), and (b) each of the Underwriters acquires its interest in the Securities it has purchased without notice of any adverse claim (within the meaning of Section 8-105 of the UCC), each Underwriter that has purchased Securities from the WP Selling Stockholders delivered on the date hereof to DTC, made payment therefor pursuant to the Underwriting Agreement and had such Securities credited to a securities account of such Underwriter maintained with DTC will have acquired a securities entitlement (within the meaning of Section 8-102(a)(17) of the UCC) to such Securities, and no action based on an adverse claim may be asserted against such Underwriter with respect to such security entitlement.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B-5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Counsel for the GTCR Selling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has been duly executed and delivered by or on behalf of each Selling Stockholder under the law of the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delivery and performance of the Underwriting Agreement by each Selling Stockholder, and the sale by each Selling Stockholder of the Shares to be sold by such Selling Stockholder in accordance with the provisions of the Underwriting Agreement, do not and will not (i) violate or conflict with any of the terms or provisions of the certificate of limited partnership, limited partnership agreement and/or other organizational document of such Selling Stockholder, (ii) result in any breach of any of the terms and provisions of, or constitute a default (or an event which with notice or lapse of time, or both, would constitute a default) under, any agreement listed on the Specified Contracts Schedule (the “Specified Contracts”), it being expressly understood that in each case we express no opinion as to compliance with any financial covenant or test or cross-default provision in any Specified Contract, (iii) violate or conflict with any judgment, decree or order identified to us by such Selling Stockholder (we note that none were identified) of any court or any judicial, regulatory or other legal or governmental agency or body having jurisdiction over such Selling Stockholder, or (iv) violate any Specified Law, except in each of the cases of clause (ii), for any such violation, conflict, breach or default which has been waived by the party or parties with power to waive such violation, conflict, breach or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 approval, authorization, or order of, or qualification with, any governmental body or agency is required to be obtained by any Selling Stockholder under any Specified Law with respect to the sale of the Shares by such Selling Stockholder and the performance by such Selling Stockholder of its obligations under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payment for the Shares to be sold by the Selling Stockholders to the Underwriters pursuant to the Underwriting Agreement, delivery of such Shares, as directed by the Underwriters, to Cede &amp; Co. (“Cede”) or such other nominee as may be designated by the Depository Trust Company (“DTC”), registration of such Shares in the name of Cede or such other nominee and the crediting of such Shares on the records of DTC to securities accounts of such Underwriters: (A) under Section 8-501 of the Uniform Commercial Code as in effect in the State of New York (the “UCC”), such Underwriters will acquire a “security entitlement” (within the meaning of Section 8-102(a)(17) of the UCC) in respect of such Shares; and (B) assuming such Underwriters have so acquired such security entitlement without notice of any adverse claim (within the meaning of Sections 8-102(a)(1) and 8-105 of the UCC) to such Shares, no action based on any adverse claim (within the meaning of Sections 8-102(a)(1) and 8-105 of the UCC) to such Shares may be asserted against such Underwriters with respect to such security entitlements. For purposes of our opinion in this paragraph 4, we have assumed that when such payment, delivery, registration and crediting occur, (x) the Shares being sold by the Selling Stockholders will have been registered in the name of Cede or such other nominee as may be designated by DTC, in each case on the Company’s share registry in accordance with its certificate of incorporation, by-laws and applicable law, (y) DTC will be a “clearing corporation” and thus a “securities intermediary” within the meaning of Section 8-102 of the UCC and its jurisdiction for purposes of Article 8 of the UCC will be the State of the New York and (z) appropriate entries to the securities account or accounts in the name of such Underwriters on the records of DTC will have been made pursuant to the UCC.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Annex B-6 </w:t>
      </w:r>
    </w:p>
    <w:p>
      <w:pPr>
        <w:pStyle w:val="TextBody"/>
        <w:bidi w:val="0"/>
        <w:spacing w:before="240" w:after="0"/>
        <w:jc w:val="center"/>
        <w:rPr>
          <w:rFonts w:ascii="Times New Roman" w:hAnsi="Times New Roman"/>
          <w:sz w:val="20"/>
        </w:rPr>
      </w:pPr>
      <w:r>
        <w:rPr>
          <w:rFonts w:ascii="Times New Roman" w:hAnsi="Times New Roman"/>
          <w:sz w:val="20"/>
        </w:rPr>
        <w:t xml:space="preserve">Form of Opinion of Delaware Counsel for the GTCR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1. The Main Fund General Partner and each Fund has been duly formed and is validly existing in good standing as a limited partnership under the Delaware Revised Uniform Limited Partnership Act (6 </w:t>
      </w:r>
      <w:r>
        <w:rPr>
          <w:rFonts w:ascii="Times New Roman" w:hAnsi="Times New Roman"/>
          <w:sz w:val="20"/>
          <w:u w:val="single"/>
        </w:rPr>
        <w:t>Del. C.</w:t>
      </w:r>
      <w:r>
        <w:rPr>
          <w:rFonts w:ascii="Times New Roman" w:hAnsi="Times New Roman"/>
          <w:sz w:val="20"/>
        </w:rPr>
        <w:t xml:space="preserve"> §17-101,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(the “LP Act”). The Co-Invest General Partner has been duly formed and is validly existing in good standing as a limited liability company under the Delaware Limited Liability Company Act (6 </w:t>
      </w:r>
      <w:r>
        <w:rPr>
          <w:rFonts w:ascii="Times New Roman" w:hAnsi="Times New Roman"/>
          <w:sz w:val="20"/>
          <w:u w:val="single"/>
        </w:rPr>
        <w:t>Del. C.</w:t>
      </w:r>
      <w:r>
        <w:rPr>
          <w:rFonts w:ascii="Times New Roman" w:hAnsi="Times New Roman"/>
          <w:sz w:val="20"/>
        </w:rPr>
        <w:t xml:space="preserve"> §18-101,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Under the LP Act and its Fund Agreement, each Fund has the requisite partnership power and authority to execute and deliver, and perform its obligations under, the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3. Under the LP Act and its Fund Agreement, the execution and delivery by each Fund of the Transaction Documents to which it is a party, and the performance by each Fund of its obligations thereunder, have been duly authorized by all requisite partnership action on the part of such Fund. Each Fund has duly executed the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4. No authorization, consent, approval or order of any Delaware court or any Delaware governmental or administrative body is required to be obtained by a Fund solely as a result of the execution and delivery by such Fund of the Transaction Documents to which it is a party, or the performance by such Fund of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5. The execution, delivery and performance by each Fund of the Transaction Documents to which it is a party do not violate (i) any Delaware law, rule or regulation, or (ii) its Fund Agreement or its Fund Certificate.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May 11, 2026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 SOTERA HEALTH COMPANY —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the several underwriters named in Schedule 1 to the Underwriting Agreement (as defined below) (the “Underwriters”), propose to enter into an underwriting agreement (the “Underwriting Agreement”) with Sotera Health Company (the “Company”) and the Selling Stockholders listed on Schedule 2 to the Underwriting Agreement, providing for the public offering (the “Public Offering”) by the Underwriters, of shares of the Common Stock, par value $0.01 per share (“Common Stock”), of the Company (such shares to be sold in the Public Offering, the “Securities”). In the event only one underwriter is listed in Schedule 1 to the Underwriting Agreement, any references in this Agreement to the “Underwriters” shall be deemed to refer to the sole underwriter in the singular form listed in such Schedule 1. Capitalized terms used herein and not otherwise defined shall have the meanings set forth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Underwriters’ agreement to purchase and make the Public Offering of the Securities, and for other good and valuable consideration receipt of which is hereby acknowledged, the undersigned hereby agrees that, without the prior written consent of the Underwriters, the undersigned will not, and will not cause any direct or indirect affiliate (provided, that any “portfolio company” (as such term is customarily used among institutional investors) of the undersigned, or any entity controlled by any such portfolio company, shall not be considered an affiliate of the undersigned) to, during the period beginning on the date of this letter agreement (this “Letter Agreement”) and ending at the close of business on the date that is 30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except as those demands or exercises that do not involve any public disclosure or filing during the Restricted Period (provided that the Company shall provide written notice to the Underwriters at least two business days prior to any confidential or non-public submission of a registration statement made during the Restricted Period) or (4) publicly disclose the intention to do any of the foregoing.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loan, pledge or other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or to publicly disclose the intention to undertake any of the foregoing. The undersigned represents and warrants that the undersigned is not, has not caused or directed any of its affiliates to be or become, and is not aware of any of its affiliates (provided, that any “portfolio company” (as such term is customarily used among institutional investors) of the undersigned, or any entity controlled by any such portfolio company, shall not be considered an affiliate of the undersigned) being, currently a party to any agreement or arrangement that is designed to or which reasonably could be expected to lead to or result in any activity prohibited by this Letter Agreement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120" w:after="0"/>
        <w:jc w:val="left"/>
        <w:rPr>
          <w:rFonts w:ascii="Times New Roman" w:hAnsi="Times New Roman"/>
          <w:sz w:val="20"/>
        </w:rPr>
      </w:pPr>
      <w:r>
        <w:rPr>
          <w:rFonts w:ascii="Times New Roman" w:hAnsi="Times New Roman"/>
          <w:sz w:val="20"/>
        </w:rPr>
        <w:t xml:space="preserve">(a) transfer the undersigned’s Lock-Up Securities: </w:t>
      </w:r>
    </w:p>
    <w:p>
      <w:pPr>
        <w:pStyle w:val="TextBody"/>
        <w:bidi w:val="0"/>
        <w:spacing w:before="120" w:after="0"/>
        <w:jc w:val="left"/>
        <w:rPr>
          <w:rFonts w:ascii="Times New Roman" w:hAnsi="Times New Roman"/>
          <w:sz w:val="20"/>
        </w:rPr>
      </w:pPr>
      <w:r>
        <w:rPr>
          <w:rFonts w:ascii="Times New Roman" w:hAnsi="Times New Roman"/>
          <w:sz w:val="20"/>
        </w:rPr>
        <w:t xml:space="preserve">(i) as a bona fide gift or gifts, or for bona fide estate planning purposes, </w:t>
      </w:r>
    </w:p>
    <w:p>
      <w:pPr>
        <w:pStyle w:val="TextBody"/>
        <w:bidi w:val="0"/>
        <w:spacing w:before="240" w:after="0"/>
        <w:jc w:val="left"/>
        <w:rPr>
          <w:rFonts w:ascii="Times New Roman" w:hAnsi="Times New Roman"/>
          <w:sz w:val="20"/>
        </w:rPr>
      </w:pPr>
      <w:r>
        <w:rPr>
          <w:rFonts w:ascii="Times New Roman" w:hAnsi="Times New Roman"/>
          <w:sz w:val="20"/>
        </w:rPr>
        <w:t xml:space="preserve">(ii) upon death or by will, testamentary document or intestacy, </w:t>
      </w:r>
    </w:p>
    <w:p>
      <w:pPr>
        <w:pStyle w:val="TextBody"/>
        <w:bidi w:val="0"/>
        <w:spacing w:before="240" w:after="0"/>
        <w:jc w:val="left"/>
        <w:rPr>
          <w:rFonts w:ascii="Times New Roman" w:hAnsi="Times New Roman"/>
          <w:sz w:val="20"/>
        </w:rPr>
      </w:pPr>
      <w:r>
        <w:rPr>
          <w:rFonts w:ascii="Times New Roman" w:hAnsi="Times New Roman"/>
          <w:sz w:val="20"/>
        </w:rPr>
        <w:t xml:space="preserve">(iii) to any member of the undersigned’s immediate family (as defined below),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(iv) to a partnership, limited liability company or other entity of which the undersigned and the immediate family of the undersigned are the legal and beneficial owner of all of the outstanding equity securities or similar interests, </w:t>
      </w:r>
    </w:p>
    <w:p>
      <w:pPr>
        <w:pStyle w:val="TextBody"/>
        <w:bidi w:val="0"/>
        <w:spacing w:before="240" w:after="0"/>
        <w:jc w:val="left"/>
        <w:rPr>
          <w:rFonts w:ascii="Times New Roman" w:hAnsi="Times New Roman"/>
          <w:sz w:val="20"/>
        </w:rPr>
      </w:pPr>
      <w:r>
        <w:rPr>
          <w:rFonts w:ascii="Times New Roman" w:hAnsi="Times New Roman"/>
          <w:sz w:val="20"/>
        </w:rPr>
        <w:t xml:space="preserve">(v)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partners, shareholders or other equity holders of the undersigned,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to a nominee or custodian of a person or entity to whom a disposition or transfer would be permissible under clauses (i) through (v) above, </w:t>
      </w:r>
    </w:p>
    <w:p>
      <w:pPr>
        <w:pStyle w:val="TextBody"/>
        <w:bidi w:val="0"/>
        <w:spacing w:before="240" w:after="0"/>
        <w:jc w:val="left"/>
        <w:rPr>
          <w:rFonts w:ascii="Times New Roman" w:hAnsi="Times New Roman"/>
          <w:sz w:val="20"/>
        </w:rPr>
      </w:pPr>
      <w:r>
        <w:rPr>
          <w:rFonts w:ascii="Times New Roman" w:hAnsi="Times New Roman"/>
          <w:sz w:val="20"/>
        </w:rPr>
        <w:t xml:space="preserve">(vii) by operation of law, such as pursuant to a qualified domestic order, divorce settlement, divorce decree or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(viii) to the Company from an employee of the Company upon death, disability or termination of employment, in each case, of such employee, </w:t>
      </w:r>
    </w:p>
    <w:p>
      <w:pPr>
        <w:pStyle w:val="TextBody"/>
        <w:bidi w:val="0"/>
        <w:spacing w:before="240" w:after="0"/>
        <w:jc w:val="left"/>
        <w:rPr>
          <w:rFonts w:ascii="Times New Roman" w:hAnsi="Times New Roman"/>
          <w:sz w:val="20"/>
        </w:rPr>
      </w:pPr>
      <w:r>
        <w:rPr>
          <w:rFonts w:ascii="Times New Roman" w:hAnsi="Times New Roman"/>
          <w:sz w:val="20"/>
        </w:rPr>
        <w:t xml:space="preserve">(ix) as part of a sale of the undersigned’s Lock-Up Securities acquired in open market transactions after the closing date for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(x) to the Company in connection with the vesting, settlement, or exercise of restricted stock units, performance stock units, shares of restricted stock, options, warrants or other rights to purchase shares of Common Stock (including, in each case, by way of “net” or “cashless” exercise), including for the payment of exercise price and tax (including estimated taxes) and remittance payments due as a result of the vesting, settlement, or exercise of such restricted stock units, performance stock units, shares of restricted stock, options, warrants or rights, provided that any such shares of Common Stock received upon such exercise, vesting or settlement shall be subject to the terms of this Letter Agreement, and provided further that any such restricted stock units, performance stock units, shares of restricted stock, options, warrants or rights are held by the undersigned pursuant to an agreement or equity awards granted under a stock incentive plan or other equity award plan, each such agreement or plan which is described in or filed as an exhibit to the Registration Statement, the Pricing Disclosure Package or the Prospectus,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(xi)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similar transaction is not completed, the undersigned’s Lock-Up Securities shall remain subject to the provisions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(xii) pursuant to an order of a court or regulatory agency (for purposes hereof,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related to the undersigned’s ownership of the Lock-Up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to the Company pursuant to the call or put provisions of existing employment agreements and equity grant documents, in each case in existence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(xiv) by pledging, hypothecating or otherwise granting a security interest in any Lock-Up Securities to one or more lending institutions as collateral or security for any loan, advance or extension of credit and any transfer upon foreclosure upon such Lock-Up Securities; provided that the undersigned or the Company, as the case may be, shall provide the Underwriters prior written notice informing it of any required public filing, report or announcement to be made by or on behalf of the Company or the undersigned with respect thereto;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 in the case of any transfer or distribution pursuant to clause (a)(i), (ii), (iii), (iv), (v), (vi) and (vii), such transfer shall not involve a disposition for value and each donee, devisee, transferee or distributee shall execute and deliver to the Underwriters a lock-up letter in the form of this Letter Agreement, (B) in the case of any transfer or distribution pursuant to clause (a)(i), (ii), (iii), (iv), (v) and (vi), no filing by any party (donor, donee, devisee, transferor, transferee, distributer or distributee) under the Securities Exchange Act of 1934, as amended (the “Exchange Act”), or other public announcement showing a reduction in ownership shall be made voluntarily in connection with such transfer or distribution during the Restricted Period,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(C) in the case of any transfer pursuant to clause (a)(ix), no filing by the undersigned or any party (transferor or transferee) under the Exchange Act, or other public filing, report or announcement shall be voluntarily made in connection with such transfer, and if the undersigned is required to file a report under the Exchange Act in connection with such transfer during the Restricted Period, the undersigned shall include a statement in such report to the effect that the filing relates to the transfer or disposition of any shares of Lock-Up Securities purchased by the undersigned, or any of its affiliates, in the Public Offering or in open market transactions following the Public Offering, and (D) in the case of any transfer or distribution pursuant to clause (a)(vii), (viii), (x), (xii), (xiii) and (xiv),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including the applicable circumstances that cause the applicable exception to this Letter Agreement to apply, to the extent permitted; </w:t>
      </w:r>
    </w:p>
    <w:p>
      <w:pPr>
        <w:pStyle w:val="TextBody"/>
        <w:bidi w:val="0"/>
        <w:spacing w:before="240" w:after="0"/>
        <w:jc w:val="left"/>
        <w:rPr>
          <w:rFonts w:ascii="Times New Roman" w:hAnsi="Times New Roman"/>
          <w:sz w:val="20"/>
        </w:rPr>
      </w:pPr>
      <w:r>
        <w:rPr>
          <w:rFonts w:ascii="Times New Roman" w:hAnsi="Times New Roman"/>
          <w:sz w:val="20"/>
        </w:rPr>
        <w:t xml:space="preserve">(b) exercise outstanding options, settle restricted stock units, performance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establish trading plans pursuant to Rule 10b5-1 under the Exchange Act for the transfer of shares of Lock-Up Securities; </w:t>
      </w:r>
      <w:r>
        <w:rPr>
          <w:rFonts w:ascii="Times New Roman" w:hAnsi="Times New Roman"/>
          <w:sz w:val="20"/>
          <w:u w:val="single"/>
        </w:rPr>
        <w:t>provided</w:t>
      </w:r>
      <w:r>
        <w:rPr>
          <w:rFonts w:ascii="Times New Roman" w:hAnsi="Times New Roman"/>
          <w:sz w:val="20"/>
        </w:rPr>
        <w:t xml:space="preserve"> that (1) such plans do not provide for the transfer of Lock-Up Securities during the Restricted Period and (2) to the extent a public announcement or filing under the Exchange Act, if any, is required or voluntarily made by or on behalf of the undersigned or the Company in connection with such trading plan, such announcement or filing shall include a statement to the effect that no transfer of Lock-Up Securities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you in connection with the Public Offering, the Underwriters are not making a recommendation to you to participate in the Public Offering, enter into this Letter Agreement or sell any Shares at the price determined in the Public Offering, and nothing set forth in such disclosures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(i) prior to entering into the Underwriting Agreement, the Company notifies the Underwriters in writing that the Company does not intend to proceed with the Public Offering, (ii) the Company files an application to withdraw the registration statement related to the Public Offering, (iii) the Underwriting Agreement does not become effective by May 31, 2026 or (iv)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Agreement and any claim, controversy or dispute arising under or related to this Letter Agreement shall be governed by and construed in accordance with the laws of the State of New York.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3"/>
        <w:gridCol w:w="116"/>
        <w:gridCol w:w="3323"/>
      </w:tblGrid>
      <w:tr>
        <w:trPr/>
        <w:tc>
          <w:tcPr>
            <w:tcW w:w="643"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STOCKHOLDER]</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116"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tcPr>
          <w:p>
            <w:pPr>
              <w:pStyle w:val="TableContents"/>
              <w:bidi w:val="0"/>
              <w:spacing w:before="0" w:after="283"/>
              <w:jc w:val="left"/>
              <w:rPr/>
            </w:pPr>
            <w:r>
              <w:rPr/>
              <w:t> </w:t>
            </w:r>
          </w:p>
        </w:tc>
      </w:tr>
      <w:tr>
        <w:trPr/>
        <w:tc>
          <w:tcPr>
            <w:tcW w:w="64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Name:</w:t>
            </w:r>
          </w:p>
        </w:tc>
      </w:tr>
      <w:tr>
        <w:trPr/>
        <w:tc>
          <w:tcPr>
            <w:tcW w:w="64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List of Lock-Up Signatories </w:t>
      </w:r>
    </w:p>
    <w:p>
      <w:pPr>
        <w:pStyle w:val="TextBody"/>
        <w:bidi w:val="0"/>
        <w:spacing w:before="240" w:after="0"/>
        <w:jc w:val="left"/>
        <w:rPr>
          <w:rFonts w:ascii="Times New Roman" w:hAnsi="Times New Roman"/>
          <w:sz w:val="20"/>
        </w:rPr>
      </w:pPr>
      <w:r>
        <w:rPr>
          <w:rFonts w:ascii="Times New Roman" w:hAnsi="Times New Roman"/>
          <w:sz w:val="20"/>
        </w:rPr>
        <w:t xml:space="preserve">Bull Holdco, L.P. </w:t>
      </w:r>
    </w:p>
    <w:p>
      <w:pPr>
        <w:pStyle w:val="TextBody"/>
        <w:bidi w:val="0"/>
        <w:spacing w:before="0" w:after="0"/>
        <w:jc w:val="left"/>
        <w:rPr>
          <w:rFonts w:ascii="Times New Roman" w:hAnsi="Times New Roman"/>
          <w:sz w:val="20"/>
        </w:rPr>
      </w:pPr>
      <w:r>
        <w:rPr>
          <w:rFonts w:ascii="Times New Roman" w:hAnsi="Times New Roman"/>
          <w:sz w:val="20"/>
        </w:rPr>
        <w:t xml:space="preserve">Bull Co-Invest L.P. </w:t>
      </w:r>
    </w:p>
    <w:p>
      <w:pPr>
        <w:pStyle w:val="TextBody"/>
        <w:bidi w:val="0"/>
        <w:spacing w:before="0" w:after="0"/>
        <w:jc w:val="left"/>
        <w:rPr>
          <w:rFonts w:ascii="Times New Roman" w:hAnsi="Times New Roman"/>
          <w:sz w:val="20"/>
        </w:rPr>
      </w:pPr>
      <w:r>
        <w:rPr>
          <w:rFonts w:ascii="Times New Roman" w:hAnsi="Times New Roman"/>
          <w:sz w:val="20"/>
        </w:rPr>
        <w:t xml:space="preserve">GTCR Fund XI/A LP </w:t>
      </w:r>
    </w:p>
    <w:p>
      <w:pPr>
        <w:pStyle w:val="TextBody"/>
        <w:bidi w:val="0"/>
        <w:spacing w:before="0" w:after="0"/>
        <w:jc w:val="left"/>
        <w:rPr>
          <w:rFonts w:ascii="Times New Roman" w:hAnsi="Times New Roman"/>
          <w:sz w:val="20"/>
        </w:rPr>
      </w:pPr>
      <w:r>
        <w:rPr>
          <w:rFonts w:ascii="Times New Roman" w:hAnsi="Times New Roman"/>
          <w:sz w:val="20"/>
        </w:rPr>
        <w:t xml:space="preserve">GTCR Fund XI/C LP </w:t>
      </w:r>
    </w:p>
    <w:p>
      <w:pPr>
        <w:pStyle w:val="TextBody"/>
        <w:bidi w:val="0"/>
        <w:spacing w:before="0" w:after="0"/>
        <w:jc w:val="left"/>
        <w:rPr>
          <w:rFonts w:ascii="Times New Roman" w:hAnsi="Times New Roman"/>
          <w:sz w:val="20"/>
        </w:rPr>
      </w:pPr>
      <w:r>
        <w:rPr>
          <w:rFonts w:ascii="Times New Roman" w:hAnsi="Times New Roman"/>
          <w:sz w:val="20"/>
        </w:rPr>
        <w:t xml:space="preserve">GTCR Co-Invest XI L.P. </w:t>
      </w:r>
    </w:p>
    <w:p>
      <w:pPr>
        <w:pStyle w:val="TextBody"/>
        <w:bidi w:val="0"/>
        <w:spacing w:before="0" w:after="0"/>
        <w:jc w:val="left"/>
        <w:rPr>
          <w:rFonts w:ascii="Times New Roman" w:hAnsi="Times New Roman"/>
          <w:sz w:val="20"/>
        </w:rPr>
      </w:pPr>
      <w:r>
        <w:rPr>
          <w:rFonts w:ascii="Times New Roman" w:hAnsi="Times New Roman"/>
          <w:sz w:val="20"/>
        </w:rPr>
        <w:t xml:space="preserve">Michael B. Petras, Jr. </w:t>
      </w:r>
    </w:p>
    <w:p>
      <w:pPr>
        <w:pStyle w:val="TextBody"/>
        <w:bidi w:val="0"/>
        <w:spacing w:before="0" w:after="0"/>
        <w:jc w:val="left"/>
        <w:rPr>
          <w:rFonts w:ascii="Times New Roman" w:hAnsi="Times New Roman"/>
          <w:sz w:val="20"/>
        </w:rPr>
      </w:pPr>
      <w:r>
        <w:rPr>
          <w:rFonts w:ascii="Times New Roman" w:hAnsi="Times New Roman"/>
          <w:sz w:val="20"/>
        </w:rPr>
        <w:t xml:space="preserve">Jonathan M. Lyons </w:t>
      </w:r>
    </w:p>
    <w:p>
      <w:pPr>
        <w:pStyle w:val="TextBody"/>
        <w:bidi w:val="0"/>
        <w:spacing w:before="0" w:after="0"/>
        <w:jc w:val="left"/>
        <w:rPr>
          <w:rFonts w:ascii="Times New Roman" w:hAnsi="Times New Roman"/>
          <w:sz w:val="20"/>
        </w:rPr>
      </w:pPr>
      <w:r>
        <w:rPr>
          <w:rFonts w:ascii="Times New Roman" w:hAnsi="Times New Roman"/>
          <w:sz w:val="20"/>
        </w:rPr>
        <w:t xml:space="preserve">Michael P. Rutz </w:t>
      </w:r>
    </w:p>
    <w:p>
      <w:pPr>
        <w:pStyle w:val="TextBody"/>
        <w:bidi w:val="0"/>
        <w:spacing w:before="0" w:after="0"/>
        <w:jc w:val="left"/>
        <w:rPr>
          <w:rFonts w:ascii="Times New Roman" w:hAnsi="Times New Roman"/>
          <w:sz w:val="20"/>
        </w:rPr>
      </w:pPr>
      <w:r>
        <w:rPr>
          <w:rFonts w:ascii="Times New Roman" w:hAnsi="Times New Roman"/>
          <w:sz w:val="20"/>
        </w:rPr>
        <w:t xml:space="preserve">Erika Ostrowski </w:t>
      </w:r>
    </w:p>
    <w:p>
      <w:pPr>
        <w:pStyle w:val="TextBody"/>
        <w:bidi w:val="0"/>
        <w:spacing w:before="0" w:after="0"/>
        <w:jc w:val="left"/>
        <w:rPr>
          <w:rFonts w:ascii="Times New Roman" w:hAnsi="Times New Roman"/>
          <w:sz w:val="20"/>
        </w:rPr>
      </w:pPr>
      <w:r>
        <w:rPr>
          <w:rFonts w:ascii="Times New Roman" w:hAnsi="Times New Roman"/>
          <w:sz w:val="20"/>
        </w:rPr>
        <w:t xml:space="preserve">Ruoxi Chen </w:t>
      </w:r>
    </w:p>
    <w:p>
      <w:pPr>
        <w:pStyle w:val="TextBody"/>
        <w:bidi w:val="0"/>
        <w:spacing w:before="0" w:after="0"/>
        <w:jc w:val="left"/>
        <w:rPr>
          <w:rFonts w:ascii="Times New Roman" w:hAnsi="Times New Roman"/>
          <w:sz w:val="20"/>
        </w:rPr>
      </w:pPr>
      <w:r>
        <w:rPr>
          <w:rFonts w:ascii="Times New Roman" w:hAnsi="Times New Roman"/>
          <w:sz w:val="20"/>
        </w:rPr>
        <w:t xml:space="preserve">Sean L. Cunningham </w:t>
      </w:r>
    </w:p>
    <w:p>
      <w:pPr>
        <w:pStyle w:val="TextBody"/>
        <w:bidi w:val="0"/>
        <w:spacing w:before="0" w:after="0"/>
        <w:jc w:val="left"/>
        <w:rPr>
          <w:rFonts w:ascii="Times New Roman" w:hAnsi="Times New Roman"/>
          <w:sz w:val="20"/>
        </w:rPr>
      </w:pPr>
      <w:r>
        <w:rPr>
          <w:rFonts w:ascii="Times New Roman" w:hAnsi="Times New Roman"/>
          <w:sz w:val="20"/>
        </w:rPr>
        <w:t xml:space="preserve">Karen A. Flynn </w:t>
      </w:r>
    </w:p>
    <w:p>
      <w:pPr>
        <w:pStyle w:val="TextBody"/>
        <w:bidi w:val="0"/>
        <w:spacing w:before="0" w:after="0"/>
        <w:jc w:val="left"/>
        <w:rPr>
          <w:rFonts w:ascii="Times New Roman" w:hAnsi="Times New Roman"/>
          <w:sz w:val="20"/>
        </w:rPr>
      </w:pPr>
      <w:r>
        <w:rPr>
          <w:rFonts w:ascii="Times New Roman" w:hAnsi="Times New Roman"/>
          <w:sz w:val="20"/>
        </w:rPr>
        <w:t xml:space="preserve">Ann R. Klee </w:t>
      </w:r>
    </w:p>
    <w:p>
      <w:pPr>
        <w:pStyle w:val="TextBody"/>
        <w:bidi w:val="0"/>
        <w:spacing w:before="0" w:after="0"/>
        <w:jc w:val="left"/>
        <w:rPr>
          <w:rFonts w:ascii="Times New Roman" w:hAnsi="Times New Roman"/>
          <w:sz w:val="20"/>
        </w:rPr>
      </w:pPr>
      <w:r>
        <w:rPr>
          <w:rFonts w:ascii="Times New Roman" w:hAnsi="Times New Roman"/>
          <w:sz w:val="20"/>
        </w:rPr>
        <w:t xml:space="preserve">Robert B. Knauss </w:t>
      </w:r>
    </w:p>
    <w:p>
      <w:pPr>
        <w:pStyle w:val="TextBody"/>
        <w:bidi w:val="0"/>
        <w:spacing w:before="0" w:after="0"/>
        <w:jc w:val="left"/>
        <w:rPr>
          <w:rFonts w:ascii="Times New Roman" w:hAnsi="Times New Roman"/>
          <w:sz w:val="20"/>
        </w:rPr>
      </w:pPr>
      <w:r>
        <w:rPr>
          <w:rFonts w:ascii="Times New Roman" w:hAnsi="Times New Roman"/>
          <w:sz w:val="20"/>
        </w:rPr>
        <w:t xml:space="preserve">Kenneth D. Krause </w:t>
      </w:r>
    </w:p>
    <w:p>
      <w:pPr>
        <w:pStyle w:val="TextBody"/>
        <w:bidi w:val="0"/>
        <w:spacing w:before="0" w:after="0"/>
        <w:jc w:val="left"/>
        <w:rPr>
          <w:rFonts w:ascii="Times New Roman" w:hAnsi="Times New Roman"/>
          <w:sz w:val="20"/>
        </w:rPr>
      </w:pPr>
      <w:r>
        <w:rPr>
          <w:rFonts w:ascii="Times New Roman" w:hAnsi="Times New Roman"/>
          <w:sz w:val="20"/>
        </w:rPr>
        <w:t xml:space="preserve">Richard G. Kyle </w:t>
      </w:r>
    </w:p>
    <w:p>
      <w:pPr>
        <w:pStyle w:val="TextBody"/>
        <w:bidi w:val="0"/>
        <w:spacing w:before="0" w:after="0"/>
        <w:jc w:val="left"/>
        <w:rPr>
          <w:rFonts w:ascii="Times New Roman" w:hAnsi="Times New Roman"/>
          <w:sz w:val="20"/>
        </w:rPr>
      </w:pPr>
      <w:r>
        <w:rPr>
          <w:rFonts w:ascii="Times New Roman" w:hAnsi="Times New Roman"/>
          <w:sz w:val="20"/>
        </w:rPr>
        <w:t xml:space="preserve">James C. Neary </w:t>
      </w:r>
    </w:p>
    <w:p>
      <w:pPr>
        <w:pStyle w:val="TextBody"/>
        <w:bidi w:val="0"/>
        <w:spacing w:before="0" w:after="0"/>
        <w:jc w:val="left"/>
        <w:rPr>
          <w:rFonts w:ascii="Times New Roman" w:hAnsi="Times New Roman"/>
          <w:sz w:val="20"/>
        </w:rPr>
      </w:pPr>
      <w:r>
        <w:rPr>
          <w:rFonts w:ascii="Times New Roman" w:hAnsi="Times New Roman"/>
          <w:sz w:val="20"/>
        </w:rPr>
        <w:t xml:space="preserve">Vincent K. Petrella </w:t>
      </w:r>
    </w:p>
    <w:p>
      <w:pPr>
        <w:pStyle w:val="TextBody"/>
        <w:bidi w:val="0"/>
        <w:spacing w:before="0" w:after="0"/>
        <w:jc w:val="left"/>
        <w:rPr>
          <w:rFonts w:ascii="Times New Roman" w:hAnsi="Times New Roman"/>
          <w:sz w:val="20"/>
        </w:rPr>
      </w:pPr>
      <w:r>
        <w:rPr>
          <w:rFonts w:ascii="Times New Roman" w:hAnsi="Times New Roman"/>
          <w:sz w:val="20"/>
        </w:rPr>
        <w:t xml:space="preserve">Christopher A. Simon </w:t>
      </w:r>
    </w:p>
    <w:p>
      <w:pPr>
        <w:pStyle w:val="TextBody"/>
        <w:bidi w:val="0"/>
        <w:spacing w:before="0" w:after="0"/>
        <w:jc w:val="left"/>
        <w:rPr>
          <w:rFonts w:ascii="Times New Roman" w:hAnsi="Times New Roman"/>
          <w:sz w:val="20"/>
        </w:rPr>
      </w:pPr>
      <w:r>
        <w:rPr>
          <w:rFonts w:ascii="Times New Roman" w:hAnsi="Times New Roman"/>
          <w:sz w:val="20"/>
        </w:rPr>
        <w:t xml:space="preserve">David E. Wheadon </w:t>
      </w:r>
    </w:p>
    <w:p>
      <w:pPr>
        <w:pStyle w:val="TextBody"/>
        <w:bidi w:val="0"/>
        <w:spacing w:before="0" w:after="0"/>
        <w:jc w:val="right"/>
        <w:rPr>
          <w:rFonts w:ascii="Times New Roman" w:hAnsi="Times New Roman"/>
          <w:sz w:val="20"/>
        </w:rPr>
      </w:pPr>
      <w:bookmarkStart w:id="4" w:name="d113042dex51.htm"/>
      <w:bookmarkStart w:id="5" w:name="ksd113042dex51"/>
      <w:bookmarkEnd w:id="4"/>
      <w:bookmarkEnd w:id="5"/>
      <w:r>
        <w:rPr>
          <w:rFonts w:ascii="Times New Roman" w:hAnsi="Times New Roman"/>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667125"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667125" cy="24765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left"/>
              <w:rPr>
                <w:rFonts w:ascii="Times New Roman" w:hAnsi="Times New Roman"/>
                <w:b/>
                <w:sz w:val="20"/>
              </w:rPr>
            </w:pPr>
            <w:r>
              <w:rPr>
                <w:rFonts w:ascii="Times New Roman" w:hAnsi="Times New Roman"/>
                <w:b/>
                <w:sz w:val="20"/>
              </w:rPr>
              <w:t>AMERICAS</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SÃO PAULO</w:t>
            </w:r>
          </w:p>
          <w:p>
            <w:pPr>
              <w:pStyle w:val="TableContents"/>
              <w:bidi w:val="0"/>
              <w:spacing w:before="0" w:after="0"/>
              <w:jc w:val="left"/>
              <w:rPr>
                <w:rFonts w:ascii="Times New Roman" w:hAnsi="Times New Roman"/>
                <w:sz w:val="20"/>
              </w:rPr>
            </w:pP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WASHINGTON, D.C.</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ASIA</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20"/>
              <w:jc w:val="left"/>
              <w:rPr>
                <w:rFonts w:ascii="Times New Roman" w:hAnsi="Times New Roman"/>
                <w:sz w:val="20"/>
              </w:rPr>
            </w:pPr>
            <w:r>
              <w:rPr>
                <w:rFonts w:ascii="Times New Roman" w:hAnsi="Times New Roman"/>
                <w:sz w:val="20"/>
              </w:rPr>
              <w:t>SEOUL</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One Liberty Plaza</w:t>
            </w:r>
          </w:p>
          <w:p>
            <w:pPr>
              <w:pStyle w:val="TableContents"/>
              <w:bidi w:val="0"/>
              <w:spacing w:before="0" w:after="0"/>
              <w:jc w:val="center"/>
              <w:rPr>
                <w:rFonts w:ascii="Times New Roman" w:hAnsi="Times New Roman"/>
                <w:sz w:val="20"/>
              </w:rPr>
            </w:pPr>
            <w:r>
              <w:rPr>
                <w:rFonts w:ascii="Times New Roman" w:hAnsi="Times New Roman"/>
                <w:sz w:val="20"/>
              </w:rPr>
              <w:t>New York, NY 10006-1470</w:t>
            </w:r>
          </w:p>
          <w:p>
            <w:pPr>
              <w:pStyle w:val="TableContents"/>
              <w:bidi w:val="0"/>
              <w:spacing w:before="0" w:after="0"/>
              <w:jc w:val="center"/>
              <w:rPr>
                <w:rFonts w:ascii="Times New Roman" w:hAnsi="Times New Roman"/>
                <w:sz w:val="20"/>
              </w:rPr>
            </w:pPr>
            <w:r>
              <w:rPr>
                <w:rFonts w:ascii="Times New Roman" w:hAnsi="Times New Roman"/>
                <w:sz w:val="20"/>
              </w:rPr>
              <w:t>T: +1 212 225 2000</w:t>
            </w:r>
          </w:p>
          <w:p>
            <w:pPr>
              <w:pStyle w:val="TableContents"/>
              <w:bidi w:val="0"/>
              <w:spacing w:before="0" w:after="0"/>
              <w:jc w:val="center"/>
              <w:rPr>
                <w:rFonts w:ascii="Times New Roman" w:hAnsi="Times New Roman"/>
                <w:sz w:val="20"/>
              </w:rPr>
            </w:pPr>
            <w:r>
              <w:rPr>
                <w:rFonts w:ascii="Times New Roman" w:hAnsi="Times New Roman"/>
                <w:sz w:val="20"/>
              </w:rPr>
              <w:t>F: +1 212 225 3999</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clearygottlieb.com</w:t>
            </w:r>
          </w:p>
          <w:p>
            <w:pPr>
              <w:pStyle w:val="TableContents"/>
              <w:bidi w:val="0"/>
              <w:spacing w:before="0" w:after="0"/>
              <w:jc w:val="center"/>
              <w:rPr>
                <w:rFonts w:ascii="Times New Roman" w:hAnsi="Times New Roman"/>
                <w:sz w:val="20"/>
              </w:rPr>
            </w:pPr>
            <w:r>
              <w:rPr>
                <w:rFonts w:ascii="Times New Roman" w:hAnsi="Times New Roman"/>
                <w:sz w:val="20"/>
              </w:rPr>
              <w:t>D: +1 212 225 2130</w:t>
            </w:r>
          </w:p>
          <w:p>
            <w:pPr>
              <w:pStyle w:val="TableContents"/>
              <w:bidi w:val="0"/>
              <w:spacing w:before="0" w:after="20"/>
              <w:jc w:val="center"/>
              <w:rPr>
                <w:rFonts w:ascii="Times New Roman" w:hAnsi="Times New Roman"/>
                <w:sz w:val="20"/>
              </w:rPr>
            </w:pPr>
            <w:r>
              <w:rPr>
                <w:rFonts w:ascii="Times New Roman" w:hAnsi="Times New Roman"/>
                <w:sz w:val="20"/>
              </w:rPr>
              <w:t>ltsu@cgsh.com</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right"/>
              <w:rPr>
                <w:rFonts w:ascii="Times New Roman" w:hAnsi="Times New Roman"/>
                <w:b/>
                <w:sz w:val="20"/>
              </w:rPr>
            </w:pPr>
            <w:r>
              <w:rPr>
                <w:rFonts w:ascii="Times New Roman" w:hAnsi="Times New Roman"/>
                <w:b/>
                <w:sz w:val="20"/>
              </w:rPr>
              <w:t>EUROPE &amp; MIDDLE EAST</w:t>
            </w:r>
          </w:p>
          <w:p>
            <w:pPr>
              <w:pStyle w:val="TableContents"/>
              <w:bidi w:val="0"/>
              <w:spacing w:before="0" w:after="0"/>
              <w:jc w:val="right"/>
              <w:rPr>
                <w:rFonts w:ascii="Times New Roman" w:hAnsi="Times New Roman"/>
                <w:sz w:val="20"/>
              </w:rPr>
            </w:pPr>
            <w:r>
              <w:rPr>
                <w:rFonts w:ascii="Times New Roman" w:hAnsi="Times New Roman"/>
                <w:sz w:val="20"/>
              </w:rPr>
              <w:t>ABU DHABI</w:t>
            </w:r>
          </w:p>
          <w:p>
            <w:pPr>
              <w:pStyle w:val="TableContents"/>
              <w:bidi w:val="0"/>
              <w:spacing w:before="0" w:after="0"/>
              <w:jc w:val="right"/>
              <w:rPr>
                <w:rFonts w:ascii="Times New Roman" w:hAnsi="Times New Roman"/>
                <w:sz w:val="20"/>
              </w:rPr>
            </w:pPr>
            <w:r>
              <w:rPr>
                <w:rFonts w:ascii="Times New Roman" w:hAnsi="Times New Roman"/>
                <w:sz w:val="20"/>
              </w:rPr>
              <w:t>BRUSSELS</w:t>
            </w:r>
          </w:p>
          <w:p>
            <w:pPr>
              <w:pStyle w:val="TableContents"/>
              <w:bidi w:val="0"/>
              <w:spacing w:before="0" w:after="0"/>
              <w:jc w:val="right"/>
              <w:rPr>
                <w:rFonts w:ascii="Times New Roman" w:hAnsi="Times New Roman"/>
                <w:sz w:val="20"/>
              </w:rPr>
            </w:pPr>
            <w:r>
              <w:rPr>
                <w:rFonts w:ascii="Times New Roman" w:hAnsi="Times New Roman"/>
                <w:sz w:val="20"/>
              </w:rPr>
              <w:t>COLOGNE</w:t>
            </w:r>
          </w:p>
          <w:p>
            <w:pPr>
              <w:pStyle w:val="TableContents"/>
              <w:bidi w:val="0"/>
              <w:spacing w:before="0" w:after="0"/>
              <w:jc w:val="right"/>
              <w:rPr>
                <w:rFonts w:ascii="Times New Roman" w:hAnsi="Times New Roman"/>
                <w:sz w:val="20"/>
              </w:rPr>
            </w:pPr>
            <w:r>
              <w:rPr>
                <w:rFonts w:ascii="Times New Roman" w:hAnsi="Times New Roman"/>
                <w:sz w:val="20"/>
              </w:rPr>
              <w:t>LONDON</w:t>
            </w:r>
          </w:p>
          <w:p>
            <w:pPr>
              <w:pStyle w:val="TableContents"/>
              <w:bidi w:val="0"/>
              <w:spacing w:before="0" w:after="0"/>
              <w:jc w:val="right"/>
              <w:rPr>
                <w:rFonts w:ascii="Times New Roman" w:hAnsi="Times New Roman"/>
                <w:sz w:val="20"/>
              </w:rPr>
            </w:pPr>
            <w:r>
              <w:rPr>
                <w:rFonts w:ascii="Times New Roman" w:hAnsi="Times New Roman"/>
                <w:sz w:val="20"/>
              </w:rPr>
              <w:t>MILAN</w:t>
            </w:r>
          </w:p>
          <w:p>
            <w:pPr>
              <w:pStyle w:val="TableContents"/>
              <w:bidi w:val="0"/>
              <w:spacing w:before="0" w:after="0"/>
              <w:jc w:val="right"/>
              <w:rPr>
                <w:rFonts w:ascii="Times New Roman" w:hAnsi="Times New Roman"/>
                <w:sz w:val="20"/>
              </w:rPr>
            </w:pPr>
            <w:r>
              <w:rPr>
                <w:rFonts w:ascii="Times New Roman" w:hAnsi="Times New Roman"/>
                <w:sz w:val="20"/>
              </w:rPr>
              <w:t>PARIS</w:t>
            </w:r>
          </w:p>
          <w:p>
            <w:pPr>
              <w:pStyle w:val="TableContents"/>
              <w:bidi w:val="0"/>
              <w:spacing w:before="0" w:after="20"/>
              <w:jc w:val="right"/>
              <w:rPr>
                <w:rFonts w:ascii="Times New Roman" w:hAnsi="Times New Roman"/>
                <w:sz w:val="20"/>
              </w:rPr>
            </w:pPr>
            <w:r>
              <w:rPr>
                <w:rFonts w:ascii="Times New Roman" w:hAnsi="Times New Roman"/>
                <w:sz w:val="20"/>
              </w:rPr>
              <w:t>ROME</w:t>
            </w:r>
          </w:p>
        </w:tc>
      </w:tr>
    </w:tbl>
    <w:p>
      <w:pPr>
        <w:pStyle w:val="TextBody"/>
        <w:bidi w:val="0"/>
        <w:spacing w:before="240" w:after="0"/>
        <w:jc w:val="right"/>
        <w:rPr>
          <w:rFonts w:ascii="Times New Roman" w:hAnsi="Times New Roman"/>
          <w:sz w:val="20"/>
        </w:rPr>
      </w:pPr>
      <w:r>
        <w:rPr>
          <w:rFonts w:ascii="Times New Roman" w:hAnsi="Times New Roman"/>
          <w:sz w:val="20"/>
        </w:rPr>
        <w:t xml:space="preserve">May 13, 2026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t>
      </w:r>
    </w:p>
    <w:p>
      <w:pPr>
        <w:pStyle w:val="TextBody"/>
        <w:bidi w:val="0"/>
        <w:spacing w:before="0" w:after="0"/>
        <w:jc w:val="left"/>
        <w:rPr>
          <w:rFonts w:ascii="Times New Roman" w:hAnsi="Times New Roman"/>
          <w:sz w:val="20"/>
        </w:rPr>
      </w:pPr>
      <w:r>
        <w:rPr>
          <w:rFonts w:ascii="Times New Roman" w:hAnsi="Times New Roman"/>
          <w:sz w:val="20"/>
        </w:rPr>
        <w:t xml:space="preserve">9100 South Hills Blvd, Suite 300 </w:t>
      </w:r>
    </w:p>
    <w:p>
      <w:pPr>
        <w:pStyle w:val="TextBody"/>
        <w:bidi w:val="0"/>
        <w:spacing w:before="0" w:after="0"/>
        <w:jc w:val="left"/>
        <w:rPr>
          <w:rFonts w:ascii="Times New Roman" w:hAnsi="Times New Roman"/>
          <w:sz w:val="20"/>
        </w:rPr>
      </w:pPr>
      <w:r>
        <w:rPr>
          <w:rFonts w:ascii="Times New Roman" w:hAnsi="Times New Roman"/>
          <w:sz w:val="20"/>
        </w:rPr>
        <w:t xml:space="preserve">Broadview Heights, Ohio 44147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Re:</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Sotera Health Company 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Sotera Health Company, a corporation organized under the laws of Delaware (the “</w:t>
      </w:r>
      <w:r>
        <w:rPr>
          <w:rFonts w:ascii="Times New Roman" w:hAnsi="Times New Roman"/>
          <w:sz w:val="20"/>
          <w:u w:val="single"/>
        </w:rPr>
        <w:t>Company</w:t>
      </w:r>
      <w:r>
        <w:rPr>
          <w:rFonts w:ascii="Times New Roman" w:hAnsi="Times New Roman"/>
          <w:sz w:val="20"/>
        </w:rPr>
        <w:t>”), in connection with the offering by certain investment funds and entities affiliated with Warburg Pincus and certain investment funds and entities affiliated with GTCR (collectively, the “</w:t>
      </w:r>
      <w:r>
        <w:rPr>
          <w:rFonts w:ascii="Times New Roman" w:hAnsi="Times New Roman"/>
          <w:sz w:val="20"/>
          <w:u w:val="single"/>
        </w:rPr>
        <w:t>Selling Stockholders</w:t>
      </w:r>
      <w:r>
        <w:rPr>
          <w:rFonts w:ascii="Times New Roman" w:hAnsi="Times New Roman"/>
          <w:sz w:val="20"/>
        </w:rPr>
        <w:t>”) pursuant to a registration statement on Form S-3 (333-277418) of 31,838,253 of the Company’s shares of common stock, par value $0.01 per share (the “</w:t>
      </w:r>
      <w:r>
        <w:rPr>
          <w:rFonts w:ascii="Times New Roman" w:hAnsi="Times New Roman"/>
          <w:sz w:val="20"/>
          <w:u w:val="single"/>
        </w:rPr>
        <w:t>Securities</w:t>
      </w:r>
      <w:r>
        <w:rPr>
          <w:rFonts w:ascii="Times New Roman" w:hAnsi="Times New Roman"/>
          <w:sz w:val="20"/>
        </w:rPr>
        <w:t>”). Such registration statement, as amended as of its most recent effective date (May 11, 2026) insofar as it relates to the Securities (as determined for purposes of Rule 430B(f)(2) under the Securities Act of 1933, as amended (the “</w:t>
      </w:r>
      <w:r>
        <w:rPr>
          <w:rFonts w:ascii="Times New Roman" w:hAnsi="Times New Roman"/>
          <w:sz w:val="20"/>
          <w:u w:val="single"/>
        </w:rPr>
        <w:t>Securities Act</w:t>
      </w:r>
      <w:r>
        <w:rPr>
          <w:rFonts w:ascii="Times New Roman" w:hAnsi="Times New Roman"/>
          <w:sz w:val="20"/>
        </w:rPr>
        <w:t>”)), including the documents incorporated by reference therein, is herein called the “</w:t>
      </w:r>
      <w:r>
        <w:rPr>
          <w:rFonts w:ascii="Times New Roman" w:hAnsi="Times New Roman"/>
          <w:sz w:val="20"/>
          <w:u w:val="single"/>
        </w:rPr>
        <w:t>Registration Statement</w:t>
      </w:r>
      <w:r>
        <w:rPr>
          <w:rFonts w:ascii="Times New Roman" w:hAnsi="Times New Roman"/>
          <w:sz w:val="20"/>
        </w:rPr>
        <w:t>;” the related prospectus dated February 27, 2024, included in the Registration Statement filed with the Securities and Exchange Commission (the “</w:t>
      </w:r>
      <w:r>
        <w:rPr>
          <w:rFonts w:ascii="Times New Roman" w:hAnsi="Times New Roman"/>
          <w:sz w:val="20"/>
          <w:u w:val="single"/>
        </w:rPr>
        <w:t>Commission</w:t>
      </w:r>
      <w:r>
        <w:rPr>
          <w:rFonts w:ascii="Times New Roman" w:hAnsi="Times New Roman"/>
          <w:sz w:val="20"/>
        </w:rPr>
        <w:t>”) under the Securities Act, including the documents incorporated by reference therein, is herein called the “</w:t>
      </w:r>
      <w:r>
        <w:rPr>
          <w:rFonts w:ascii="Times New Roman" w:hAnsi="Times New Roman"/>
          <w:sz w:val="20"/>
          <w:u w:val="single"/>
        </w:rPr>
        <w:t>Base Prospectus</w:t>
      </w:r>
      <w:r>
        <w:rPr>
          <w:rFonts w:ascii="Times New Roman" w:hAnsi="Times New Roman"/>
          <w:sz w:val="20"/>
        </w:rPr>
        <w:t>;” the preliminary prospectus supplement dated May 11, 2026, as filed with the Commission pursuant to Rule 424(b) under the Securities Act, including the documents incorporated by reference therein, is herein called the “</w:t>
      </w:r>
      <w:r>
        <w:rPr>
          <w:rFonts w:ascii="Times New Roman" w:hAnsi="Times New Roman"/>
          <w:sz w:val="20"/>
          <w:u w:val="single"/>
        </w:rPr>
        <w:t>Preliminary Prospectus Supplement</w:t>
      </w:r>
      <w:r>
        <w:rPr>
          <w:rFonts w:ascii="Times New Roman" w:hAnsi="Times New Roman"/>
          <w:sz w:val="20"/>
        </w:rPr>
        <w:t>;” and the related prospectus supplement dated May 11, 2026, as filed with the Commission pursuant to Rule 424(b) under the Securities Act, including the documents incorporated by reference therein, is herein called the “</w:t>
      </w:r>
      <w:r>
        <w:rPr>
          <w:rFonts w:ascii="Times New Roman" w:hAnsi="Times New Roman"/>
          <w:sz w:val="20"/>
          <w:u w:val="single"/>
        </w:rPr>
        <w:t>Final Prospectus Supplement</w:t>
      </w:r>
      <w:r>
        <w:rPr>
          <w:rFonts w:ascii="Times New Roman" w:hAnsi="Times New Roman"/>
          <w:sz w:val="20"/>
        </w:rPr>
        <w:t>.” The Base Prospectus and the Preliminary Prospectus Supplement together are herein called the “</w:t>
      </w:r>
      <w:r>
        <w:rPr>
          <w:rFonts w:ascii="Times New Roman" w:hAnsi="Times New Roman"/>
          <w:sz w:val="20"/>
          <w:u w:val="single"/>
        </w:rPr>
        <w:t>Pricing Prospectus</w:t>
      </w:r>
      <w:r>
        <w:rPr>
          <w:rFonts w:ascii="Times New Roman" w:hAnsi="Times New Roman"/>
          <w:sz w:val="20"/>
        </w:rPr>
        <w:t>,” and the Base Prospectus and the Final Prospectus Supplement together are herein called the “</w:t>
      </w:r>
      <w:r>
        <w:rPr>
          <w:rFonts w:ascii="Times New Roman" w:hAnsi="Times New Roman"/>
          <w:sz w:val="20"/>
          <w:u w:val="single"/>
        </w:rPr>
        <w:t>Final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opinions expressed below, we have reviewed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an executed copy of the Underwriting Agreement dated May 11, 2026 (the “</w:t>
            </w:r>
            <w:r>
              <w:rPr>
                <w:rFonts w:ascii="Times New Roman" w:hAnsi="Times New Roman"/>
                <w:sz w:val="20"/>
                <w:u w:val="single"/>
              </w:rPr>
              <w:t>Underwriting Agreement</w:t>
            </w:r>
            <w:r>
              <w:rPr>
                <w:rFonts w:ascii="Times New Roman" w:hAnsi="Times New Roman"/>
                <w:sz w:val="20"/>
              </w:rPr>
              <w:t xml:space="preserve">”) among the Company, the Selling Stockholders and Goldman Sachs &amp; Co. LLC, as the underwriter;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Cleary Gottlieb Steen &amp; Hamilton LLP or an affiliated entity has an office in each of the locations listed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Sotera Health Company, p.2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Final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Computershare Trust Company, N.A., as registrar and transfer agent for the Securities, certifying that the Securities have been duly registered or otherwise established in the systems of The Depository Trust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and Restated Certificate of Incorporation of the Company, certified by the Secretary of State of the State of Delaware.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 (including, without limitation, the accuracy of the representations and warranties of the Selling Stockholders in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further assumptions and qualifications set forth below, it is our opinion that the Securities have been validly issued by the Company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General Corporation Law of the State of Delaware, including the applicable provisions of the Delaware Constitution and reported judicial decisions interpreting such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Sotera Health Company, p.3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dated May 13, 2026. In giving such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135"/>
        <w:gridCol w:w="3259"/>
      </w:tblGrid>
      <w:tr>
        <w:trPr/>
        <w:tc>
          <w:tcPr>
            <w:tcW w:w="68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2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CLEARY GOTTLIEB STEEN &amp; HAMILTON LLP</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3259" w:type="dxa"/>
            <w:tcBorders>
              <w:bottom w:val="single" w:sz="2" w:space="0" w:color="000000"/>
            </w:tcBorders>
            <w:tcMar>
              <w:bottom w:w="28" w:type="dxa"/>
            </w:tcMar>
          </w:tcPr>
          <w:p>
            <w:pPr>
              <w:pStyle w:val="TableContents"/>
              <w:bidi w:val="0"/>
              <w:spacing w:before="0" w:after="283"/>
              <w:jc w:val="left"/>
              <w:rPr/>
            </w:pPr>
            <w:r>
              <w:rPr/>
              <w:t>/s/ Lillian Tsu</w:t>
            </w:r>
          </w:p>
        </w:tc>
      </w:tr>
      <w:tr>
        <w:trPr/>
        <w:tc>
          <w:tcPr>
            <w:tcW w:w="68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3259" w:type="dxa"/>
            <w:tcBorders/>
            <w:vAlign w:val="bottom"/>
          </w:tcPr>
          <w:p>
            <w:pPr>
              <w:pStyle w:val="TableContents"/>
              <w:bidi w:val="0"/>
              <w:spacing w:before="0" w:after="283"/>
              <w:jc w:val="left"/>
              <w:rPr/>
            </w:pPr>
            <w:r>
              <w:rPr/>
              <w:t>Lillian Tsu, a Partner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2479/000182247921000018/shc_20201231xexhibitx10x9.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29704</Words>
  <Characters>158682</Characters>
  <CharactersWithSpaces>188396</CharactersWithSpaces>
  <Paragraphs>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