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-234950</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7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5266055</wp:posOffset>
            </wp:positionH>
            <wp:positionV relativeFrom="paragraph">
              <wp:posOffset>-626745</wp:posOffset>
            </wp:positionV>
            <wp:extent cx="58420" cy="6400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3987165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6993255" cy="53378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255" cy="5337810"/>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Rutz Michael P</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right="260"/>
        <w:spacing w:after="0" w:line="380" w:lineRule="auto"/>
        <w:rPr>
          <w:sz w:val="20"/>
          <w:szCs w:val="20"/>
          <w:color w:val="auto"/>
        </w:rPr>
      </w:pPr>
      <w:r>
        <w:rPr>
          <w:rFonts w:ascii="Times New Roman" w:cs="Times New Roman" w:eastAsia="Times New Roman" w:hAnsi="Times New Roman"/>
          <w:sz w:val="16"/>
          <w:szCs w:val="16"/>
          <w:color w:val="0000FF"/>
        </w:rPr>
        <w:t>C/O SOTERA HEALTH COMPANY 9100 SOUTH HILLS BLVD, 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Sotera Health Co</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SHC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08"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11/20/2022</w:t>
      </w:r>
    </w:p>
    <w:p>
      <w:pPr>
        <w:spacing w:after="0" w:line="20" w:lineRule="exact"/>
        <w:rPr>
          <w:sz w:val="24"/>
          <w:szCs w:val="24"/>
          <w:color w:val="auto"/>
        </w:rPr>
      </w:pPr>
      <w:r>
        <w:rPr>
          <w:sz w:val="24"/>
          <w:szCs w:val="24"/>
          <w:color w:val="auto"/>
        </w:rPr>
        <w:br w:type="column"/>
      </w:r>
    </w:p>
    <w:p>
      <w:pPr>
        <w:ind w:left="-3" w:right="640" w:firstLine="3"/>
        <w:spacing w:after="0" w:line="259"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tbl>
      <w:tblPr>
        <w:tblLayout w:type="fixed"/>
        <w:tblInd w:w="197" w:type="dxa"/>
        <w:tblCellMar>
          <w:top w:w="0" w:type="dxa"/>
          <w:left w:w="0" w:type="dxa"/>
          <w:bottom w:w="0" w:type="dxa"/>
          <w:right w:w="0" w:type="dxa"/>
        </w:tblCellMar>
      </w:tblPr>
      <w:tr>
        <w:trPr>
          <w:trHeight w:val="169"/>
        </w:trPr>
        <w:tc>
          <w:tcPr>
            <w:tcW w:w="220" w:type="dxa"/>
            <w:vAlign w:val="bottom"/>
          </w:tcPr>
          <w:p>
            <w:pPr>
              <w:spacing w:after="0"/>
              <w:rPr>
                <w:sz w:val="14"/>
                <w:szCs w:val="14"/>
                <w:color w:val="auto"/>
              </w:rPr>
            </w:pPr>
          </w:p>
        </w:tc>
        <w:tc>
          <w:tcPr>
            <w:tcW w:w="136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7"/>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2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14"/>
        </w:trPr>
        <w:tc>
          <w:tcPr>
            <w:tcW w:w="220" w:type="dxa"/>
            <w:vAlign w:val="bottom"/>
            <w:vMerge w:val="continue"/>
          </w:tcPr>
          <w:p>
            <w:pPr>
              <w:spacing w:after="0"/>
              <w:rPr>
                <w:sz w:val="9"/>
                <w:szCs w:val="9"/>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797"/>
        <w:spacing w:after="0"/>
        <w:rPr>
          <w:sz w:val="20"/>
          <w:szCs w:val="20"/>
          <w:color w:val="auto"/>
        </w:rPr>
      </w:pPr>
      <w:r>
        <w:rPr>
          <w:rFonts w:ascii="Times New Roman" w:cs="Times New Roman" w:eastAsia="Times New Roman" w:hAnsi="Times New Roman"/>
          <w:sz w:val="17"/>
          <w:szCs w:val="17"/>
          <w:color w:val="0000FF"/>
        </w:rPr>
        <w:t>President of Sterigenics</w:t>
      </w:r>
    </w:p>
    <w:p>
      <w:pPr>
        <w:spacing w:after="0" w:line="540" w:lineRule="exact"/>
        <w:rPr>
          <w:sz w:val="24"/>
          <w:szCs w:val="24"/>
          <w:color w:val="auto"/>
        </w:rPr>
      </w:pPr>
    </w:p>
    <w:p>
      <w:pPr>
        <w:sectPr>
          <w:pgSz w:w="11900" w:h="16838" w:orient="portrait"/>
          <w:cols w:equalWidth="0" w:num="3">
            <w:col w:w="3180" w:space="720"/>
            <w:col w:w="3103" w:space="720"/>
            <w:col w:w="3357"/>
          </w:cols>
          <w:pgMar w:left="460" w:top="217" w:right="359" w:bottom="1440" w:gutter="0" w:footer="0" w:header="0"/>
          <w:type w:val="continuous"/>
        </w:sectPr>
      </w:pPr>
    </w:p>
    <w:p>
      <w:pPr>
        <w:spacing w:after="0" w:line="129"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9"/>
                <w:szCs w:val="19"/>
                <w:color w:val="auto"/>
              </w:rPr>
            </w:pP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BROADVIEW</w:t>
            </w:r>
          </w:p>
        </w:tc>
        <w:tc>
          <w:tcPr>
            <w:tcW w:w="90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OH</w:t>
            </w:r>
          </w:p>
        </w:tc>
        <w:tc>
          <w:tcPr>
            <w:tcW w:w="1600" w:type="dxa"/>
            <w:vAlign w:val="bottom"/>
            <w:vMerge w:val="restart"/>
          </w:tcPr>
          <w:p>
            <w:pPr>
              <w:ind w:left="420"/>
              <w:spacing w:after="0"/>
              <w:rPr>
                <w:sz w:val="20"/>
                <w:szCs w:val="20"/>
                <w:color w:val="auto"/>
              </w:rPr>
            </w:pPr>
            <w:r>
              <w:rPr>
                <w:rFonts w:ascii="Times New Roman" w:cs="Times New Roman" w:eastAsia="Times New Roman" w:hAnsi="Times New Roman"/>
                <w:sz w:val="17"/>
                <w:szCs w:val="17"/>
                <w:color w:val="0000FF"/>
              </w:rPr>
              <w:t>44147</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HEIGHTS</w:t>
            </w:r>
          </w:p>
        </w:tc>
        <w:tc>
          <w:tcPr>
            <w:tcW w:w="900" w:type="dxa"/>
            <w:vAlign w:val="bottom"/>
            <w:vMerge w:val="continue"/>
          </w:tcPr>
          <w:p>
            <w:pPr>
              <w:spacing w:after="0"/>
              <w:rPr>
                <w:sz w:val="9"/>
                <w:szCs w:val="9"/>
                <w:color w:val="auto"/>
              </w:rPr>
            </w:pPr>
          </w:p>
        </w:tc>
        <w:tc>
          <w:tcPr>
            <w:tcW w:w="1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14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1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Arial" w:cs="Arial" w:eastAsia="Arial" w:hAnsi="Arial"/>
                <w:sz w:val="13"/>
                <w:szCs w:val="13"/>
                <w:color w:val="auto"/>
              </w:rPr>
              <w:t>(City)</w:t>
            </w:r>
          </w:p>
        </w:tc>
        <w:tc>
          <w:tcPr>
            <w:tcW w:w="900" w:type="dxa"/>
            <w:vAlign w:val="bottom"/>
          </w:tcPr>
          <w:p>
            <w:pPr>
              <w:ind w:left="10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5"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ind w:left="4020"/>
        <w:spacing w:after="0" w:line="230" w:lineRule="auto"/>
        <w:tabs>
          <w:tab w:leader="none" w:pos="434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0"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484" w:lineRule="exact"/>
        <w:rPr>
          <w:sz w:val="24"/>
          <w:szCs w:val="24"/>
          <w:color w:val="auto"/>
        </w:rPr>
      </w:pPr>
    </w:p>
    <w:p>
      <w:pPr>
        <w:sectPr>
          <w:pgSz w:w="11900" w:h="16838" w:orient="portrait"/>
          <w:cols w:equalWidth="0" w:num="2">
            <w:col w:w="3740" w:space="160"/>
            <w:col w:w="718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560" w:type="dxa"/>
            <w:vAlign w:val="bottom"/>
          </w:tcPr>
          <w:p>
            <w:pPr>
              <w:spacing w:after="0"/>
              <w:rPr>
                <w:sz w:val="13"/>
                <w:szCs w:val="13"/>
                <w:color w:val="auto"/>
              </w:rPr>
            </w:pPr>
          </w:p>
        </w:tc>
        <w:tc>
          <w:tcPr>
            <w:tcW w:w="1300" w:type="dxa"/>
            <w:vAlign w:val="bottom"/>
            <w:gridSpan w:val="2"/>
          </w:tcPr>
          <w:p>
            <w:pPr>
              <w:ind w:left="220"/>
              <w:spacing w:after="0"/>
              <w:rPr>
                <w:sz w:val="20"/>
                <w:szCs w:val="20"/>
                <w:color w:val="auto"/>
              </w:rPr>
            </w:pPr>
            <w:r>
              <w:rPr>
                <w:rFonts w:ascii="Arial" w:cs="Arial" w:eastAsia="Arial" w:hAnsi="Arial"/>
                <w:sz w:val="12"/>
                <w:szCs w:val="12"/>
                <w:b w:val="1"/>
                <w:bCs w:val="1"/>
                <w:color w:val="auto"/>
              </w:rPr>
              <w:t>2. Transaction</w:t>
            </w:r>
          </w:p>
        </w:tc>
        <w:tc>
          <w:tcPr>
            <w:tcW w:w="78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240" w:type="dxa"/>
            <w:vAlign w:val="bottom"/>
          </w:tcPr>
          <w:p>
            <w:pPr>
              <w:spacing w:after="0"/>
              <w:rPr>
                <w:sz w:val="13"/>
                <w:szCs w:val="13"/>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3"/>
                <w:szCs w:val="13"/>
                <w:color w:val="auto"/>
              </w:rPr>
            </w:pPr>
          </w:p>
        </w:tc>
        <w:tc>
          <w:tcPr>
            <w:tcW w:w="176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ind w:left="22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102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76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w w:val="96"/>
              </w:rPr>
              <w:t>Disposed Of (D) (Instr. 3, 4 and</w:t>
            </w:r>
          </w:p>
        </w:tc>
        <w:tc>
          <w:tcPr>
            <w:tcW w:w="160" w:type="dxa"/>
            <w:vAlign w:val="bottom"/>
          </w:tcPr>
          <w:p>
            <w:pPr>
              <w:spacing w:after="0"/>
              <w:rPr>
                <w:sz w:val="11"/>
                <w:szCs w:val="11"/>
                <w:color w:val="auto"/>
              </w:rPr>
            </w:pPr>
          </w:p>
        </w:tc>
        <w:tc>
          <w:tcPr>
            <w:tcW w:w="12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00" w:type="dxa"/>
            <w:vAlign w:val="bottom"/>
            <w:gridSpan w:val="2"/>
          </w:tcPr>
          <w:p>
            <w:pPr>
              <w:ind w:left="22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spacing w:after="0" w:line="129" w:lineRule="exact"/>
              <w:rPr>
                <w:sz w:val="20"/>
                <w:szCs w:val="20"/>
                <w:color w:val="auto"/>
              </w:rPr>
            </w:pPr>
            <w:r>
              <w:rPr>
                <w:rFonts w:ascii="Arial" w:cs="Arial" w:eastAsia="Arial" w:hAnsi="Arial"/>
                <w:sz w:val="12"/>
                <w:szCs w:val="12"/>
                <w:b w:val="1"/>
                <w:bCs w:val="1"/>
                <w:color w:val="auto"/>
              </w:rPr>
              <w:t>if any</w:t>
            </w:r>
          </w:p>
        </w:tc>
        <w:tc>
          <w:tcPr>
            <w:tcW w:w="24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560" w:type="dxa"/>
            <w:vAlign w:val="bottom"/>
          </w:tcPr>
          <w:p>
            <w:pPr>
              <w:spacing w:after="0"/>
              <w:rPr>
                <w:sz w:val="6"/>
                <w:szCs w:val="6"/>
                <w:color w:val="auto"/>
              </w:rPr>
            </w:pPr>
          </w:p>
        </w:tc>
        <w:tc>
          <w:tcPr>
            <w:tcW w:w="5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240" w:type="dxa"/>
            <w:vAlign w:val="bottom"/>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60" w:type="dxa"/>
            <w:vAlign w:val="bottom"/>
          </w:tcPr>
          <w:p>
            <w:pPr>
              <w:spacing w:after="0"/>
              <w:rPr>
                <w:sz w:val="3"/>
                <w:szCs w:val="3"/>
                <w:color w:val="auto"/>
              </w:rPr>
            </w:pPr>
          </w:p>
        </w:tc>
        <w:tc>
          <w:tcPr>
            <w:tcW w:w="58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00" w:type="dxa"/>
            <w:vAlign w:val="bottom"/>
            <w:vMerge w:val="restart"/>
          </w:tcPr>
          <w:p>
            <w:pPr>
              <w:ind w:left="40"/>
              <w:spacing w:after="0"/>
              <w:rPr>
                <w:sz w:val="20"/>
                <w:szCs w:val="20"/>
                <w:color w:val="auto"/>
              </w:rPr>
            </w:pPr>
            <w:r>
              <w:rPr>
                <w:rFonts w:ascii="Arial" w:cs="Arial" w:eastAsia="Arial" w:hAnsi="Arial"/>
                <w:sz w:val="12"/>
                <w:szCs w:val="12"/>
                <w:b w:val="1"/>
                <w:bCs w:val="1"/>
                <w:color w:val="auto"/>
                <w:w w:val="96"/>
              </w:rPr>
              <w:t>Amount</w:t>
            </w:r>
          </w:p>
        </w:tc>
        <w:tc>
          <w:tcPr>
            <w:tcW w:w="140" w:type="dxa"/>
            <w:vAlign w:val="bottom"/>
          </w:tcPr>
          <w:p>
            <w:pPr>
              <w:spacing w:after="0"/>
              <w:rPr>
                <w:sz w:val="11"/>
                <w:szCs w:val="11"/>
                <w:color w:val="auto"/>
              </w:rPr>
            </w:pPr>
          </w:p>
        </w:tc>
        <w:tc>
          <w:tcPr>
            <w:tcW w:w="520" w:type="dxa"/>
            <w:vAlign w:val="bottom"/>
          </w:tcPr>
          <w:p>
            <w:pPr>
              <w:ind w:left="220"/>
              <w:spacing w:after="0" w:line="129" w:lineRule="exact"/>
              <w:rPr>
                <w:sz w:val="20"/>
                <w:szCs w:val="20"/>
                <w:color w:val="auto"/>
              </w:rPr>
            </w:pPr>
            <w:r>
              <w:rPr>
                <w:rFonts w:ascii="Arial" w:cs="Arial" w:eastAsia="Arial" w:hAnsi="Arial"/>
                <w:sz w:val="12"/>
                <w:szCs w:val="12"/>
                <w:b w:val="1"/>
                <w:bCs w:val="1"/>
                <w:color w:val="auto"/>
                <w:w w:val="87"/>
              </w:rPr>
              <w:t>(A) or</w:t>
            </w: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60" w:type="dxa"/>
            <w:vAlign w:val="bottom"/>
          </w:tcPr>
          <w:p>
            <w:pPr>
              <w:spacing w:after="0"/>
              <w:rPr>
                <w:sz w:val="8"/>
                <w:szCs w:val="8"/>
                <w:color w:val="auto"/>
              </w:rPr>
            </w:pPr>
          </w:p>
        </w:tc>
        <w:tc>
          <w:tcPr>
            <w:tcW w:w="58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0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5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3060" w:type="dxa"/>
            <w:vAlign w:val="bottom"/>
            <w:tcBorders>
              <w:bottom w:val="single" w:sz="8" w:color="2C2C2C"/>
            </w:tcBorders>
            <w:gridSpan w:val="4"/>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306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$0.01 par value per share</w:t>
            </w:r>
          </w:p>
        </w:tc>
        <w:tc>
          <w:tcPr>
            <w:tcW w:w="1300" w:type="dxa"/>
            <w:vAlign w:val="bottom"/>
            <w:gridSpan w:val="2"/>
            <w:vMerge w:val="restart"/>
          </w:tcPr>
          <w:p>
            <w:pPr>
              <w:jc w:val="center"/>
              <w:ind w:left="32"/>
              <w:spacing w:after="0"/>
              <w:rPr>
                <w:sz w:val="20"/>
                <w:szCs w:val="20"/>
                <w:color w:val="auto"/>
              </w:rPr>
            </w:pPr>
            <w:r>
              <w:rPr>
                <w:rFonts w:ascii="Times New Roman" w:cs="Times New Roman" w:eastAsia="Times New Roman" w:hAnsi="Times New Roman"/>
                <w:sz w:val="17"/>
                <w:szCs w:val="17"/>
                <w:color w:val="0000FF"/>
                <w:w w:val="98"/>
              </w:rPr>
              <w:t>11/20/2022</w:t>
            </w:r>
          </w:p>
        </w:tc>
        <w:tc>
          <w:tcPr>
            <w:tcW w:w="7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200" w:type="dxa"/>
            <w:vAlign w:val="bottom"/>
          </w:tcPr>
          <w:p>
            <w:pPr>
              <w:spacing w:after="0"/>
              <w:rPr>
                <w:sz w:val="21"/>
                <w:szCs w:val="21"/>
                <w:color w:val="auto"/>
              </w:rPr>
            </w:pPr>
          </w:p>
        </w:tc>
        <w:tc>
          <w:tcPr>
            <w:tcW w:w="6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7"/>
                <w:szCs w:val="17"/>
                <w:color w:val="0000FF"/>
                <w:w w:val="87"/>
              </w:rPr>
              <w:t>1,911</w:t>
            </w:r>
            <w:r>
              <w:rPr>
                <w:rFonts w:ascii="Times New Roman" w:cs="Times New Roman" w:eastAsia="Times New Roman" w:hAnsi="Times New Roman"/>
                <w:sz w:val="21"/>
                <w:szCs w:val="21"/>
                <w:color w:val="008000"/>
                <w:w w:val="87"/>
                <w:vertAlign w:val="superscript"/>
              </w:rPr>
              <w:t>(1)</w:t>
            </w:r>
          </w:p>
        </w:tc>
        <w:tc>
          <w:tcPr>
            <w:tcW w:w="5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gridSpan w:val="2"/>
            <w:vMerge w:val="restart"/>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6.02</w:t>
            </w:r>
            <w:r>
              <w:rPr>
                <w:rFonts w:ascii="Times New Roman" w:cs="Times New Roman" w:eastAsia="Times New Roman" w:hAnsi="Times New Roman"/>
                <w:sz w:val="21"/>
                <w:szCs w:val="21"/>
                <w:color w:val="008000"/>
                <w:vertAlign w:val="superscript"/>
              </w:rPr>
              <w:t>(2)</w:t>
            </w:r>
          </w:p>
        </w:tc>
        <w:tc>
          <w:tcPr>
            <w:tcW w:w="1220" w:type="dxa"/>
            <w:vAlign w:val="bottom"/>
            <w:gridSpan w:val="2"/>
            <w:vMerge w:val="restart"/>
          </w:tcPr>
          <w:p>
            <w:pPr>
              <w:ind w:left="240"/>
              <w:spacing w:after="0"/>
              <w:rPr>
                <w:sz w:val="20"/>
                <w:szCs w:val="20"/>
                <w:color w:val="auto"/>
              </w:rPr>
            </w:pPr>
            <w:r>
              <w:rPr>
                <w:rFonts w:ascii="Times New Roman" w:cs="Times New Roman" w:eastAsia="Times New Roman" w:hAnsi="Times New Roman"/>
                <w:sz w:val="17"/>
                <w:szCs w:val="17"/>
                <w:color w:val="0000FF"/>
              </w:rPr>
              <w:t>575,183</w:t>
            </w:r>
            <w:r>
              <w:rPr>
                <w:rFonts w:ascii="Times New Roman" w:cs="Times New Roman" w:eastAsia="Times New Roman" w:hAnsi="Times New Roman"/>
                <w:sz w:val="21"/>
                <w:szCs w:val="21"/>
                <w:color w:val="008000"/>
                <w:vertAlign w:val="superscript"/>
              </w:rPr>
              <w:t>(3)</w:t>
            </w:r>
          </w:p>
        </w:tc>
        <w:tc>
          <w:tcPr>
            <w:tcW w:w="260" w:type="dxa"/>
            <w:vAlign w:val="bottom"/>
          </w:tcPr>
          <w:p>
            <w:pPr>
              <w:spacing w:after="0"/>
              <w:rPr>
                <w:sz w:val="21"/>
                <w:szCs w:val="21"/>
                <w:color w:val="auto"/>
              </w:rPr>
            </w:pPr>
          </w:p>
        </w:tc>
        <w:tc>
          <w:tcPr>
            <w:tcW w:w="6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4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460" w:type="dxa"/>
            <w:vAlign w:val="bottom"/>
            <w:gridSpan w:val="2"/>
            <w:vMerge w:val="continue"/>
          </w:tcPr>
          <w:p>
            <w:pPr>
              <w:spacing w:after="0"/>
              <w:rPr>
                <w:sz w:val="4"/>
                <w:szCs w:val="4"/>
                <w:color w:val="auto"/>
              </w:rPr>
            </w:pPr>
          </w:p>
        </w:tc>
        <w:tc>
          <w:tcPr>
            <w:tcW w:w="1040" w:type="dxa"/>
            <w:vAlign w:val="bottom"/>
          </w:tcPr>
          <w:p>
            <w:pPr>
              <w:spacing w:after="0"/>
              <w:rPr>
                <w:sz w:val="4"/>
                <w:szCs w:val="4"/>
                <w:color w:val="auto"/>
              </w:rPr>
            </w:pPr>
          </w:p>
        </w:tc>
        <w:tc>
          <w:tcPr>
            <w:tcW w:w="560" w:type="dxa"/>
            <w:vAlign w:val="bottom"/>
          </w:tcPr>
          <w:p>
            <w:pPr>
              <w:spacing w:after="0"/>
              <w:rPr>
                <w:sz w:val="4"/>
                <w:szCs w:val="4"/>
                <w:color w:val="auto"/>
              </w:rPr>
            </w:pPr>
          </w:p>
        </w:tc>
        <w:tc>
          <w:tcPr>
            <w:tcW w:w="580" w:type="dxa"/>
            <w:vAlign w:val="bottom"/>
          </w:tcPr>
          <w:p>
            <w:pPr>
              <w:spacing w:after="0"/>
              <w:rPr>
                <w:sz w:val="4"/>
                <w:szCs w:val="4"/>
                <w:color w:val="auto"/>
              </w:rPr>
            </w:pPr>
          </w:p>
        </w:tc>
        <w:tc>
          <w:tcPr>
            <w:tcW w:w="7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9"/>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6200" w:type="dxa"/>
            <w:vAlign w:val="bottom"/>
            <w:tcBorders>
              <w:bottom w:val="single" w:sz="8" w:color="2C2C2C"/>
            </w:tcBorders>
            <w:gridSpan w:val="13"/>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3"/>
          </w:tcPr>
          <w:p>
            <w:pPr>
              <w:jc w:val="center"/>
              <w:ind w:right="99"/>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2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880" w:type="dxa"/>
            <w:vAlign w:val="bottom"/>
            <w:gridSpan w:val="10"/>
          </w:tcPr>
          <w:p>
            <w:pPr>
              <w:jc w:val="center"/>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540" w:type="dxa"/>
            <w:vAlign w:val="bottom"/>
            <w:tcBorders>
              <w:bottom w:val="single" w:sz="8" w:color="2C2C2C"/>
            </w:tcBorders>
            <w:gridSpan w:val="4"/>
          </w:tcPr>
          <w:p>
            <w:pPr>
              <w:spacing w:after="0"/>
              <w:rPr>
                <w:sz w:val="2"/>
                <w:szCs w:val="2"/>
                <w:color w:val="auto"/>
              </w:rPr>
            </w:pPr>
          </w:p>
        </w:tc>
        <w:tc>
          <w:tcPr>
            <w:tcW w:w="1260" w:type="dxa"/>
            <w:vAlign w:val="bottom"/>
            <w:tcBorders>
              <w:bottom w:val="single" w:sz="8" w:color="2C2C2C"/>
            </w:tcBorders>
            <w:gridSpan w:val="3"/>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jc w:val="center"/>
              <w:ind w:right="442"/>
              <w:spacing w:after="0"/>
              <w:rPr>
                <w:sz w:val="20"/>
                <w:szCs w:val="20"/>
                <w:color w:val="auto"/>
              </w:rPr>
            </w:pPr>
            <w:r>
              <w:rPr>
                <w:rFonts w:ascii="Arial" w:cs="Arial" w:eastAsia="Arial" w:hAnsi="Arial"/>
                <w:sz w:val="12"/>
                <w:szCs w:val="12"/>
                <w:b w:val="1"/>
                <w:bCs w:val="1"/>
                <w:color w:val="auto"/>
                <w:w w:val="99"/>
              </w:rPr>
              <w:t>4.</w:t>
            </w:r>
          </w:p>
        </w:tc>
        <w:tc>
          <w:tcPr>
            <w:tcW w:w="78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 Amount</w:t>
            </w: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7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w:t>
            </w:r>
          </w:p>
        </w:tc>
        <w:tc>
          <w:tcPr>
            <w:tcW w:w="104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12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of Securities</w:t>
            </w: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5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580" w:type="dxa"/>
            <w:vAlign w:val="bottom"/>
          </w:tcPr>
          <w:p>
            <w:pPr>
              <w:spacing w:after="0"/>
              <w:rPr>
                <w:sz w:val="11"/>
                <w:szCs w:val="11"/>
                <w:color w:val="auto"/>
              </w:rPr>
            </w:pP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7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500" w:type="dxa"/>
            <w:vAlign w:val="bottom"/>
          </w:tcPr>
          <w:p>
            <w:pPr>
              <w:spacing w:after="0"/>
              <w:rPr>
                <w:sz w:val="11"/>
                <w:szCs w:val="11"/>
                <w:color w:val="auto"/>
              </w:rPr>
            </w:pPr>
          </w:p>
        </w:tc>
        <w:tc>
          <w:tcPr>
            <w:tcW w:w="6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5"/>
              </w:rPr>
              <w:t>Underlying</w:t>
            </w:r>
          </w:p>
        </w:tc>
        <w:tc>
          <w:tcPr>
            <w:tcW w:w="600" w:type="dxa"/>
            <w:vAlign w:val="bottom"/>
          </w:tcPr>
          <w:p>
            <w:pPr>
              <w:spacing w:after="0"/>
              <w:rPr>
                <w:sz w:val="11"/>
                <w:szCs w:val="11"/>
                <w:color w:val="auto"/>
              </w:rPr>
            </w:pP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jc w:val="center"/>
              <w:ind w:right="442"/>
              <w:spacing w:after="0" w:line="129" w:lineRule="exact"/>
              <w:rPr>
                <w:sz w:val="20"/>
                <w:szCs w:val="20"/>
                <w:color w:val="auto"/>
              </w:rPr>
            </w:pPr>
            <w:r>
              <w:rPr>
                <w:rFonts w:ascii="Arial" w:cs="Arial" w:eastAsia="Arial" w:hAnsi="Arial"/>
                <w:sz w:val="12"/>
                <w:szCs w:val="12"/>
                <w:b w:val="1"/>
                <w:bCs w:val="1"/>
                <w:color w:val="auto"/>
                <w:w w:val="93"/>
              </w:rPr>
              <w:t>8)</w:t>
            </w:r>
          </w:p>
        </w:tc>
        <w:tc>
          <w:tcPr>
            <w:tcW w:w="7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Acquired</w:t>
            </w: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Disposed</w:t>
            </w: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 (D)</w:t>
            </w: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(Instr. 3, 4</w:t>
            </w: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60" w:type="dxa"/>
            <w:vAlign w:val="bottom"/>
          </w:tcPr>
          <w:p>
            <w:pPr>
              <w:spacing w:after="0"/>
              <w:rPr>
                <w:sz w:val="3"/>
                <w:szCs w:val="3"/>
                <w:color w:val="auto"/>
              </w:rPr>
            </w:pPr>
          </w:p>
        </w:tc>
        <w:tc>
          <w:tcPr>
            <w:tcW w:w="58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Expiration</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8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Date</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tcPr>
          <w:p>
            <w:pPr>
              <w:spacing w:after="0"/>
              <w:rPr>
                <w:sz w:val="20"/>
                <w:szCs w:val="20"/>
                <w:color w:val="auto"/>
              </w:rPr>
            </w:pPr>
            <w:r>
              <w:rPr>
                <w:rFonts w:ascii="Arial" w:cs="Arial" w:eastAsia="Arial" w:hAnsi="Arial"/>
                <w:sz w:val="12"/>
                <w:szCs w:val="12"/>
                <w:b w:val="1"/>
                <w:bCs w:val="1"/>
                <w:color w:val="auto"/>
              </w:rPr>
              <w:t>of Shares</w:t>
            </w: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restart"/>
          </w:tcPr>
          <w:p>
            <w:pPr>
              <w:jc w:val="center"/>
              <w:ind w:right="2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23</w:t>
            </w:r>
          </w:p>
        </w:tc>
        <w:tc>
          <w:tcPr>
            <w:tcW w:w="10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vMerge w:val="restart"/>
          </w:tcPr>
          <w:p>
            <w:pPr>
              <w:jc w:val="center"/>
              <w:ind w:right="222"/>
              <w:spacing w:after="0"/>
              <w:rPr>
                <w:sz w:val="20"/>
                <w:szCs w:val="20"/>
                <w:color w:val="auto"/>
              </w:rPr>
            </w:pPr>
            <w:r>
              <w:rPr>
                <w:rFonts w:ascii="Times New Roman" w:cs="Times New Roman" w:eastAsia="Times New Roman" w:hAnsi="Times New Roman"/>
                <w:sz w:val="11"/>
                <w:szCs w:val="11"/>
                <w:color w:val="008000"/>
                <w:w w:val="93"/>
              </w:rPr>
              <w:t>(5)</w:t>
            </w:r>
          </w:p>
        </w:tc>
        <w:tc>
          <w:tcPr>
            <w:tcW w:w="70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0000FF"/>
              </w:rPr>
              <w:t>11/20/2030</w:t>
            </w:r>
          </w:p>
        </w:tc>
        <w:tc>
          <w:tcPr>
            <w:tcW w:w="66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w w:val="94"/>
              </w:rPr>
              <w:t>111,801</w:t>
            </w: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0000FF"/>
              </w:rPr>
              <w:t>111,801</w:t>
            </w:r>
          </w:p>
        </w:tc>
        <w:tc>
          <w:tcPr>
            <w:tcW w:w="260" w:type="dxa"/>
            <w:vAlign w:val="bottom"/>
          </w:tcPr>
          <w:p>
            <w:pPr>
              <w:spacing w:after="0"/>
              <w:rPr>
                <w:sz w:val="15"/>
                <w:szCs w:val="15"/>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ind w:left="60"/>
              <w:spacing w:after="0" w:line="65" w:lineRule="exact"/>
              <w:rPr>
                <w:sz w:val="20"/>
                <w:szCs w:val="20"/>
                <w:color w:val="auto"/>
              </w:rPr>
            </w:pPr>
            <w:r>
              <w:rPr>
                <w:rFonts w:ascii="Times New Roman" w:cs="Times New Roman" w:eastAsia="Times New Roman" w:hAnsi="Times New Roman"/>
                <w:sz w:val="6"/>
                <w:szCs w:val="6"/>
                <w:color w:val="0000FF"/>
              </w:rPr>
              <w:t>Options</w:t>
            </w:r>
            <w:r>
              <w:rPr>
                <w:rFonts w:ascii="Times New Roman" w:cs="Times New Roman" w:eastAsia="Times New Roman" w:hAnsi="Times New Roman"/>
                <w:sz w:val="7"/>
                <w:szCs w:val="7"/>
                <w:color w:val="008000"/>
                <w:vertAlign w:val="superscript"/>
              </w:rPr>
              <w:t>(4)</w:t>
            </w:r>
          </w:p>
        </w:tc>
        <w:tc>
          <w:tcPr>
            <w:tcW w:w="780" w:type="dxa"/>
            <w:vAlign w:val="bottom"/>
            <w:vMerge w:val="continue"/>
          </w:tcPr>
          <w:p>
            <w:pPr>
              <w:spacing w:after="0"/>
              <w:rPr>
                <w:sz w:val="5"/>
                <w:szCs w:val="5"/>
                <w:color w:val="auto"/>
              </w:rPr>
            </w:pPr>
          </w:p>
        </w:tc>
        <w:tc>
          <w:tcPr>
            <w:tcW w:w="1040" w:type="dxa"/>
            <w:vAlign w:val="bottom"/>
          </w:tcPr>
          <w:p>
            <w:pPr>
              <w:spacing w:after="0"/>
              <w:rPr>
                <w:sz w:val="5"/>
                <w:szCs w:val="5"/>
                <w:color w:val="auto"/>
              </w:rPr>
            </w:pPr>
          </w:p>
        </w:tc>
        <w:tc>
          <w:tcPr>
            <w:tcW w:w="5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tcPr>
          <w:p>
            <w:pPr>
              <w:spacing w:after="0" w:line="65" w:lineRule="exact"/>
              <w:rPr>
                <w:sz w:val="20"/>
                <w:szCs w:val="20"/>
                <w:color w:val="auto"/>
              </w:rPr>
            </w:pPr>
            <w:r>
              <w:rPr>
                <w:rFonts w:ascii="Times New Roman" w:cs="Times New Roman" w:eastAsia="Times New Roman" w:hAnsi="Times New Roman"/>
                <w:sz w:val="6"/>
                <w:szCs w:val="6"/>
                <w:color w:val="0000FF"/>
              </w:rPr>
              <w:t>Stock</w:t>
            </w:r>
          </w:p>
        </w:tc>
        <w:tc>
          <w:tcPr>
            <w:tcW w:w="60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1040" w:type="dxa"/>
            <w:vAlign w:val="bottom"/>
          </w:tcPr>
          <w:p>
            <w:pPr>
              <w:spacing w:after="0"/>
              <w:rPr>
                <w:sz w:val="3"/>
                <w:szCs w:val="3"/>
                <w:color w:val="auto"/>
              </w:rPr>
            </w:pPr>
          </w:p>
        </w:tc>
        <w:tc>
          <w:tcPr>
            <w:tcW w:w="560" w:type="dxa"/>
            <w:vAlign w:val="bottom"/>
          </w:tcPr>
          <w:p>
            <w:pPr>
              <w:spacing w:after="0"/>
              <w:rPr>
                <w:sz w:val="3"/>
                <w:szCs w:val="3"/>
                <w:color w:val="auto"/>
              </w:rPr>
            </w:pPr>
          </w:p>
        </w:tc>
        <w:tc>
          <w:tcPr>
            <w:tcW w:w="58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4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70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104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gridSpan w:val="2"/>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restart"/>
          </w:tcPr>
          <w:p>
            <w:pPr>
              <w:jc w:val="center"/>
              <w:ind w:right="12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20.03</w:t>
            </w:r>
          </w:p>
        </w:tc>
        <w:tc>
          <w:tcPr>
            <w:tcW w:w="10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vMerge w:val="restart"/>
          </w:tcPr>
          <w:p>
            <w:pPr>
              <w:jc w:val="center"/>
              <w:ind w:right="222"/>
              <w:spacing w:after="0"/>
              <w:rPr>
                <w:sz w:val="20"/>
                <w:szCs w:val="20"/>
                <w:color w:val="auto"/>
              </w:rPr>
            </w:pPr>
            <w:r>
              <w:rPr>
                <w:rFonts w:ascii="Times New Roman" w:cs="Times New Roman" w:eastAsia="Times New Roman" w:hAnsi="Times New Roman"/>
                <w:sz w:val="11"/>
                <w:szCs w:val="11"/>
                <w:color w:val="008000"/>
                <w:w w:val="93"/>
              </w:rPr>
              <w:t>(6)</w:t>
            </w:r>
          </w:p>
        </w:tc>
        <w:tc>
          <w:tcPr>
            <w:tcW w:w="70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0000FF"/>
              </w:rPr>
              <w:t>03/02/2032</w:t>
            </w:r>
          </w:p>
        </w:tc>
        <w:tc>
          <w:tcPr>
            <w:tcW w:w="66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600" w:type="dxa"/>
            <w:vAlign w:val="bottom"/>
            <w:vMerge w:val="restart"/>
          </w:tcPr>
          <w:p>
            <w:pPr>
              <w:jc w:val="right"/>
              <w:ind w:right="32"/>
              <w:spacing w:after="0"/>
              <w:rPr>
                <w:sz w:val="20"/>
                <w:szCs w:val="20"/>
                <w:color w:val="auto"/>
              </w:rPr>
            </w:pPr>
            <w:r>
              <w:rPr>
                <w:rFonts w:ascii="Times New Roman" w:cs="Times New Roman" w:eastAsia="Times New Roman" w:hAnsi="Times New Roman"/>
                <w:sz w:val="17"/>
                <w:szCs w:val="17"/>
                <w:color w:val="0000FF"/>
              </w:rPr>
              <w:t>63,857</w:t>
            </w: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0000FF"/>
              </w:rPr>
              <w:t>63,857</w:t>
            </w:r>
          </w:p>
        </w:tc>
        <w:tc>
          <w:tcPr>
            <w:tcW w:w="260" w:type="dxa"/>
            <w:vAlign w:val="bottom"/>
          </w:tcPr>
          <w:p>
            <w:pPr>
              <w:spacing w:after="0"/>
              <w:rPr>
                <w:sz w:val="15"/>
                <w:szCs w:val="15"/>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ind w:left="60"/>
              <w:spacing w:after="0" w:line="65" w:lineRule="exact"/>
              <w:rPr>
                <w:sz w:val="20"/>
                <w:szCs w:val="20"/>
                <w:color w:val="auto"/>
              </w:rPr>
            </w:pPr>
            <w:r>
              <w:rPr>
                <w:rFonts w:ascii="Times New Roman" w:cs="Times New Roman" w:eastAsia="Times New Roman" w:hAnsi="Times New Roman"/>
                <w:sz w:val="6"/>
                <w:szCs w:val="6"/>
                <w:color w:val="0000FF"/>
              </w:rPr>
              <w:t>Options</w:t>
            </w:r>
            <w:r>
              <w:rPr>
                <w:rFonts w:ascii="Times New Roman" w:cs="Times New Roman" w:eastAsia="Times New Roman" w:hAnsi="Times New Roman"/>
                <w:sz w:val="7"/>
                <w:szCs w:val="7"/>
                <w:color w:val="008000"/>
                <w:vertAlign w:val="superscript"/>
              </w:rPr>
              <w:t>(4)</w:t>
            </w:r>
          </w:p>
        </w:tc>
        <w:tc>
          <w:tcPr>
            <w:tcW w:w="780" w:type="dxa"/>
            <w:vAlign w:val="bottom"/>
            <w:vMerge w:val="continue"/>
          </w:tcPr>
          <w:p>
            <w:pPr>
              <w:spacing w:after="0"/>
              <w:rPr>
                <w:sz w:val="5"/>
                <w:szCs w:val="5"/>
                <w:color w:val="auto"/>
              </w:rPr>
            </w:pPr>
          </w:p>
        </w:tc>
        <w:tc>
          <w:tcPr>
            <w:tcW w:w="1040" w:type="dxa"/>
            <w:vAlign w:val="bottom"/>
          </w:tcPr>
          <w:p>
            <w:pPr>
              <w:spacing w:after="0"/>
              <w:rPr>
                <w:sz w:val="5"/>
                <w:szCs w:val="5"/>
                <w:color w:val="auto"/>
              </w:rPr>
            </w:pPr>
          </w:p>
        </w:tc>
        <w:tc>
          <w:tcPr>
            <w:tcW w:w="5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tcPr>
          <w:p>
            <w:pPr>
              <w:spacing w:after="0" w:line="65" w:lineRule="exact"/>
              <w:rPr>
                <w:sz w:val="20"/>
                <w:szCs w:val="20"/>
                <w:color w:val="auto"/>
              </w:rPr>
            </w:pPr>
            <w:r>
              <w:rPr>
                <w:rFonts w:ascii="Times New Roman" w:cs="Times New Roman" w:eastAsia="Times New Roman" w:hAnsi="Times New Roman"/>
                <w:sz w:val="6"/>
                <w:szCs w:val="6"/>
                <w:color w:val="0000FF"/>
              </w:rPr>
              <w:t>Stock</w:t>
            </w:r>
          </w:p>
        </w:tc>
        <w:tc>
          <w:tcPr>
            <w:tcW w:w="60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1040" w:type="dxa"/>
            <w:vAlign w:val="bottom"/>
          </w:tcPr>
          <w:p>
            <w:pPr>
              <w:spacing w:after="0"/>
              <w:rPr>
                <w:sz w:val="3"/>
                <w:szCs w:val="3"/>
                <w:color w:val="auto"/>
              </w:rPr>
            </w:pPr>
          </w:p>
        </w:tc>
        <w:tc>
          <w:tcPr>
            <w:tcW w:w="560" w:type="dxa"/>
            <w:vAlign w:val="bottom"/>
          </w:tcPr>
          <w:p>
            <w:pPr>
              <w:spacing w:after="0"/>
              <w:rPr>
                <w:sz w:val="3"/>
                <w:szCs w:val="3"/>
                <w:color w:val="auto"/>
              </w:rPr>
            </w:pPr>
          </w:p>
        </w:tc>
        <w:tc>
          <w:tcPr>
            <w:tcW w:w="58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4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70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104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-2217420</wp:posOffset>
            </wp:positionV>
            <wp:extent cx="29210" cy="22225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22250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jc w:val="both"/>
        <w:ind w:left="40" w:right="380" w:firstLine="2"/>
        <w:spacing w:after="0" w:line="242"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represent the number of shares of Common Stock withheld by the Issuer to satisfy the Reporting Person's tax withholding obligations due upon the vesting of 6,521 Restricted Stock Units ("RSUs"), which represents 25% of the RSU award granted to the Reporting Person on November 20, 2020. This RSU award was granted pursuant to the terms of an RSU agreement under the Sotera Health Company 2020 Omnibus Incentive Plan ("2020 Incentive Plan"). Each RSU represents the Reporting Person's right to receive one share of Common Stock, subject to vesting conditions.</w:t>
      </w:r>
    </w:p>
    <w:p>
      <w:pPr>
        <w:spacing w:after="0" w:line="25"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closing price of the Company's Common Stock on November 18, 2022.</w:t>
      </w:r>
    </w:p>
    <w:p>
      <w:pPr>
        <w:spacing w:after="0" w:line="44" w:lineRule="exact"/>
        <w:rPr>
          <w:rFonts w:ascii="Times New Roman" w:cs="Times New Roman" w:eastAsia="Times New Roman" w:hAnsi="Times New Roman"/>
          <w:sz w:val="13"/>
          <w:szCs w:val="13"/>
          <w:color w:val="008000"/>
        </w:rPr>
      </w:pPr>
    </w:p>
    <w:p>
      <w:pPr>
        <w:ind w:left="40" w:right="16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consist of 38,005 RSUs and 537,178 shares of Common Stock. 250,495 of the shares of Common Stock are vested, and 286,683 shares of Common Stock remain subject to vesting conditions. Shares of unvested Common Stock will vest on a daily basis, pro rata through May 13, 2025 (the five year anniversary of the date of grant).</w:t>
      </w:r>
    </w:p>
    <w:p>
      <w:pPr>
        <w:spacing w:after="0" w:line="1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No transaction is being reported on this line. Reported on a previously filed Form 4.</w:t>
      </w:r>
    </w:p>
    <w:p>
      <w:pPr>
        <w:spacing w:after="0" w:line="44" w:lineRule="exact"/>
        <w:rPr>
          <w:rFonts w:ascii="Times New Roman" w:cs="Times New Roman" w:eastAsia="Times New Roman" w:hAnsi="Times New Roman"/>
          <w:sz w:val="13"/>
          <w:szCs w:val="13"/>
          <w:color w:val="008000"/>
        </w:rPr>
      </w:pPr>
    </w:p>
    <w:p>
      <w:pPr>
        <w:ind w:left="40" w:right="320" w:firstLine="2"/>
        <w:spacing w:after="0" w:line="242"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options were granted on November 20, 2020, pursuant to the terms of a stock option agreement under the 2020 Incentive Plan. 25% of the options vested on November 20, 2021. 25% of the options vested on November 20, 2022, and the remaining unvested options vest in two equal installments on the next two anniversaries of the date of grant, subject to the Reporting Person's continued service through each such date.</w:t>
      </w:r>
    </w:p>
    <w:p>
      <w:pPr>
        <w:spacing w:after="0" w:line="25" w:lineRule="exact"/>
        <w:rPr>
          <w:rFonts w:ascii="Times New Roman" w:cs="Times New Roman" w:eastAsia="Times New Roman" w:hAnsi="Times New Roman"/>
          <w:sz w:val="13"/>
          <w:szCs w:val="13"/>
          <w:color w:val="008000"/>
        </w:rPr>
      </w:pPr>
    </w:p>
    <w:p>
      <w:pPr>
        <w:ind w:left="40" w:right="74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options were granted on March 2, 2022, pursuant to the terms of a stock option agreement under the 2020 Incentive Plan. The options vest in three equal installments on each of the first three anniversaries of the date of grant, subject to the Reporting Person's continued service through each such date.</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The Power of Attorney for Mr. Rutz is filed as an exhibit to the Form 3 filed on November 20, 2020, which is hereby incorporated by reference.</w:t>
      </w:r>
    </w:p>
    <w:p>
      <w:pPr>
        <w:spacing w:after="0" w:line="55" w:lineRule="exact"/>
        <w:rPr>
          <w:sz w:val="24"/>
          <w:szCs w:val="24"/>
          <w:color w:val="auto"/>
        </w:rPr>
      </w:pPr>
    </w:p>
    <w:tbl>
      <w:tblPr>
        <w:tblLayout w:type="fixed"/>
        <w:tblInd w:w="40" w:type="dxa"/>
        <w:tblCellMar>
          <w:top w:w="0" w:type="dxa"/>
          <w:left w:w="0" w:type="dxa"/>
          <w:bottom w:w="0" w:type="dxa"/>
          <w:right w:w="0" w:type="dxa"/>
        </w:tblCellMar>
      </w:tblPr>
      <w:tr>
        <w:trPr>
          <w:trHeight w:val="195"/>
        </w:trPr>
        <w:tc>
          <w:tcPr>
            <w:tcW w:w="6560" w:type="dxa"/>
            <w:vAlign w:val="bottom"/>
          </w:tcPr>
          <w:p>
            <w:pPr>
              <w:spacing w:after="0"/>
              <w:rPr>
                <w:sz w:val="17"/>
                <w:szCs w:val="17"/>
                <w:color w:val="auto"/>
              </w:rPr>
            </w:pPr>
          </w:p>
        </w:tc>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Jessica L. M. H. Epp,</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11/22/2022</w:t>
            </w:r>
          </w:p>
        </w:tc>
        <w:tc>
          <w:tcPr>
            <w:tcW w:w="0" w:type="dxa"/>
            <w:vAlign w:val="bottom"/>
          </w:tcPr>
          <w:p>
            <w:pPr>
              <w:spacing w:after="0"/>
              <w:rPr>
                <w:sz w:val="1"/>
                <w:szCs w:val="1"/>
                <w:color w:val="auto"/>
              </w:rPr>
            </w:pPr>
          </w:p>
        </w:tc>
      </w:tr>
      <w:tr>
        <w:trPr>
          <w:trHeight w:val="88"/>
        </w:trPr>
        <w:tc>
          <w:tcPr>
            <w:tcW w:w="6560" w:type="dxa"/>
            <w:vAlign w:val="bottom"/>
          </w:tcPr>
          <w:p>
            <w:pPr>
              <w:spacing w:after="0"/>
              <w:rPr>
                <w:sz w:val="7"/>
                <w:szCs w:val="7"/>
                <w:color w:val="auto"/>
              </w:rPr>
            </w:pPr>
          </w:p>
        </w:tc>
        <w:tc>
          <w:tcPr>
            <w:tcW w:w="1640" w:type="dxa"/>
            <w:vAlign w:val="bottom"/>
            <w:tcBorders>
              <w:top w:val="single" w:sz="8" w:color="auto"/>
              <w:bottom w:val="single" w:sz="8" w:color="auto"/>
            </w:tcBorders>
            <w:gridSpan w:val="2"/>
            <w:vMerge w:val="restart"/>
          </w:tcPr>
          <w:p>
            <w:pPr>
              <w:spacing w:after="0" w:line="187" w:lineRule="exact"/>
              <w:rPr>
                <w:sz w:val="20"/>
                <w:szCs w:val="20"/>
                <w:color w:val="auto"/>
              </w:rPr>
            </w:pPr>
            <w:r>
              <w:rPr>
                <w:rFonts w:ascii="Times New Roman" w:cs="Times New Roman" w:eastAsia="Times New Roman" w:hAnsi="Times New Roman"/>
                <w:sz w:val="17"/>
                <w:szCs w:val="17"/>
                <w:color w:val="0000FF"/>
              </w:rPr>
              <w:t>Attorney-in-Fact</w:t>
            </w:r>
          </w:p>
        </w:tc>
        <w:tc>
          <w:tcPr>
            <w:tcW w:w="56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6560" w:type="dxa"/>
            <w:vAlign w:val="bottom"/>
          </w:tcPr>
          <w:p>
            <w:pPr>
              <w:spacing w:after="0"/>
              <w:rPr>
                <w:sz w:val="7"/>
                <w:szCs w:val="7"/>
                <w:color w:val="auto"/>
              </w:rPr>
            </w:pPr>
          </w:p>
        </w:tc>
        <w:tc>
          <w:tcPr>
            <w:tcW w:w="1640" w:type="dxa"/>
            <w:vAlign w:val="bottom"/>
            <w:gridSpan w:val="2"/>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6560" w:type="dxa"/>
            <w:vAlign w:val="bottom"/>
          </w:tcPr>
          <w:p>
            <w:pPr>
              <w:spacing w:after="0"/>
              <w:rPr>
                <w:sz w:val="19"/>
                <w:szCs w:val="19"/>
                <w:color w:val="auto"/>
              </w:rPr>
            </w:pPr>
          </w:p>
        </w:tc>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r>
        <w:trPr>
          <w:trHeight w:val="194"/>
        </w:trPr>
        <w:tc>
          <w:tcPr>
            <w:tcW w:w="8760" w:type="dxa"/>
            <w:vAlign w:val="bottom"/>
            <w:gridSpan w:val="4"/>
          </w:tcPr>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8760" w:type="dxa"/>
            <w:vAlign w:val="bottom"/>
            <w:gridSpan w:val="4"/>
          </w:tcPr>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5" w:lineRule="exact"/>
        <w:rPr>
          <w:sz w:val="24"/>
          <w:szCs w:val="24"/>
          <w:color w:val="auto"/>
        </w:rPr>
      </w:pPr>
    </w:p>
    <w:p>
      <w:pPr>
        <w:jc w:val="both"/>
        <w:ind w:left="40" w:right="358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599220" TargetMode="External"/><Relationship Id="rId13" Type="http://schemas.openxmlformats.org/officeDocument/2006/relationships/hyperlink" Target="http://www.sec.gov/cgi-bin/browse-edgar?action=getcompany&amp;CIK=00018224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2022-11-22T16:22:39Z</dcterms:created>
  <dcterms:modified xsi:type="dcterms:W3CDTF">2022-11-22T16:22:39Z</dcterms:modified>
</cp:coreProperties>
</file>