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23, 2025</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6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On July 23, 2025, Sterigenics U.S., LLC (“Sterigenics”), a subsidiary of Sotera Health Company, entered into a binding term sheet to resolve 129 ethylene oxide (“EO”) claims against Sterigenics relating to its former facility in Willowbrook, Illinois. The settlement includes ten claims that were set for trials in the Circuit Court of Cook County in October 2025 and March 2026 and the remaining EO claims being pursued by the same plaintiffs’ counsel, including those of another 56 claimants with pending lawsuits and 63 claimants who asserted claims but had yet to file lawsuits.</w:t>
      </w:r>
    </w:p>
    <w:p>
      <w:pPr>
        <w:spacing w:after="0" w:line="2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term sheet, Sterigenics will pay $34,000,000 and the settling plaintiffs’ claims will be dismissed with prejudice. The settlement process is expected to require 60 – 90 days.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settlement is subject to the satisfaction of several conditions, including participation by 100 percent of the claimants, stays of the scheduled trials and a determination by the Circuit Court of Cook County that the settlement was entered in good faith under the Illinois Contribution Among Joint Tortfeasors Act. Sterigenics has the right to waive the 100 percent participation requirement, in which case the settlement would be binding on only those plaintiffs participating in the settlement.</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Sterigenics denies any liability and the term sheet explicitly provides that the settlement is not to be presented or construed as an admission of any liability or that emissions from the Willowbrook facility posed any safety hazards to the surrounding communities.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more information about the term sheet, please see Latest Updates in the EO section of our Investor Relations website at https://investors.soterahealth.com/latest-updates. For more information about EO related lawsuits, please see our most recent Annual Report on Form 10-K and our website at www.soterahealth.com.</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July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General Counsel</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2025-07-24T06:35:08Z</dcterms:created>
  <dcterms:modified xsi:type="dcterms:W3CDTF">2025-07-24T06:35:08Z</dcterms:modified>
</cp:coreProperties>
</file>