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 2026</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902"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902"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902"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902"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3, 2026, Sotera Health Company (the “Company”) issued a press release (the “Press Release”) announcing its financial results for the quarter ended September 30, 2026. The Company will hold its previously announced conference call on November 3, 2026, at 9:00 a.m. Eastern Time to discuss its financial results for the quarter. A copy of the Press Release is attached to this Current Report on Form 8-K as Exhibit 99.1 and is incorporated herein by reference.</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November 3, 2026</w:t>
            </w:r>
          </w:p>
        </w:tc>
        <w:tc>
          <w:tcPr>
            <w:tcW w:w="6980" w:type="dxa"/>
            <w:vAlign w:val="bottom"/>
          </w:tcPr>
          <w:p>
            <w:pPr>
              <w:spacing w:after="0"/>
              <w:rPr>
                <w:sz w:val="17"/>
                <w:szCs w:val="17"/>
                <w:color w:val="auto"/>
              </w:rPr>
            </w:pPr>
          </w:p>
        </w:tc>
      </w:tr>
      <w:tr>
        <w:trPr>
          <w:trHeight w:val="29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0"/>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00"/>
          </w:cols>
          <w:pgMar w:left="320" w:top="1008" w:right="37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360" w:right="60"/>
        <w:spacing w:after="0" w:line="291" w:lineRule="auto"/>
        <w:rPr>
          <w:sz w:val="20"/>
          <w:szCs w:val="20"/>
          <w:color w:val="auto"/>
        </w:rPr>
      </w:pPr>
      <w:r>
        <w:rPr>
          <w:rFonts w:ascii="Arial" w:cs="Arial" w:eastAsia="Arial" w:hAnsi="Arial"/>
          <w:sz w:val="36"/>
          <w:szCs w:val="36"/>
          <w:b w:val="1"/>
          <w:bCs w:val="1"/>
          <w:color w:val="auto"/>
        </w:rPr>
        <w:t>Sotera Health Reports Solid Third-Quarter and Year-to-Date 2026 Results</w:t>
      </w:r>
    </w:p>
    <w:p>
      <w:pPr>
        <w:spacing w:after="0" w:line="2" w:lineRule="exact"/>
        <w:rPr>
          <w:sz w:val="20"/>
          <w:szCs w:val="20"/>
          <w:color w:val="auto"/>
        </w:rPr>
      </w:pPr>
    </w:p>
    <w:p>
      <w:pPr>
        <w:ind w:left="660" w:hanging="328"/>
        <w:spacing w:after="0" w:line="224"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Q3 2026 net revenues increased 4.4% on both an as-reported and constant currency basis</w:t>
      </w:r>
      <w:r>
        <w:rPr>
          <w:rFonts w:ascii="Arial" w:cs="Arial" w:eastAsia="Arial" w:hAnsi="Arial"/>
          <w:sz w:val="28"/>
          <w:szCs w:val="28"/>
          <w:i w:val="1"/>
          <w:iCs w:val="1"/>
          <w:color w:val="auto"/>
          <w:vertAlign w:val="superscript"/>
        </w:rPr>
        <w:t>(1)</w:t>
      </w:r>
      <w:r>
        <w:rPr>
          <w:rFonts w:ascii="Arial" w:cs="Arial" w:eastAsia="Arial" w:hAnsi="Arial"/>
          <w:sz w:val="22"/>
          <w:szCs w:val="22"/>
          <w:b w:val="1"/>
          <w:bCs w:val="1"/>
          <w:i w:val="1"/>
          <w:iCs w:val="1"/>
          <w:color w:val="auto"/>
        </w:rPr>
        <w:t>, compared to Q3 2025</w:t>
      </w: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Q3 2026 net income of $58 million or $0.20 per diluted share</w:t>
      </w:r>
    </w:p>
    <w:p>
      <w:pPr>
        <w:spacing w:after="0" w:line="3" w:lineRule="exact"/>
        <w:rPr>
          <w:rFonts w:ascii="Arial" w:cs="Arial" w:eastAsia="Arial" w:hAnsi="Arial"/>
          <w:sz w:val="22"/>
          <w:szCs w:val="22"/>
          <w:b w:val="1"/>
          <w:bCs w:val="1"/>
          <w:i w:val="1"/>
          <w:iCs w:val="1"/>
          <w:color w:val="auto"/>
        </w:rPr>
      </w:pPr>
    </w:p>
    <w:p>
      <w:pPr>
        <w:ind w:left="620" w:hanging="288"/>
        <w:spacing w:after="0" w:line="191" w:lineRule="auto"/>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Q3 2026 Adjusted EBITDA</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increased 3.9%, or 4.0% on a constant currency basis</w:t>
      </w:r>
    </w:p>
    <w:p>
      <w:pPr>
        <w:ind w:left="620" w:hanging="288"/>
        <w:spacing w:after="0" w:line="201" w:lineRule="auto"/>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Q3 2026 Adjusted EPS</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of $0.29, an increase of 12% per diluted share</w:t>
      </w:r>
    </w:p>
    <w:p>
      <w:pPr>
        <w:ind w:left="660" w:right="120" w:hanging="328"/>
        <w:spacing w:after="0" w:line="264"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Reaffirming full-year 2026 net revenues growth outlook of 5.25% - 6.75% and Adjusted EBITDA growth outlook of 5.75% - 7.25%, both on a constant currency basis</w:t>
      </w:r>
    </w:p>
    <w:p>
      <w:pPr>
        <w:spacing w:after="0" w:line="47" w:lineRule="exact"/>
        <w:rPr>
          <w:sz w:val="20"/>
          <w:szCs w:val="20"/>
          <w:color w:val="auto"/>
        </w:rPr>
      </w:pPr>
    </w:p>
    <w:p>
      <w:pPr>
        <w:jc w:val="both"/>
        <w:ind w:right="20"/>
        <w:spacing w:after="0" w:line="263" w:lineRule="auto"/>
        <w:rPr>
          <w:sz w:val="20"/>
          <w:szCs w:val="20"/>
          <w:color w:val="auto"/>
        </w:rPr>
      </w:pPr>
      <w:r>
        <w:rPr>
          <w:rFonts w:ascii="Arial" w:cs="Arial" w:eastAsia="Arial" w:hAnsi="Arial"/>
          <w:sz w:val="20"/>
          <w:szCs w:val="20"/>
          <w:b w:val="1"/>
          <w:bCs w:val="1"/>
          <w:color w:val="auto"/>
        </w:rPr>
        <w:t xml:space="preserve">CLEVELAND, OH, November 3, 2026 </w:t>
      </w:r>
      <w:r>
        <w:rPr>
          <w:rFonts w:ascii="Arial" w:cs="Arial" w:eastAsia="Arial" w:hAnsi="Arial"/>
          <w:sz w:val="20"/>
          <w:szCs w:val="20"/>
          <w:color w:val="auto"/>
        </w:rPr>
        <w:t>– Sotera Health Company (“Sotera Health” or the “Company”) (Nasdaq: SHC),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global provider of mission-critical end-to-end sterilization solutions, lab testing and advisory services for the healthcare industry, today announced financial results for the three- and nine-months ended September 30, 2026.</w:t>
      </w:r>
    </w:p>
    <w:p>
      <w:pPr>
        <w:spacing w:after="0" w:line="83"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“We are pleased with our third-quarter performance, which included solid top- and bottom-line constant currency growth, along with nearly 100 basis points of sequential Adjusted EBITDA margin expansion,” said Alton Shader, Chief Executive Officer. “Our performance was supported by year-over-year constant currency revenue growth of 8.2% at Sterigenics and 9.2% growth at Nelson Labs. We remain focused on being a trusted partner to our customers, combining exceptional service with the quality, reliability and technical expertise needed to support critical healthcare products and the patients who depend on them.”</w:t>
      </w:r>
    </w:p>
    <w:p>
      <w:pPr>
        <w:spacing w:after="0" w:line="76"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color w:val="auto"/>
        </w:rPr>
        <w:t>Shader continued, “Based on our year-to-date performance and expectations for the remainder of the year, we are reaffirming our 2026 constant currency revenue and Adjusted EBITDA outlook.”</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2026 Highlights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 comparisons are against third quarter of 2025, unless otherwise noted)</w:t>
      </w:r>
    </w:p>
    <w:p>
      <w:pPr>
        <w:spacing w:after="0" w:line="90" w:lineRule="exact"/>
        <w:rPr>
          <w:sz w:val="20"/>
          <w:szCs w:val="20"/>
          <w:color w:val="auto"/>
        </w:rPr>
      </w:pPr>
    </w:p>
    <w:p>
      <w:pPr>
        <w:ind w:left="540" w:hanging="289"/>
        <w:spacing w:after="0"/>
        <w:tabs>
          <w:tab w:leader="none" w:pos="540" w:val="left"/>
        </w:tabs>
        <w:numPr>
          <w:ilvl w:val="1"/>
          <w:numId w:val="3"/>
        </w:numPr>
        <w:rPr>
          <w:rFonts w:ascii="Arial" w:cs="Arial" w:eastAsia="Arial" w:hAnsi="Arial"/>
          <w:sz w:val="20"/>
          <w:szCs w:val="20"/>
          <w:color w:val="auto"/>
        </w:rPr>
      </w:pPr>
      <w:r>
        <w:rPr>
          <w:rFonts w:ascii="Arial" w:cs="Arial" w:eastAsia="Arial" w:hAnsi="Arial"/>
          <w:sz w:val="20"/>
          <w:szCs w:val="20"/>
          <w:color w:val="auto"/>
        </w:rPr>
        <w:t>Delivered solid top- and bottom-line constant currency growth</w:t>
      </w:r>
    </w:p>
    <w:p>
      <w:pPr>
        <w:spacing w:after="0" w:line="53" w:lineRule="exact"/>
        <w:rPr>
          <w:rFonts w:ascii="Arial" w:cs="Arial" w:eastAsia="Arial" w:hAnsi="Arial"/>
          <w:sz w:val="20"/>
          <w:szCs w:val="20"/>
          <w:color w:val="auto"/>
        </w:rPr>
      </w:pPr>
    </w:p>
    <w:p>
      <w:pPr>
        <w:ind w:left="540" w:hanging="289"/>
        <w:spacing w:after="0"/>
        <w:tabs>
          <w:tab w:leader="none" w:pos="540" w:val="left"/>
        </w:tabs>
        <w:numPr>
          <w:ilvl w:val="1"/>
          <w:numId w:val="3"/>
        </w:numPr>
        <w:rPr>
          <w:rFonts w:ascii="Arial" w:cs="Arial" w:eastAsia="Arial" w:hAnsi="Arial"/>
          <w:sz w:val="20"/>
          <w:szCs w:val="20"/>
          <w:color w:val="auto"/>
        </w:rPr>
      </w:pPr>
      <w:r>
        <w:rPr>
          <w:rFonts w:ascii="Arial" w:cs="Arial" w:eastAsia="Arial" w:hAnsi="Arial"/>
          <w:sz w:val="20"/>
          <w:szCs w:val="20"/>
          <w:color w:val="auto"/>
        </w:rPr>
        <w:t>Sequential Adjusted EBITDA margin</w:t>
      </w:r>
      <w:r>
        <w:rPr>
          <w:rFonts w:ascii="Arial" w:cs="Arial" w:eastAsia="Arial" w:hAnsi="Arial"/>
          <w:sz w:val="11"/>
          <w:szCs w:val="11"/>
          <w:color w:val="auto"/>
        </w:rPr>
        <w:t>(1)</w:t>
      </w:r>
      <w:r>
        <w:rPr>
          <w:rFonts w:ascii="Arial" w:cs="Arial" w:eastAsia="Arial" w:hAnsi="Arial"/>
          <w:sz w:val="20"/>
          <w:szCs w:val="20"/>
          <w:color w:val="auto"/>
        </w:rPr>
        <w:t xml:space="preserve"> improved nearly 100 basis points to 52.5%</w:t>
      </w:r>
    </w:p>
    <w:p>
      <w:pPr>
        <w:spacing w:after="0" w:line="67" w:lineRule="exact"/>
        <w:rPr>
          <w:rFonts w:ascii="Arial" w:cs="Arial" w:eastAsia="Arial" w:hAnsi="Arial"/>
          <w:sz w:val="20"/>
          <w:szCs w:val="20"/>
          <w:color w:val="auto"/>
        </w:rPr>
      </w:pPr>
    </w:p>
    <w:p>
      <w:pPr>
        <w:ind w:left="540" w:hanging="289"/>
        <w:spacing w:after="0"/>
        <w:tabs>
          <w:tab w:leader="none" w:pos="540" w:val="left"/>
        </w:tabs>
        <w:numPr>
          <w:ilvl w:val="1"/>
          <w:numId w:val="3"/>
        </w:numPr>
        <w:rPr>
          <w:rFonts w:ascii="Arial" w:cs="Arial" w:eastAsia="Arial" w:hAnsi="Arial"/>
          <w:sz w:val="20"/>
          <w:szCs w:val="20"/>
          <w:color w:val="auto"/>
        </w:rPr>
      </w:pPr>
      <w:r>
        <w:rPr>
          <w:rFonts w:ascii="Arial" w:cs="Arial" w:eastAsia="Arial" w:hAnsi="Arial"/>
          <w:sz w:val="20"/>
          <w:szCs w:val="20"/>
          <w:color w:val="auto"/>
        </w:rPr>
        <w:t>Sterigenics: 8.2% constant currency revenue growth; segment income margin improved 57 basis points</w:t>
      </w:r>
    </w:p>
    <w:p>
      <w:pPr>
        <w:spacing w:after="0" w:line="67" w:lineRule="exact"/>
        <w:rPr>
          <w:rFonts w:ascii="Arial" w:cs="Arial" w:eastAsia="Arial" w:hAnsi="Arial"/>
          <w:sz w:val="20"/>
          <w:szCs w:val="20"/>
          <w:color w:val="auto"/>
        </w:rPr>
      </w:pPr>
    </w:p>
    <w:p>
      <w:pPr>
        <w:ind w:left="540" w:hanging="289"/>
        <w:spacing w:after="0"/>
        <w:tabs>
          <w:tab w:leader="none" w:pos="540" w:val="left"/>
        </w:tabs>
        <w:numPr>
          <w:ilvl w:val="1"/>
          <w:numId w:val="3"/>
        </w:numPr>
        <w:rPr>
          <w:rFonts w:ascii="Arial" w:cs="Arial" w:eastAsia="Arial" w:hAnsi="Arial"/>
          <w:sz w:val="20"/>
          <w:szCs w:val="20"/>
          <w:color w:val="auto"/>
        </w:rPr>
      </w:pPr>
      <w:r>
        <w:rPr>
          <w:rFonts w:ascii="Arial" w:cs="Arial" w:eastAsia="Arial" w:hAnsi="Arial"/>
          <w:sz w:val="20"/>
          <w:szCs w:val="20"/>
          <w:color w:val="auto"/>
        </w:rPr>
        <w:t>Nelson Labs: 9.2% constant currency revenue growth</w:t>
      </w:r>
    </w:p>
    <w:p>
      <w:pPr>
        <w:spacing w:after="0" w:line="53" w:lineRule="exact"/>
        <w:rPr>
          <w:rFonts w:ascii="Arial" w:cs="Arial" w:eastAsia="Arial" w:hAnsi="Arial"/>
          <w:sz w:val="20"/>
          <w:szCs w:val="20"/>
          <w:color w:val="auto"/>
        </w:rPr>
      </w:pPr>
    </w:p>
    <w:p>
      <w:pPr>
        <w:ind w:left="580" w:right="320" w:hanging="329"/>
        <w:spacing w:after="0" w:line="274" w:lineRule="auto"/>
        <w:tabs>
          <w:tab w:leader="none" w:pos="541" w:val="left"/>
        </w:tabs>
        <w:numPr>
          <w:ilvl w:val="1"/>
          <w:numId w:val="3"/>
        </w:numPr>
        <w:rPr>
          <w:rFonts w:ascii="Arial" w:cs="Arial" w:eastAsia="Arial" w:hAnsi="Arial"/>
          <w:sz w:val="20"/>
          <w:szCs w:val="20"/>
          <w:color w:val="auto"/>
        </w:rPr>
      </w:pPr>
      <w:r>
        <w:rPr>
          <w:rFonts w:ascii="Arial" w:cs="Arial" w:eastAsia="Arial" w:hAnsi="Arial"/>
          <w:sz w:val="20"/>
          <w:szCs w:val="20"/>
          <w:color w:val="auto"/>
        </w:rPr>
        <w:t>Nordion: constant currency revenue down 11.5% due to expected Cobalt-60 (“Co-60”) harvest timing; segment income margins improved 71 basis points</w:t>
      </w:r>
    </w:p>
    <w:p>
      <w:pPr>
        <w:spacing w:after="0" w:line="1" w:lineRule="exact"/>
        <w:rPr>
          <w:rFonts w:ascii="Arial" w:cs="Arial" w:eastAsia="Arial" w:hAnsi="Arial"/>
          <w:sz w:val="20"/>
          <w:szCs w:val="20"/>
          <w:color w:val="auto"/>
        </w:rPr>
      </w:pPr>
    </w:p>
    <w:p>
      <w:pPr>
        <w:ind w:left="540" w:hanging="289"/>
        <w:spacing w:after="0"/>
        <w:tabs>
          <w:tab w:leader="none" w:pos="540" w:val="left"/>
        </w:tabs>
        <w:numPr>
          <w:ilvl w:val="1"/>
          <w:numId w:val="3"/>
        </w:numPr>
        <w:rPr>
          <w:rFonts w:ascii="Arial" w:cs="Arial" w:eastAsia="Arial" w:hAnsi="Arial"/>
          <w:sz w:val="20"/>
          <w:szCs w:val="20"/>
          <w:color w:val="auto"/>
        </w:rPr>
      </w:pPr>
      <w:r>
        <w:rPr>
          <w:rFonts w:ascii="Arial" w:cs="Arial" w:eastAsia="Arial" w:hAnsi="Arial"/>
          <w:sz w:val="20"/>
          <w:szCs w:val="20"/>
          <w:color w:val="auto"/>
        </w:rPr>
        <w:t>Net cash provided by operating activities of $111 million</w:t>
      </w:r>
    </w:p>
    <w:p>
      <w:pPr>
        <w:spacing w:after="0" w:line="67" w:lineRule="exact"/>
        <w:rPr>
          <w:rFonts w:ascii="Arial" w:cs="Arial" w:eastAsia="Arial" w:hAnsi="Arial"/>
          <w:sz w:val="20"/>
          <w:szCs w:val="20"/>
          <w:color w:val="auto"/>
        </w:rPr>
      </w:pPr>
    </w:p>
    <w:p>
      <w:pPr>
        <w:ind w:left="580" w:right="780" w:hanging="329"/>
        <w:spacing w:after="0" w:line="271" w:lineRule="auto"/>
        <w:tabs>
          <w:tab w:leader="none" w:pos="541" w:val="left"/>
        </w:tabs>
        <w:numPr>
          <w:ilvl w:val="1"/>
          <w:numId w:val="3"/>
        </w:numPr>
        <w:rPr>
          <w:rFonts w:ascii="Arial" w:cs="Arial" w:eastAsia="Arial" w:hAnsi="Arial"/>
          <w:sz w:val="20"/>
          <w:szCs w:val="20"/>
          <w:color w:val="auto"/>
        </w:rPr>
      </w:pPr>
      <w:r>
        <w:rPr>
          <w:rFonts w:ascii="Arial" w:cs="Arial" w:eastAsia="Arial" w:hAnsi="Arial"/>
          <w:sz w:val="20"/>
          <w:szCs w:val="20"/>
          <w:color w:val="auto"/>
        </w:rPr>
        <w:t>Continued deleveraging progress resulted in a Net Leverage Ratio</w:t>
      </w:r>
      <w:r>
        <w:rPr>
          <w:rFonts w:ascii="Arial" w:cs="Arial" w:eastAsia="Arial" w:hAnsi="Arial"/>
          <w:sz w:val="11"/>
          <w:szCs w:val="11"/>
          <w:color w:val="auto"/>
        </w:rPr>
        <w:t>(1)</w:t>
      </w:r>
      <w:r>
        <w:rPr>
          <w:rFonts w:ascii="Arial" w:cs="Arial" w:eastAsia="Arial" w:hAnsi="Arial"/>
          <w:sz w:val="20"/>
          <w:szCs w:val="20"/>
          <w:color w:val="auto"/>
        </w:rPr>
        <w:t xml:space="preserve"> of 2.9x as of September 30, 2026, within the Company’s long-term goal of 2.0x to 3.0x</w:t>
      </w:r>
    </w:p>
    <w:p>
      <w:pPr>
        <w:spacing w:after="0" w:line="7" w:lineRule="exact"/>
        <w:rPr>
          <w:rFonts w:ascii="Arial" w:cs="Arial" w:eastAsia="Arial" w:hAnsi="Arial"/>
          <w:sz w:val="20"/>
          <w:szCs w:val="20"/>
          <w:color w:val="auto"/>
        </w:rPr>
      </w:pPr>
    </w:p>
    <w:p>
      <w:pPr>
        <w:ind w:left="580" w:right="300" w:hanging="329"/>
        <w:spacing w:after="0" w:line="274" w:lineRule="auto"/>
        <w:tabs>
          <w:tab w:leader="none" w:pos="541" w:val="left"/>
        </w:tabs>
        <w:numPr>
          <w:ilvl w:val="1"/>
          <w:numId w:val="3"/>
        </w:numPr>
        <w:rPr>
          <w:rFonts w:ascii="Arial" w:cs="Arial" w:eastAsia="Arial" w:hAnsi="Arial"/>
          <w:sz w:val="20"/>
          <w:szCs w:val="20"/>
          <w:color w:val="auto"/>
        </w:rPr>
      </w:pPr>
      <w:r>
        <w:rPr>
          <w:rFonts w:ascii="Arial" w:cs="Arial" w:eastAsia="Arial" w:hAnsi="Arial"/>
          <w:sz w:val="20"/>
          <w:szCs w:val="20"/>
          <w:color w:val="auto"/>
        </w:rPr>
        <w:t>Achieved a credit rating upgrade from Moody's Ratings in early October, reflecting continued progress in strengthening the Company's balance sheet and reducing leverage</w:t>
      </w:r>
    </w:p>
    <w:p>
      <w:pPr>
        <w:spacing w:after="0" w:line="1" w:lineRule="exact"/>
        <w:rPr>
          <w:rFonts w:ascii="Arial" w:cs="Arial" w:eastAsia="Arial" w:hAnsi="Arial"/>
          <w:sz w:val="20"/>
          <w:szCs w:val="20"/>
          <w:color w:val="auto"/>
        </w:rPr>
      </w:pPr>
    </w:p>
    <w:p>
      <w:pPr>
        <w:ind w:left="540" w:hanging="289"/>
        <w:spacing w:after="0"/>
        <w:tabs>
          <w:tab w:leader="none" w:pos="540" w:val="left"/>
        </w:tabs>
        <w:numPr>
          <w:ilvl w:val="1"/>
          <w:numId w:val="3"/>
        </w:numPr>
        <w:rPr>
          <w:rFonts w:ascii="Arial" w:cs="Arial" w:eastAsia="Arial" w:hAnsi="Arial"/>
          <w:sz w:val="20"/>
          <w:szCs w:val="20"/>
          <w:color w:val="auto"/>
        </w:rPr>
      </w:pPr>
      <w:r>
        <w:rPr>
          <w:rFonts w:ascii="Arial" w:cs="Arial" w:eastAsia="Arial" w:hAnsi="Arial"/>
          <w:sz w:val="20"/>
          <w:szCs w:val="20"/>
          <w:color w:val="auto"/>
        </w:rPr>
        <w:t>New Nelson Labs Annex-1 compliant cleanroom completed during the quarter</w:t>
      </w:r>
    </w:p>
    <w:p>
      <w:pPr>
        <w:spacing w:after="0" w:line="304" w:lineRule="exact"/>
        <w:rPr>
          <w:rFonts w:ascii="Arial" w:cs="Arial" w:eastAsia="Arial" w:hAnsi="Arial"/>
          <w:sz w:val="20"/>
          <w:szCs w:val="20"/>
          <w:color w:val="auto"/>
        </w:rPr>
      </w:pPr>
    </w:p>
    <w:p>
      <w:pPr>
        <w:ind w:right="20" w:firstLine="8"/>
        <w:spacing w:after="0" w:line="230" w:lineRule="auto"/>
        <w:tabs>
          <w:tab w:leader="none" w:pos="173"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This is a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58" w:right="379" w:bottom="1440" w:gutter="0" w:footer="0" w:header="0"/>
        </w:sectPr>
      </w:pPr>
    </w:p>
    <w:bookmarkStart w:id="4" w:name="page5"/>
    <w:bookmarkEnd w:id="4"/>
    <w:p>
      <w:pPr>
        <w:ind w:right="4320"/>
        <w:spacing w:after="0" w:line="301" w:lineRule="auto"/>
        <w:rPr>
          <w:sz w:val="20"/>
          <w:szCs w:val="20"/>
          <w:color w:val="auto"/>
        </w:rPr>
      </w:pPr>
      <w:r>
        <w:rPr>
          <w:rFonts w:ascii="Arial" w:cs="Arial" w:eastAsia="Arial" w:hAnsi="Arial"/>
          <w:sz w:val="19"/>
          <w:szCs w:val="19"/>
          <w:b w:val="1"/>
          <w:bCs w:val="1"/>
          <w:u w:val="single" w:color="auto"/>
          <w:color w:val="auto"/>
        </w:rPr>
        <w:t xml:space="preserve">Third-Quarter and Year-to-Date 2026 Highlights by Business Segment </w:t>
      </w:r>
      <w:r>
        <w:rPr>
          <w:rFonts w:ascii="Arial" w:cs="Arial" w:eastAsia="Arial" w:hAnsi="Arial"/>
          <w:sz w:val="19"/>
          <w:szCs w:val="19"/>
          <w:i w:val="1"/>
          <w:iCs w:val="1"/>
          <w:color w:val="auto"/>
        </w:rPr>
        <w:t>(All comparisons are against the third quarter of 2025, unless otherwise noted)</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Sterigenics</w:t>
      </w:r>
    </w:p>
    <w:p>
      <w:pPr>
        <w:spacing w:after="0" w:line="56" w:lineRule="exact"/>
        <w:rPr>
          <w:sz w:val="20"/>
          <w:szCs w:val="20"/>
          <w:color w:val="auto"/>
        </w:rPr>
      </w:pPr>
    </w:p>
    <w:p>
      <w:pPr>
        <w:ind w:right="240"/>
        <w:spacing w:after="0" w:line="259" w:lineRule="auto"/>
        <w:rPr>
          <w:sz w:val="20"/>
          <w:szCs w:val="20"/>
          <w:color w:val="auto"/>
        </w:rPr>
      </w:pPr>
      <w:r>
        <w:rPr>
          <w:rFonts w:ascii="Arial" w:cs="Arial" w:eastAsia="Arial" w:hAnsi="Arial"/>
          <w:sz w:val="20"/>
          <w:szCs w:val="20"/>
          <w:color w:val="auto"/>
        </w:rPr>
        <w:t>Sterigenics delivered strong third-quarter 2026 results, with net revenues up 8.5% to $209 million, or 8.2% on a constant currency basis. Segment income improved to $117 million, an increase of 9.6%. For the first nine months of 2026, Sterigenics net revenues increased 8.9% to $ 607 million, or 7.2% on a constant currency basis, compared to the same period in 2025. Segment income increased 9.6% to $332 million.</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Net revenues growth for the third quarter was driven by pricing, improved volume and mix, and a foreign currency benefit.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Segment income and segment income margin also benefited from these factors, partially offset by inflation.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Nordion</w:t>
      </w:r>
    </w:p>
    <w:p>
      <w:pPr>
        <w:spacing w:after="0" w:line="69"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auto"/>
        </w:rPr>
        <w:t>Nordion net revenues were $55 million for the third-quarter 2026, a decrease of 12.4%, or 11.5% on a constant currency basis, due to the expected year-over-year impact of Co-60 harvest schedules. Correspondingly, segment income decreased 11.4% to $34 million. For the first nine months of 2026, Nordion net revenues increased 6.1% to $ 146 million, or 6.2% on a constant currency basis, compared to the same period in 2025. Segment income increased 8.2% to $85 million.</w:t>
      </w:r>
    </w:p>
    <w:p>
      <w:pPr>
        <w:spacing w:after="0" w:line="87"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The change in third-quarter net revenues and segment income for the quarter was driven by unfavorable volume and mix due to the expected timing of Co-60 harvest schedules and foreign exchange, partially offset by favorable pricing. Segment income margin improved, driven by operational productivity and favorable pricing, partially offset by inflation.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Nelson Labs</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Nelson Labs delivered strong third-quarter 2026 net revenues growth of 8.8% to $61 million, or 9.2% on a constant currency basis. Nelson Labs third-quarter 2026 segment income increased 2.5% to $19 million. For the first nine months of 2026, Nelson Labs net revenues increased 4.9% to $173 million, or 3.7% on a constant currency basis, compared to the same period in 2025. Segment income decreased 2.4% to $54 million.</w:t>
      </w:r>
    </w:p>
    <w:p>
      <w:pPr>
        <w:spacing w:after="0" w:line="87" w:lineRule="exact"/>
        <w:rPr>
          <w:sz w:val="20"/>
          <w:szCs w:val="20"/>
          <w:color w:val="auto"/>
        </w:rPr>
      </w:pPr>
    </w:p>
    <w:p>
      <w:pPr>
        <w:ind w:right="460"/>
        <w:spacing w:after="0" w:line="271" w:lineRule="auto"/>
        <w:rPr>
          <w:sz w:val="20"/>
          <w:szCs w:val="20"/>
          <w:color w:val="auto"/>
        </w:rPr>
      </w:pPr>
      <w:r>
        <w:rPr>
          <w:rFonts w:ascii="Arial" w:cs="Arial" w:eastAsia="Arial" w:hAnsi="Arial"/>
          <w:sz w:val="20"/>
          <w:szCs w:val="20"/>
          <w:color w:val="auto"/>
        </w:rPr>
        <w:t>Net revenues and segment income growth for the third quarter were driven by favorable volume and mix as well as pricing, partially offset by foreign exchange. Segment income margin was impacted primarily by business mix.</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Balance Sheet and Liquidity</w:t>
      </w:r>
    </w:p>
    <w:p>
      <w:pPr>
        <w:spacing w:after="0" w:line="56" w:lineRule="exact"/>
        <w:rPr>
          <w:sz w:val="20"/>
          <w:szCs w:val="20"/>
          <w:color w:val="auto"/>
        </w:rPr>
      </w:pPr>
    </w:p>
    <w:p>
      <w:pPr>
        <w:ind w:right="480"/>
        <w:spacing w:after="0" w:line="259" w:lineRule="auto"/>
        <w:rPr>
          <w:sz w:val="20"/>
          <w:szCs w:val="20"/>
          <w:color w:val="auto"/>
        </w:rPr>
      </w:pPr>
      <w:r>
        <w:rPr>
          <w:rFonts w:ascii="Arial" w:cs="Arial" w:eastAsia="Arial" w:hAnsi="Arial"/>
          <w:sz w:val="20"/>
          <w:szCs w:val="20"/>
          <w:color w:val="auto"/>
        </w:rPr>
        <w:t>As of September 30, 2026, Sotera Health had $2.2 billion of total debt and $412 million in unrestricted cash and cash equivalents, compared to $2.2 billion in total debt and $345 million of unrestricted cash and cash equivalents as of December 31, 2025. Sotera Health’s Net Leverage Ratio as of third-quarter 2026 improved to 2.9x, compared to 3.2x as of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2026 Outlook</w:t>
      </w:r>
    </w:p>
    <w:p>
      <w:pPr>
        <w:spacing w:after="0" w:line="96"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revenues in the range of $1.233 billion to $1.250 billion, representing constant currency growth of 5.25% to 6.75%.</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Adjusted EBITDA in the range of $632 million to $641 million, representing constant currency growth of 5.75% to 7.25%.</w:t>
      </w:r>
    </w:p>
    <w:p>
      <w:pPr>
        <w:spacing w:after="0" w:line="119" w:lineRule="exact"/>
        <w:rPr>
          <w:rFonts w:ascii="Arial" w:cs="Arial" w:eastAsia="Arial" w:hAnsi="Arial"/>
          <w:sz w:val="19"/>
          <w:szCs w:val="19"/>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Adjusted EBITDA margins approximately flat versus 2025.</w:t>
      </w:r>
    </w:p>
    <w:p>
      <w:pPr>
        <w:spacing w:after="0" w:line="94" w:lineRule="exact"/>
        <w:rPr>
          <w:rFonts w:ascii="Arial" w:cs="Arial" w:eastAsia="Arial" w:hAnsi="Arial"/>
          <w:sz w:val="20"/>
          <w:szCs w:val="20"/>
          <w:color w:val="auto"/>
        </w:rPr>
      </w:pPr>
    </w:p>
    <w:p>
      <w:pPr>
        <w:ind w:left="660" w:right="220" w:hanging="328"/>
        <w:spacing w:after="0" w:line="271"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foreign currency benefit to net revenues and Adjusted EBITDA has been revised to 70 basis points from 100 basis points in our previous outlook.</w:t>
      </w:r>
    </w:p>
    <w:p>
      <w:pPr>
        <w:spacing w:after="0" w:line="47"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Interest expense narrowed to a range of $137 million to $140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074" w:right="379" w:bottom="1440" w:gutter="0" w:footer="0" w:header="0"/>
        </w:sectPr>
      </w:pPr>
    </w:p>
    <w:bookmarkStart w:id="5" w:name="page6"/>
    <w:bookmarkEnd w:id="5"/>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Tax rate applicable to Adjusted Net Income</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remains in the range of 27.0% to 28.0%.</w:t>
      </w:r>
    </w:p>
    <w:p>
      <w:pPr>
        <w:spacing w:after="0" w:line="56"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EPS range remains in the range of $0.95 to $1.01.</w:t>
      </w:r>
    </w:p>
    <w:p>
      <w:pPr>
        <w:spacing w:after="0" w:line="87"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weighted-average fully diluted share count remains in the range of 289 million to 291 million shares.</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Capital expenditures remain in the range of $200 million to $225 million.</w:t>
      </w:r>
    </w:p>
    <w:p>
      <w:pPr>
        <w:spacing w:after="0" w:line="229"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Company does not provide a reconciliation for non-GAAP financial measures on a forward-looking basis where it is unable to provide a meaningful or accurate calculation or estimation of reconciling items without unreasonable effort. The Company cannot reconcile its expected Adjusted EBITDA,</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color w:val="auto"/>
        </w:rPr>
        <w:t>Tax Rate Applicable to Adjusted Net Income, Adjusted Net Income and Adjusted EPS without unreasonable effort because certain items that impact net income, earnings per share and other reconciling metrics are out of the Company’s control and/or cannot be reasonably predicted at this time, including uncertainties caused by changes to the regulatory landscape, restructuring items and certain fair value measurements, all of which are potential adjustments for future earnings.</w:t>
      </w:r>
    </w:p>
    <w:p>
      <w:pPr>
        <w:spacing w:after="0" w:line="106"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color w:val="auto"/>
        </w:rPr>
        <w:t>The outlook provided above contains a number of assumptions, including, among others, the Company’s current expectations regarding supply chain continuity, particularly for the supply of ethylene oxide (“EO”) and Co-60, and the impact of inflationary trends, including their impact on energy prices and the supply of labor. Our outlook is based on current plans and expectations and is subject to several known and unknown risks and uncertainties, including those set forth below under “Cautionary Note Regarding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Webcast</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 xml:space="preserve">Sotera Health management will host a conference call and live webcast to discuss the Company’s operating highlights and financial results at 9:00 a.m. Eastern Daylight Time today. A live webcast of the conference call will be accessible at this </w:t>
      </w:r>
      <w:r>
        <w:rPr>
          <w:rFonts w:ascii="Arial" w:cs="Arial" w:eastAsia="Arial" w:hAnsi="Arial"/>
          <w:sz w:val="20"/>
          <w:szCs w:val="20"/>
          <w:color w:val="0E32E1"/>
        </w:rPr>
        <w:t>link</w:t>
      </w:r>
      <w:r>
        <w:rPr>
          <w:rFonts w:ascii="Arial" w:cs="Arial" w:eastAsia="Arial" w:hAnsi="Arial"/>
          <w:sz w:val="20"/>
          <w:szCs w:val="20"/>
          <w:color w:val="auto"/>
        </w:rPr>
        <w:t xml:space="preserve"> or via the Investor Relations section of the Company’s website at </w:t>
      </w:r>
      <w:r>
        <w:rPr>
          <w:rFonts w:ascii="Arial" w:cs="Arial" w:eastAsia="Arial" w:hAnsi="Arial"/>
          <w:sz w:val="20"/>
          <w:szCs w:val="20"/>
          <w:u w:val="single" w:color="auto"/>
          <w:color w:val="0E32E1"/>
        </w:rPr>
        <w:t>Presentation &amp; Events | Sotera Health</w:t>
      </w:r>
      <w:r>
        <w:rPr>
          <w:rFonts w:ascii="Arial" w:cs="Arial" w:eastAsia="Arial" w:hAnsi="Arial"/>
          <w:sz w:val="20"/>
          <w:szCs w:val="20"/>
          <w:color w:val="auto"/>
        </w:rPr>
        <w:t>, along with accompanying materials. A replay of the webcast will be archived on the Company’s website.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Upcoming Events</w:t>
      </w:r>
    </w:p>
    <w:p>
      <w:pPr>
        <w:spacing w:after="0" w:line="33" w:lineRule="exact"/>
        <w:rPr>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Jefferies London Healthcare Conference at 12:00 p.m. Greenwich Mean Time, November 18, 2026</w:t>
      </w:r>
    </w:p>
    <w:p>
      <w:pPr>
        <w:spacing w:after="0" w:line="76"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Piper Sandler 36th Annual Healthcare Conference at 11:00 a.m. Eastern Time, December 2,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Note Regarding Forward-Looking Statements</w:t>
      </w:r>
    </w:p>
    <w:p>
      <w:pPr>
        <w:spacing w:after="0" w:line="20"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Unless expressly indicated or the context requires otherwise, the terms “Sotera Health,” “Company,” “we,” “us,” and “our” in this release refer to Sotera Health Company, a Delaware corporation, and, where appropriate, its subsidiaries on a consolidated basis. This release contains forward-looking statements within the meaning of the Private Securities Litigation Reform Act of 1995 and reflects management’s expectations about future events and the Company’s operating plans and performance and speaks only as of the date hereof. Forward-looking statements present our current forecasts and estimates of future events. These statements do not strictly relate to historical or current results and can be identified by words such as “anticipate,” “appear,” “assume,” “believe,” “estimate,” “expect,” “forecast,” “intend,” “likely,” “may,” “plan,” “project,” “seek,” “should,” “strategy,” “will” and other terms of similar meaning or import in connection with any discussion of future operating, financial or other performance. These forward-looking statements are subject to risks, uncertainties and other factors and actual results may differ materially from those results projected in the statements. These forward-looking statements are subject to various risks, uncertainties and assumptions relating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1" w:lineRule="exact"/>
        <w:rPr>
          <w:sz w:val="20"/>
          <w:szCs w:val="20"/>
          <w:color w:val="auto"/>
        </w:rPr>
      </w:pPr>
    </w:p>
    <w:p>
      <w:pPr>
        <w:ind w:right="80"/>
        <w:spacing w:after="0" w:line="227"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This is a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41" w:right="359" w:bottom="1440" w:gutter="0" w:footer="0" w:header="0"/>
        </w:sectPr>
      </w:pPr>
    </w:p>
    <w:bookmarkStart w:id="6" w:name="page7"/>
    <w:bookmarkEnd w:id="6"/>
    <w:p>
      <w:pPr>
        <w:spacing w:after="0" w:line="232" w:lineRule="auto"/>
        <w:rPr>
          <w:sz w:val="20"/>
          <w:szCs w:val="20"/>
          <w:color w:val="auto"/>
        </w:rPr>
      </w:pPr>
      <w:r>
        <w:rPr>
          <w:rFonts w:ascii="Arial" w:cs="Arial" w:eastAsia="Arial" w:hAnsi="Arial"/>
          <w:sz w:val="20"/>
          <w:szCs w:val="20"/>
          <w:color w:val="auto"/>
        </w:rPr>
        <w:t>operations, financial results, financial condition, business, prospects, growth strategy and liquidity. These risks and uncertainties include, but are not limited to, a disruption in the availability or supply of, or increases in the price of, EO, Co-60 or our other direct materials, services and supplies, including as a result of geopolitical instability and/or sanctions against Russia by the United States, Canada, the United Kingdom and/or the European Union, or sanctions by Russia against those countries; fluctuations in foreign currency exchange rates; evolving changes in environmental, health and safety regulations; health and safety risks associated with the use, storage, transportation and disposal of potentially hazardous materials such as EO and Co-60; the impact and outcome of current and future legal proceedings and liability claims, including litigation related to the use, emissions and releases of EO from our current and former EO sterilization facilities and the possibility that additional claims will be made in the future; allegations of our failure to properly perform services and potential product liability claims, recalls, penalties and reputational harm; compliance with the extensive regulatory requirements to which we are subject, the related costs, and any failures to receive or maintain, or delays in receiving, required clearances or approvals; adverse changes in industry trends; competition we face; market conditions and changes, including inflationary trends and the impact of tariffs, that impact our long-term supply contracts with variable price clauses and increase our cost of revenues; business continuity hazards, including supply chain disruptions, federal government shutdowns, and other risks associated with our operations; the risks of doing business internationally, including global and regional economic and political instability and compliance with various applicable laws and potentially inconsistent laws and regulations in multiple jurisdictions; our ability to increase capacity at existing facilities, build new facilities in a timely and cost-effective manner and renew leases for our leased facilities; our ability to attract and retain qualified employees; severe health events or environmental events; cybersecurity incidents, unauthorized data disclosures, and our dependence on information technology systems; the risks associated with the introduction of artificial intelligence technology; an inability to pursue strategic transactions, find suitable acquisition targets, or integrate strategic acquisitions into our business successfully; our ability to maintain effective internal control over financial reporting; our reliance on intellectual property rights to maintain our competitive position and the risk of claims from third parties that we have infringed or misappropriated, or are infringing or misappropriating, their intellectual property rights; our ability to comply with rapidly evolving data privacy and security laws and regulations in various jurisdictions and any ineffective compliance efforts with such laws and regulations; our ability to generate profitability in future periods; impairment charges on our goodwill and other intangible assets with indefinite lives, as well as other long-lived assets and intangible assets with definite lives; the effects of unionization efforts and labor regulations in countries in which we operate; adverse changes to our tax positions in U.S. or non-U.S. jurisdictions or the interpretation and application of U.S. tax legislation or other changes in U.S. or non-U.S. taxation of our operations; and 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For additional discussion of these risks and uncertainties, please refer to the Company’s filings with the Securities and Exchange Commission, such as its Annual Report on Form 10-K and quarterly reports. We do not undertake any obligation to publicly update or revise these forward-looking statements, except as otherwise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To supplement our consolidated financial statements presented in accordance with U.S. Generally Accepted Accounting Principles (“GAAP”), we consider Adjusted EBITDA, Adjusted EBITDA margin, Tax Rate Applicable to Adjusted Net Income, Adjusted Net Income, Adjusted EPS, Net Debt, Net Leverage Ratio and constant currency, each of which is a financial measure not based on any standardized methodology prescribed by GAAP.</w:t>
      </w:r>
    </w:p>
    <w:p>
      <w:pPr>
        <w:spacing w:after="0" w:line="116" w:lineRule="exact"/>
        <w:rPr>
          <w:sz w:val="20"/>
          <w:szCs w:val="20"/>
          <w:color w:val="auto"/>
        </w:rPr>
      </w:pPr>
    </w:p>
    <w:p>
      <w:pPr>
        <w:ind w:left="660" w:right="300" w:hanging="328"/>
        <w:spacing w:after="0" w:line="271"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We define Adjusted Net Income as net income (loss) before amortization and certain other adjustments that we do not consider in our evaluation of our ongoing operating performance from period to period.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860" w:right="359" w:bottom="1440" w:gutter="0" w:footer="0" w:header="0"/>
        </w:sectPr>
      </w:pPr>
    </w:p>
    <w:bookmarkStart w:id="7" w:name="page8"/>
    <w:bookmarkEnd w:id="7"/>
    <w:p>
      <w:pPr>
        <w:ind w:left="660" w:hanging="328"/>
        <w:spacing w:after="0" w:line="286"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20"/>
          <w:szCs w:val="20"/>
          <w:color w:val="auto"/>
        </w:rPr>
        <w:t>We define Adjusted EBITDA as Adjusted Net Income before interest expense, depreciation (including depreciation of Co-60 used in our operations) and income tax provision applicable to Adjusted Net Income.</w:t>
      </w:r>
    </w:p>
    <w:p>
      <w:pPr>
        <w:spacing w:after="0" w:line="18" w:lineRule="exact"/>
        <w:rPr>
          <w:rFonts w:ascii="Arial" w:cs="Arial" w:eastAsia="Arial" w:hAnsi="Arial"/>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Adjusted EBITDA margin is equal to Adjusted EBITDA divided by net revenues.</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8"/>
        </w:numPr>
        <w:rPr>
          <w:rFonts w:ascii="Arial" w:cs="Arial" w:eastAsia="Arial" w:hAnsi="Arial"/>
          <w:sz w:val="19"/>
          <w:szCs w:val="19"/>
          <w:color w:val="auto"/>
        </w:rPr>
      </w:pPr>
      <w:r>
        <w:rPr>
          <w:rFonts w:ascii="Arial" w:cs="Arial" w:eastAsia="Arial" w:hAnsi="Arial"/>
          <w:sz w:val="19"/>
          <w:szCs w:val="19"/>
          <w:color w:val="auto"/>
        </w:rPr>
        <w:t>We define Adjusted EPS as Adjusted Net Income divided by the weighted average number of diluted shares outstanding.</w:t>
      </w:r>
    </w:p>
    <w:p>
      <w:pPr>
        <w:spacing w:after="0" w:line="119" w:lineRule="exact"/>
        <w:rPr>
          <w:rFonts w:ascii="Arial" w:cs="Arial" w:eastAsia="Arial" w:hAnsi="Arial"/>
          <w:sz w:val="19"/>
          <w:szCs w:val="19"/>
          <w:color w:val="auto"/>
        </w:rPr>
      </w:pPr>
    </w:p>
    <w:p>
      <w:pPr>
        <w:ind w:left="660" w:right="200" w:hanging="328"/>
        <w:spacing w:after="0" w:line="271"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Net Debt is equal to our total debt, net of unamortized debt issuance costs and debt discounts, less cash and cash equivalents.</w:t>
      </w:r>
    </w:p>
    <w:p>
      <w:pPr>
        <w:spacing w:after="0" w:line="47" w:lineRule="exact"/>
        <w:rPr>
          <w:rFonts w:ascii="Arial" w:cs="Arial" w:eastAsia="Arial" w:hAnsi="Arial"/>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Net Leverage Ratio is equal to Net Debt divided by Adjusted EBITDA.</w:t>
      </w:r>
    </w:p>
    <w:p>
      <w:pPr>
        <w:spacing w:after="0" w:line="94" w:lineRule="exact"/>
        <w:rPr>
          <w:rFonts w:ascii="Arial" w:cs="Arial" w:eastAsia="Arial" w:hAnsi="Arial"/>
          <w:sz w:val="20"/>
          <w:szCs w:val="20"/>
          <w:color w:val="auto"/>
        </w:rPr>
      </w:pPr>
    </w:p>
    <w:p>
      <w:pPr>
        <w:jc w:val="both"/>
        <w:ind w:left="660" w:right="180" w:hanging="328"/>
        <w:spacing w:after="0" w:line="262"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20"/>
          <w:szCs w:val="20"/>
          <w:color w:val="auto"/>
        </w:rPr>
        <w:t>Tax Rate Applicable to Adjusted Net Income represents the difference between the income tax provision as determined under U.S. GAAP and the income tax benefit/provision associated with pre-tax adjustments used to calculate Adjusted Net Income.</w:t>
      </w:r>
    </w:p>
    <w:p>
      <w:pPr>
        <w:spacing w:after="0" w:line="138"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Constant currency is a non-GAAP financial measure we use to assess performance excluding the impact of foreign currency exchange rate changes. We calculate constant currency net revenues by translating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54"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We use these non-GAAP financial measures as the principal measures of our operating performance. Management believes these measures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without these measures and their disclosure. In addition, we believe these measures will assist investors in making comparisons to our historical operating results and analyzing the underlying performance of our operations for the periods presented. Our management also uses these measurements in their financial analysis and operational decision-making and Adjusted EBITDA serves as the key metric for the attainment of our primary annual incentive program. These measures may be calculated differently from, and therefore may not be comparable to, a similarly titled measure used by other companies.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Sotera Health</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Sotera Health Company is a leading global provider of mission-critical end-to-end sterilization solutions, lab testing and advisory services for the healthcare industry. Sotera Health goes to market through three businesses – Sterigenics®, Nordion® and Nelson Labs®. Sotera Health is committed to its mission, Safeguarding Global Health®.</w:t>
      </w:r>
    </w:p>
    <w:p>
      <w:pPr>
        <w:spacing w:after="0" w:line="138"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 xml:space="preserve">Updates on recent developments in matters relevant to investors can be found on the Investor Relations section of the Sotera Health website at </w:t>
      </w:r>
      <w:r>
        <w:rPr>
          <w:rFonts w:ascii="Arial" w:cs="Arial" w:eastAsia="Arial" w:hAnsi="Arial"/>
          <w:sz w:val="20"/>
          <w:szCs w:val="20"/>
          <w:u w:val="single" w:color="auto"/>
          <w:color w:val="0E32E1"/>
        </w:rPr>
        <w:t>Investor Relations | Sotera Health</w:t>
      </w:r>
      <w:r>
        <w:rPr>
          <w:rFonts w:ascii="Arial" w:cs="Arial" w:eastAsia="Arial" w:hAnsi="Arial"/>
          <w:sz w:val="20"/>
          <w:szCs w:val="20"/>
          <w:color w:val="auto"/>
        </w:rPr>
        <w:t xml:space="preserve">. For developments related to EO, updates can be found at </w:t>
      </w:r>
      <w:r>
        <w:rPr>
          <w:rFonts w:ascii="Arial" w:cs="Arial" w:eastAsia="Arial" w:hAnsi="Arial"/>
          <w:sz w:val="20"/>
          <w:szCs w:val="20"/>
          <w:u w:val="single" w:color="auto"/>
          <w:color w:val="0E32E1"/>
        </w:rPr>
        <w:t>Ethylene Oxide |</w:t>
      </w:r>
      <w:r>
        <w:rPr>
          <w:rFonts w:ascii="Arial" w:cs="Arial" w:eastAsia="Arial" w:hAnsi="Arial"/>
          <w:sz w:val="20"/>
          <w:szCs w:val="20"/>
          <w:color w:val="auto"/>
        </w:rPr>
        <w:t xml:space="preserve"> </w:t>
      </w:r>
      <w:r>
        <w:rPr>
          <w:rFonts w:ascii="Arial" w:cs="Arial" w:eastAsia="Arial" w:hAnsi="Arial"/>
          <w:sz w:val="20"/>
          <w:szCs w:val="20"/>
          <w:u w:val="single" w:color="auto"/>
          <w:color w:val="0E32E1"/>
        </w:rPr>
        <w:t>Sotera Health</w:t>
      </w:r>
      <w:r>
        <w:rPr>
          <w:rFonts w:ascii="Arial" w:cs="Arial" w:eastAsia="Arial" w:hAnsi="Arial"/>
          <w:sz w:val="20"/>
          <w:szCs w:val="20"/>
          <w:color w:val="000000"/>
        </w:rPr>
        <w:t>.</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RELATIONS CONTACTS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Jason Peterson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Sotera Health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IR@soterahealth.com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941" w:right="37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MEDIA CONTACTS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Kristin Gibbs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Marketing Officer, Sotera Health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kgibbs@soterahealth.com</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Source: Sotera Health Company</w:t>
      </w:r>
    </w:p>
    <w:p>
      <w:pPr>
        <w:spacing w:after="0" w:line="94"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39"/>
          </w:cols>
          <w:pgMar w:left="320" w:top="129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4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7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277,092</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255,529</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797,025</w:t>
            </w:r>
          </w:p>
        </w:tc>
        <w:tc>
          <w:tcPr>
            <w:tcW w:w="1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736,713</w:t>
            </w:r>
          </w:p>
        </w:tc>
      </w:tr>
      <w:tr>
        <w:trPr>
          <w:trHeight w:val="229"/>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47,794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129,281</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123,463</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324,886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926,306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860,176</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127,098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372,766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335,259</w:t>
            </w:r>
          </w:p>
        </w:tc>
      </w:tr>
      <w:tr>
        <w:trPr>
          <w:trHeight w:val="230"/>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47,719</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45,303</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144,097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420,485</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380,562</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180,789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505,821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479,614</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200,507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195,248</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27,715</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 EO litigation settlements</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64,943</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103,272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120,674</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refinancing of debt</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83,732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204,396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77,009</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25,341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65,773</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33,907</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58,391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138,623</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0.20</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0.49</w:t>
            </w:r>
          </w:p>
        </w:tc>
        <w:tc>
          <w:tcPr>
            <w:tcW w:w="1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29"/>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285,997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285,557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283,855</w:t>
            </w:r>
          </w:p>
        </w:tc>
      </w:tr>
      <w:tr>
        <w:trPr>
          <w:trHeight w:val="234"/>
        </w:trPr>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289,217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288,271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2" w:right="339" w:bottom="1440" w:gutter="0" w:footer="0" w:header="0"/>
        </w:sectPr>
      </w:pPr>
    </w:p>
    <w:bookmarkStart w:id="10" w:name="page11"/>
    <w:bookmarkEnd w:id="10"/>
    <w:p>
      <w:pPr>
        <w:jc w:val="center"/>
        <w:ind w:right="8"/>
        <w:spacing w:after="0"/>
        <w:rPr>
          <w:sz w:val="20"/>
          <w:szCs w:val="20"/>
          <w:color w:val="auto"/>
        </w:rPr>
      </w:pPr>
      <w:r>
        <w:rPr>
          <w:rFonts w:ascii="Times New Roman" w:cs="Times New Roman" w:eastAsia="Times New Roman" w:hAnsi="Times New Roman"/>
          <w:sz w:val="21"/>
          <w:szCs w:val="21"/>
          <w:b w:val="1"/>
          <w:bCs w:val="1"/>
          <w:color w:val="auto"/>
        </w:rPr>
        <w:t>Sotera Health Company</w:t>
      </w:r>
    </w:p>
    <w:p>
      <w:pPr>
        <w:spacing w:after="0" w:line="3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ind w:right="8"/>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i w:val="1"/>
          <w:iCs w:val="1"/>
          <w:color w:val="auto"/>
        </w:rPr>
        <w:t>(unaudited)</w:t>
      </w:r>
    </w:p>
    <w:p>
      <w:pPr>
        <w:sectPr>
          <w:pgSz w:w="11900" w:h="16838" w:orient="portrait"/>
          <w:cols w:equalWidth="0" w:num="1">
            <w:col w:w="11232"/>
          </w:cols>
          <w:pgMar w:left="328"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2" w:type="dxa"/>
        <w:tblCellMar>
          <w:top w:w="0" w:type="dxa"/>
          <w:left w:w="0" w:type="dxa"/>
          <w:bottom w:w="0" w:type="dxa"/>
          <w:right w:w="0" w:type="dxa"/>
        </w:tblCellMar>
      </w:tblPr>
      <w:tr>
        <w:trPr>
          <w:trHeight w:val="23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(b)</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-1870710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-1261745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-970280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-353060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-670560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-1579245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-2162175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2"/>
        <w:spacing w:after="0"/>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(c)</w:t>
      </w:r>
    </w:p>
    <w:p>
      <w:pPr>
        <w:spacing w:after="0" w:line="17" w:lineRule="exact"/>
        <w:rPr>
          <w:sz w:val="20"/>
          <w:szCs w:val="20"/>
          <w:color w:val="auto"/>
        </w:rPr>
      </w:pPr>
    </w:p>
    <w:p>
      <w:pPr>
        <w:ind w:left="12" w:right="120"/>
        <w:spacing w:after="0" w:line="183" w:lineRule="auto"/>
        <w:rPr>
          <w:sz w:val="20"/>
          <w:szCs w:val="20"/>
          <w:color w:val="auto"/>
        </w:rPr>
      </w:pPr>
      <w:r>
        <w:rPr>
          <w:rFonts w:ascii="Times New Roman" w:cs="Times New Roman" w:eastAsia="Times New Roman" w:hAnsi="Times New Roman"/>
          <w:sz w:val="17"/>
          <w:szCs w:val="17"/>
          <w:color w:val="auto"/>
        </w:rPr>
        <w:t xml:space="preserve">Gain on foreign currency and derivatives not designated as hedging instruments, </w:t>
      </w:r>
      <w:r>
        <w:rPr>
          <w:rFonts w:ascii="Times New Roman" w:cs="Times New Roman" w:eastAsia="Times New Roman" w:hAnsi="Times New Roman"/>
          <w:sz w:val="32"/>
          <w:szCs w:val="32"/>
          <w:color w:val="auto"/>
          <w:vertAlign w:val="subscript"/>
        </w:rPr>
        <w:t>net</w:t>
      </w:r>
      <w:r>
        <w:rPr>
          <w:rFonts w:ascii="Times New Roman" w:cs="Times New Roman" w:eastAsia="Times New Roman" w:hAnsi="Times New Roman"/>
          <w:sz w:val="11"/>
          <w:szCs w:val="11"/>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(e)</w:t>
      </w:r>
    </w:p>
    <w:p>
      <w:pPr>
        <w:spacing w:after="0" w:line="1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2"/>
        <w:spacing w:after="0"/>
        <w:rPr>
          <w:sz w:val="20"/>
          <w:szCs w:val="20"/>
          <w:color w:val="auto"/>
        </w:rPr>
      </w:pPr>
      <w:r>
        <w:rPr>
          <w:rFonts w:ascii="Times New Roman" w:cs="Times New Roman" w:eastAsia="Times New Roman" w:hAnsi="Times New Roman"/>
          <w:sz w:val="18"/>
          <w:szCs w:val="18"/>
          <w:color w:val="auto"/>
        </w:rPr>
        <w:t>Illinois EO litigation settlements</w:t>
      </w:r>
      <w:r>
        <w:rPr>
          <w:rFonts w:ascii="Times New Roman" w:cs="Times New Roman" w:eastAsia="Times New Roman" w:hAnsi="Times New Roman"/>
          <w:sz w:val="23"/>
          <w:szCs w:val="23"/>
          <w:color w:val="auto"/>
          <w:vertAlign w:val="superscript"/>
        </w:rPr>
        <w:t>(g)</w:t>
      </w:r>
    </w:p>
    <w:p>
      <w:pPr>
        <w:spacing w:after="0" w:line="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2"/>
        <w:spacing w:after="0"/>
        <w:tabs>
          <w:tab w:leader="none" w:pos="5832" w:val="left"/>
        </w:tabs>
        <w:rPr>
          <w:sz w:val="20"/>
          <w:szCs w:val="20"/>
          <w:color w:val="auto"/>
        </w:rPr>
      </w:pPr>
      <w:r>
        <w:rPr>
          <w:rFonts w:ascii="Times New Roman" w:cs="Times New Roman" w:eastAsia="Times New Roman" w:hAnsi="Times New Roman"/>
          <w:sz w:val="18"/>
          <w:szCs w:val="18"/>
          <w:b w:val="1"/>
          <w:bCs w:val="1"/>
          <w:color w:val="auto"/>
        </w:rPr>
        <w:t>Consolidated income before income taxes</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3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9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30"/>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209,305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192,845</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607,011</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557,368</w:t>
            </w:r>
          </w:p>
        </w:tc>
      </w:tr>
      <w:tr>
        <w:trPr>
          <w:trHeight w:val="229"/>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55,024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137,793</w:t>
            </w:r>
          </w:p>
        </w:tc>
      </w:tr>
      <w:tr>
        <w:trPr>
          <w:trHeight w:val="238"/>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60,557</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173,113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165,015</w:t>
            </w:r>
          </w:p>
        </w:tc>
      </w:tr>
      <w:tr>
        <w:trPr>
          <w:trHeight w:val="223"/>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324,886</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926,306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860,176</w:t>
            </w:r>
          </w:p>
        </w:tc>
      </w:tr>
      <w:tr>
        <w:trPr>
          <w:trHeight w:val="21"/>
        </w:trPr>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7"/>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117,487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107,155</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332,026</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302,904</w:t>
            </w:r>
          </w:p>
        </w:tc>
      </w:tr>
      <w:tr>
        <w:trPr>
          <w:trHeight w:val="230"/>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33,724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78,947</w:t>
            </w:r>
          </w:p>
        </w:tc>
      </w:tr>
      <w:tr>
        <w:trPr>
          <w:trHeight w:val="238"/>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19,454</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53,616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54,913</w:t>
            </w:r>
          </w:p>
        </w:tc>
      </w:tr>
      <w:tr>
        <w:trPr>
          <w:trHeight w:val="223"/>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170,665</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164,190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471,057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436,764</w:t>
            </w:r>
          </w:p>
        </w:tc>
      </w:tr>
      <w:tr>
        <w:trPr>
          <w:trHeight w:val="479"/>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34,122</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103,272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120,674</w:t>
            </w:r>
          </w:p>
        </w:tc>
      </w:tr>
      <w:tr>
        <w:trPr>
          <w:trHeight w:val="270"/>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32,450</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103,972</w:t>
            </w:r>
          </w:p>
        </w:tc>
      </w:tr>
      <w:tr>
        <w:trPr>
          <w:trHeight w:val="270"/>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7,791</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w:t>
            </w:r>
          </w:p>
        </w:tc>
      </w:tr>
      <w:tr>
        <w:trPr>
          <w:trHeight w:val="270"/>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486"/>
        </w:trPr>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(2,101)</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70"/>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2,387</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r>
      <w:tr>
        <w:trPr>
          <w:trHeight w:val="270"/>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11,656</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37,515</w:t>
            </w:r>
          </w:p>
        </w:tc>
      </w:tr>
      <w:tr>
        <w:trPr>
          <w:trHeight w:val="270"/>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64,943</w:t>
            </w:r>
          </w:p>
        </w:tc>
      </w:tr>
      <w:tr>
        <w:trPr>
          <w:trHeight w:val="270"/>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628</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1,935</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23"/>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83,732</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204,396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77,009</w:t>
            </w:r>
          </w:p>
        </w:tc>
      </w:tr>
      <w:tr>
        <w:trPr>
          <w:trHeight w:val="20"/>
        </w:trPr>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-7620</wp:posOffset>
            </wp:positionV>
            <wp:extent cx="8058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-2167890</wp:posOffset>
            </wp:positionV>
            <wp:extent cx="8058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-2742565</wp:posOffset>
            </wp:positionV>
            <wp:extent cx="8058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-3659505</wp:posOffset>
            </wp:positionV>
            <wp:extent cx="1671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32" w:space="360"/>
            <w:col w:w="4940"/>
          </w:cols>
          <w:pgMar w:left="328" w:top="338" w:right="339" w:bottom="1440" w:gutter="0" w:footer="0" w:header="0"/>
          <w:type w:val="continuous"/>
        </w:sectPr>
      </w:pPr>
    </w:p>
    <w:p>
      <w:pPr>
        <w:spacing w:after="0" w:line="53" w:lineRule="exact"/>
        <w:rPr>
          <w:sz w:val="20"/>
          <w:szCs w:val="20"/>
          <w:color w:val="auto"/>
        </w:rPr>
      </w:pPr>
    </w:p>
    <w:p>
      <w:pPr>
        <w:ind w:left="472" w:hanging="472"/>
        <w:spacing w:after="0"/>
        <w:tabs>
          <w:tab w:leader="none" w:pos="47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depreciation of Co-60 held at gamma irradiation sites, and excludes accelerated depreciation associated with business optimization activities.</w:t>
      </w:r>
    </w:p>
    <w:p>
      <w:pPr>
        <w:spacing w:after="0" w:line="43" w:lineRule="exact"/>
        <w:rPr>
          <w:rFonts w:ascii="Times New Roman" w:cs="Times New Roman" w:eastAsia="Times New Roman" w:hAnsi="Times New Roman"/>
          <w:sz w:val="15"/>
          <w:szCs w:val="15"/>
          <w:color w:val="auto"/>
        </w:rPr>
      </w:pPr>
    </w:p>
    <w:p>
      <w:pPr>
        <w:ind w:left="472" w:hanging="472"/>
        <w:spacing w:after="0"/>
        <w:tabs>
          <w:tab w:leader="none" w:pos="47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share-based compensation expense related to employees and non-employee Directors.</w:t>
      </w:r>
    </w:p>
    <w:p>
      <w:pPr>
        <w:spacing w:after="0" w:line="43" w:lineRule="exact"/>
        <w:rPr>
          <w:rFonts w:ascii="Times New Roman" w:cs="Times New Roman" w:eastAsia="Times New Roman" w:hAnsi="Times New Roman"/>
          <w:sz w:val="15"/>
          <w:szCs w:val="15"/>
          <w:color w:val="auto"/>
        </w:rPr>
      </w:pPr>
    </w:p>
    <w:p>
      <w:pPr>
        <w:ind w:left="472" w:hanging="472"/>
        <w:spacing w:after="0"/>
        <w:tabs>
          <w:tab w:leader="none" w:pos="47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write-off of unamortized debt issuance costs and discounts, as well as certain other costs incurred related to the Term Loans and the Revolving Credit Facility.</w:t>
      </w:r>
    </w:p>
    <w:p>
      <w:pPr>
        <w:spacing w:after="0" w:line="43" w:lineRule="exact"/>
        <w:rPr>
          <w:rFonts w:ascii="Times New Roman" w:cs="Times New Roman" w:eastAsia="Times New Roman" w:hAnsi="Times New Roman"/>
          <w:sz w:val="15"/>
          <w:szCs w:val="15"/>
          <w:color w:val="auto"/>
        </w:rPr>
      </w:pPr>
    </w:p>
    <w:p>
      <w:pPr>
        <w:ind w:left="492" w:right="420" w:hanging="492"/>
        <w:spacing w:after="0" w:line="281" w:lineRule="auto"/>
        <w:tabs>
          <w:tab w:leader="none" w:pos="48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5"/>
          <w:szCs w:val="15"/>
          <w:color w:val="auto"/>
        </w:rPr>
      </w:pPr>
    </w:p>
    <w:p>
      <w:pPr>
        <w:ind w:left="492" w:right="140" w:hanging="492"/>
        <w:spacing w:after="0" w:line="281" w:lineRule="auto"/>
        <w:tabs>
          <w:tab w:leader="none" w:pos="48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spacing w:after="0" w:line="1" w:lineRule="exact"/>
        <w:rPr>
          <w:rFonts w:ascii="Times New Roman" w:cs="Times New Roman" w:eastAsia="Times New Roman" w:hAnsi="Times New Roman"/>
          <w:sz w:val="15"/>
          <w:szCs w:val="15"/>
          <w:color w:val="auto"/>
        </w:rPr>
      </w:pPr>
    </w:p>
    <w:p>
      <w:pPr>
        <w:ind w:left="472" w:hanging="472"/>
        <w:spacing w:after="0"/>
        <w:tabs>
          <w:tab w:leader="none" w:pos="47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w:t>
      </w:r>
    </w:p>
    <w:p>
      <w:pPr>
        <w:spacing w:after="0" w:line="43" w:lineRule="exact"/>
        <w:rPr>
          <w:rFonts w:ascii="Times New Roman" w:cs="Times New Roman" w:eastAsia="Times New Roman" w:hAnsi="Times New Roman"/>
          <w:sz w:val="15"/>
          <w:szCs w:val="15"/>
          <w:color w:val="auto"/>
        </w:rPr>
      </w:pPr>
    </w:p>
    <w:p>
      <w:pPr>
        <w:ind w:left="492" w:right="140" w:hanging="492"/>
        <w:spacing w:after="0" w:line="281" w:lineRule="auto"/>
        <w:tabs>
          <w:tab w:leader="none" w:pos="48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1" w:lineRule="exact"/>
        <w:rPr>
          <w:rFonts w:ascii="Times New Roman" w:cs="Times New Roman" w:eastAsia="Times New Roman" w:hAnsi="Times New Roman"/>
          <w:sz w:val="15"/>
          <w:szCs w:val="15"/>
          <w:color w:val="auto"/>
        </w:rPr>
      </w:pPr>
    </w:p>
    <w:p>
      <w:pPr>
        <w:ind w:left="492" w:right="240" w:hanging="492"/>
        <w:spacing w:after="0" w:line="298" w:lineRule="auto"/>
        <w:tabs>
          <w:tab w:leader="none" w:pos="48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asset retirement obligations (“ARO”) related to Co-60 gamma and EO processing facilities, which are based on estimated site remediation costs for any future decommissioning of these facilities and are accreted over the life of the asset.</w:t>
      </w:r>
    </w:p>
    <w:p>
      <w:pPr>
        <w:spacing w:after="0" w:line="36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32"/>
          </w:cols>
          <w:pgMar w:left="328" w:top="338"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19"/>
                <w:szCs w:val="19"/>
                <w:color w:val="auto"/>
              </w:rPr>
            </w:pP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410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412,393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346,456</w:t>
            </w:r>
          </w:p>
        </w:tc>
        <w:tc>
          <w:tcPr>
            <w:tcW w:w="0" w:type="dxa"/>
            <w:vAlign w:val="bottom"/>
          </w:tcPr>
          <w:p>
            <w:pPr>
              <w:spacing w:after="0"/>
              <w:rPr>
                <w:sz w:val="1"/>
                <w:szCs w:val="1"/>
                <w:color w:val="auto"/>
              </w:rPr>
            </w:pPr>
          </w:p>
        </w:tc>
      </w:tr>
      <w:tr>
        <w:trPr>
          <w:trHeight w:val="229"/>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152,771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139,329</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49,629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54,375</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86,235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73,250</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701,028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613,410</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1,198,761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1,130,564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33,393</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264,837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288,227</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1,091,217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1,103,232</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102,317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94,364</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3,387,402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3,263,190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223,688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249,584</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2,123,216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2,126,724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213,913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209,772</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93,342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71,075</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9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2,654,159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2,657,155</w:t>
            </w: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9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733,243</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606,035</w:t>
            </w:r>
          </w:p>
        </w:tc>
        <w:tc>
          <w:tcPr>
            <w:tcW w:w="0" w:type="dxa"/>
            <w:vAlign w:val="bottom"/>
          </w:tcPr>
          <w:p>
            <w:pPr>
              <w:spacing w:after="0"/>
              <w:rPr>
                <w:sz w:val="1"/>
                <w:szCs w:val="1"/>
                <w:color w:val="auto"/>
              </w:rPr>
            </w:pPr>
          </w:p>
        </w:tc>
      </w:tr>
      <w:tr>
        <w:trPr>
          <w:trHeight w:val="28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3,387,402</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3,263,190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1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369"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138,623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43,102</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150,412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121,455</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(60,556)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19,534</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228,479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184,091</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(145,450)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(87,319)</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(140,175)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(84,445)</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long-term borrowings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(82,547)</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employee taxes on equity awards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(9,359)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(92,359)</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14,874</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including restricted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22,161</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346,456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278,865</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412,393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301,026</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interest</w:t>
      </w:r>
    </w:p>
    <w:p>
      <w:pPr>
        <w:spacing w:after="0" w:line="27" w:lineRule="exact"/>
        <w:rPr>
          <w:sz w:val="20"/>
          <w:szCs w:val="20"/>
          <w:color w:val="auto"/>
        </w:rPr>
      </w:pPr>
    </w:p>
    <w:p>
      <w:pPr>
        <w:ind w:left="360" w:right="2160"/>
        <w:spacing w:after="0" w:line="323" w:lineRule="auto"/>
        <w:rPr>
          <w:sz w:val="20"/>
          <w:szCs w:val="20"/>
          <w:color w:val="auto"/>
        </w:rPr>
      </w:pPr>
      <w:r>
        <w:rPr>
          <w:rFonts w:ascii="Times New Roman" w:cs="Times New Roman" w:eastAsia="Times New Roman" w:hAnsi="Times New Roman"/>
          <w:sz w:val="17"/>
          <w:szCs w:val="17"/>
          <w:color w:val="auto"/>
        </w:rPr>
        <w:t>Cash paid during the period for income taxes, net of tax refunds received Purchases of property, plant and equipment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106,179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129,600</w:t>
            </w:r>
          </w:p>
        </w:tc>
      </w:tr>
      <w:tr>
        <w:trPr>
          <w:trHeight w:val="229"/>
        </w:trPr>
        <w:tc>
          <w:tcPr>
            <w:tcW w:w="3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39,795</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47,607</w:t>
            </w:r>
          </w:p>
        </w:tc>
      </w:tr>
      <w:tr>
        <w:trPr>
          <w:trHeight w:val="238"/>
        </w:trPr>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30,620</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w:t>
            </w:r>
          </w:p>
        </w:tc>
      </w:tr>
    </w:tbl>
    <w:p>
      <w:pPr>
        <w:spacing w:after="0" w:line="267" w:lineRule="exact"/>
        <w:rPr>
          <w:sz w:val="20"/>
          <w:szCs w:val="20"/>
          <w:color w:val="auto"/>
        </w:rPr>
      </w:pPr>
    </w:p>
    <w:p>
      <w:pPr>
        <w:sectPr>
          <w:pgSz w:w="11900" w:h="16838" w:orient="portrait"/>
          <w:cols w:equalWidth="0" w:num="2">
            <w:col w:w="7760" w:space="720"/>
            <w:col w:w="2760"/>
          </w:cols>
          <w:pgMar w:left="320" w:top="122" w:right="3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22" w:right="339" w:bottom="1440" w:gutter="0" w:footer="0" w:header="0"/>
          <w:type w:val="continuous"/>
        </w:sectPr>
      </w:pPr>
    </w:p>
    <w:bookmarkStart w:id="13" w:name="page14"/>
    <w:bookmarkEnd w:id="13"/>
    <w:p>
      <w:pPr>
        <w:jc w:val="center"/>
        <w:ind w:right="-5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32"/>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3" w:lineRule="exact"/>
        <w:rPr>
          <w:sz w:val="20"/>
          <w:szCs w:val="20"/>
          <w:color w:val="auto"/>
        </w:rPr>
      </w:pPr>
    </w:p>
    <w:tbl>
      <w:tblPr>
        <w:tblLayout w:type="fixed"/>
        <w:tblInd w:w="92" w:type="dxa"/>
        <w:tblCellMar>
          <w:top w:w="0" w:type="dxa"/>
          <w:left w:w="0" w:type="dxa"/>
          <w:bottom w:w="0" w:type="dxa"/>
          <w:right w:w="0" w:type="dxa"/>
        </w:tblCellMar>
      </w:tblPr>
      <w:tr>
        <w:trPr>
          <w:trHeight w:val="172"/>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4"/>
          </w:tcPr>
          <w:p>
            <w:pPr>
              <w:jc w:val="right"/>
              <w:ind w:right="699"/>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58,391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48,400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138,623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43,102</w:t>
            </w:r>
          </w:p>
        </w:tc>
        <w:tc>
          <w:tcPr>
            <w:tcW w:w="0" w:type="dxa"/>
            <w:vAlign w:val="bottom"/>
          </w:tcPr>
          <w:p>
            <w:pPr>
              <w:spacing w:after="0"/>
              <w:rPr>
                <w:sz w:val="1"/>
                <w:szCs w:val="1"/>
                <w:color w:val="auto"/>
              </w:rPr>
            </w:pPr>
          </w:p>
        </w:tc>
      </w:tr>
      <w:tr>
        <w:trPr>
          <w:trHeight w:val="214"/>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5,526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16,691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36,246</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29,616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23,465</w:t>
            </w:r>
          </w:p>
        </w:tc>
        <w:tc>
          <w:tcPr>
            <w:tcW w:w="0" w:type="dxa"/>
            <w:vAlign w:val="bottom"/>
          </w:tcPr>
          <w:p>
            <w:pPr>
              <w:spacing w:after="0"/>
              <w:rPr>
                <w:sz w:val="1"/>
                <w:szCs w:val="1"/>
                <w:color w:val="auto"/>
              </w:rPr>
            </w:pPr>
          </w:p>
        </w:tc>
      </w:tr>
      <w:tr>
        <w:trPr>
          <w:trHeight w:val="216"/>
        </w:trPr>
        <w:tc>
          <w:tcPr>
            <w:tcW w:w="51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936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1,167</w:t>
            </w:r>
          </w:p>
        </w:tc>
        <w:tc>
          <w:tcPr>
            <w:tcW w:w="0" w:type="dxa"/>
            <w:vAlign w:val="bottom"/>
          </w:tcPr>
          <w:p>
            <w:pPr>
              <w:spacing w:after="0"/>
              <w:rPr>
                <w:sz w:val="1"/>
                <w:szCs w:val="1"/>
                <w:color w:val="auto"/>
              </w:rPr>
            </w:pPr>
          </w:p>
        </w:tc>
      </w:tr>
      <w:tr>
        <w:trPr>
          <w:trHeight w:val="162"/>
        </w:trPr>
        <w:tc>
          <w:tcPr>
            <w:tcW w:w="514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(2,101)</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(5,747)</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instruments, net</w:t>
            </w:r>
            <w:r>
              <w:rPr>
                <w:rFonts w:ascii="Times New Roman" w:cs="Times New Roman" w:eastAsia="Times New Roman" w:hAnsi="Times New Roman"/>
                <w:sz w:val="21"/>
                <w:szCs w:val="21"/>
                <w:color w:val="auto"/>
                <w:vertAlign w:val="superscript"/>
              </w:rPr>
              <w:t>(c)</w:t>
            </w: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2,387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3,098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5,267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7,575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11,656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11,152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34,860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37,515</w:t>
            </w:r>
          </w:p>
        </w:tc>
        <w:tc>
          <w:tcPr>
            <w:tcW w:w="0" w:type="dxa"/>
            <w:vAlign w:val="bottom"/>
          </w:tcPr>
          <w:p>
            <w:pPr>
              <w:spacing w:after="0"/>
              <w:rPr>
                <w:sz w:val="1"/>
                <w:szCs w:val="1"/>
                <w:color w:val="auto"/>
              </w:rPr>
            </w:pPr>
          </w:p>
        </w:tc>
      </w:tr>
      <w:tr>
        <w:trPr>
          <w:trHeight w:val="216"/>
        </w:trPr>
        <w:tc>
          <w:tcPr>
            <w:tcW w:w="51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Illinois EO litigation settlements</w:t>
            </w:r>
            <w:r>
              <w:rPr>
                <w:rFonts w:ascii="Times New Roman" w:cs="Times New Roman" w:eastAsia="Times New Roman" w:hAnsi="Times New Roman"/>
                <w:sz w:val="21"/>
                <w:szCs w:val="21"/>
                <w:color w:val="auto"/>
                <w:vertAlign w:val="superscript"/>
              </w:rPr>
              <w:t>(f)</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64,943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(g)</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1,935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(h)</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(1,790)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(2,596)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(13,366)</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(44,081)</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82,488</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75,270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208,815</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170,376</w:t>
            </w:r>
          </w:p>
        </w:tc>
        <w:tc>
          <w:tcPr>
            <w:tcW w:w="0" w:type="dxa"/>
            <w:vAlign w:val="bottom"/>
          </w:tcPr>
          <w:p>
            <w:pPr>
              <w:spacing w:after="0"/>
              <w:rPr>
                <w:sz w:val="1"/>
                <w:szCs w:val="1"/>
                <w:color w:val="auto"/>
              </w:rPr>
            </w:pPr>
          </w:p>
        </w:tc>
      </w:tr>
      <w:tr>
        <w:trPr>
          <w:trHeight w:val="208"/>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34,122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103,272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120,674</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(i)</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26,924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22,642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79,831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67,726</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(j)</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27,131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27,131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79,139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77,988</w:t>
            </w:r>
          </w:p>
        </w:tc>
        <w:tc>
          <w:tcPr>
            <w:tcW w:w="0" w:type="dxa"/>
            <w:vAlign w:val="bottom"/>
          </w:tcPr>
          <w:p>
            <w:pPr>
              <w:spacing w:after="0"/>
              <w:rPr>
                <w:sz w:val="1"/>
                <w:szCs w:val="1"/>
                <w:color w:val="auto"/>
              </w:rPr>
            </w:pPr>
          </w:p>
        </w:tc>
      </w:tr>
      <w:tr>
        <w:trPr>
          <w:trHeight w:val="235"/>
        </w:trPr>
        <w:tc>
          <w:tcPr>
            <w:tcW w:w="514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170,665</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164,190</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471,057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436,764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324,886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311,312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926,306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860,176</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285,997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284,067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285,557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283,855</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289,217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286,745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288,271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286,019</w:t>
            </w:r>
          </w:p>
        </w:tc>
        <w:tc>
          <w:tcPr>
            <w:tcW w:w="0" w:type="dxa"/>
            <w:vAlign w:val="bottom"/>
          </w:tcPr>
          <w:p>
            <w:pPr>
              <w:spacing w:after="0"/>
              <w:rPr>
                <w:sz w:val="1"/>
                <w:szCs w:val="1"/>
                <w:color w:val="auto"/>
              </w:rPr>
            </w:pPr>
          </w:p>
        </w:tc>
      </w:tr>
      <w:tr>
        <w:trPr>
          <w:trHeight w:val="214"/>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0.49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4"/>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0.48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0.29</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0.73</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0.72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332" w:hanging="332"/>
        <w:spacing w:after="0"/>
        <w:tabs>
          <w:tab w:leader="none" w:pos="332"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share-based compensation expense related to employees and non-employee Directors.</w:t>
      </w:r>
    </w:p>
    <w:p>
      <w:pPr>
        <w:spacing w:after="0" w:line="46" w:lineRule="exact"/>
        <w:rPr>
          <w:rFonts w:ascii="Times New Roman" w:cs="Times New Roman" w:eastAsia="Times New Roman" w:hAnsi="Times New Roman"/>
          <w:sz w:val="15"/>
          <w:szCs w:val="15"/>
          <w:color w:val="auto"/>
        </w:rPr>
      </w:pPr>
    </w:p>
    <w:p>
      <w:pPr>
        <w:ind w:left="332" w:hanging="332"/>
        <w:spacing w:after="0"/>
        <w:tabs>
          <w:tab w:leader="none" w:pos="332"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write-off of unamortized debt issuance costs and discounts, as well as certain other costs incurred related to the Term Loans and the Revolving Credit Facility.</w:t>
      </w:r>
    </w:p>
    <w:p>
      <w:pPr>
        <w:spacing w:after="0" w:line="43" w:lineRule="exact"/>
        <w:rPr>
          <w:rFonts w:ascii="Times New Roman" w:cs="Times New Roman" w:eastAsia="Times New Roman" w:hAnsi="Times New Roman"/>
          <w:sz w:val="15"/>
          <w:szCs w:val="15"/>
          <w:color w:val="auto"/>
        </w:rPr>
      </w:pPr>
    </w:p>
    <w:p>
      <w:pPr>
        <w:ind w:left="652" w:right="320" w:hanging="652"/>
        <w:spacing w:after="0" w:line="279" w:lineRule="auto"/>
        <w:tabs>
          <w:tab w:leader="none" w:pos="32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and (ii) non-cash mark-to-fair value of embedded derivatives relating to certain customer and supply contracts at Nordion.</w:t>
      </w:r>
    </w:p>
    <w:p>
      <w:pPr>
        <w:spacing w:after="0" w:line="3" w:lineRule="exact"/>
        <w:rPr>
          <w:rFonts w:ascii="Times New Roman" w:cs="Times New Roman" w:eastAsia="Times New Roman" w:hAnsi="Times New Roman"/>
          <w:sz w:val="15"/>
          <w:szCs w:val="15"/>
          <w:color w:val="auto"/>
        </w:rPr>
      </w:pPr>
    </w:p>
    <w:p>
      <w:pPr>
        <w:ind w:left="652" w:right="220" w:hanging="652"/>
        <w:spacing w:after="0" w:line="279" w:lineRule="auto"/>
        <w:tabs>
          <w:tab w:leader="none" w:pos="33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spacing w:after="0" w:line="3" w:lineRule="exact"/>
        <w:rPr>
          <w:rFonts w:ascii="Times New Roman" w:cs="Times New Roman" w:eastAsia="Times New Roman" w:hAnsi="Times New Roman"/>
          <w:sz w:val="15"/>
          <w:szCs w:val="15"/>
          <w:color w:val="auto"/>
        </w:rPr>
      </w:pPr>
    </w:p>
    <w:p>
      <w:pPr>
        <w:ind w:left="332" w:hanging="332"/>
        <w:spacing w:after="0"/>
        <w:tabs>
          <w:tab w:leader="none" w:pos="332"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w:t>
      </w:r>
    </w:p>
    <w:p>
      <w:pPr>
        <w:spacing w:after="0" w:line="43" w:lineRule="exact"/>
        <w:rPr>
          <w:rFonts w:ascii="Times New Roman" w:cs="Times New Roman" w:eastAsia="Times New Roman" w:hAnsi="Times New Roman"/>
          <w:sz w:val="15"/>
          <w:szCs w:val="15"/>
          <w:color w:val="auto"/>
        </w:rPr>
      </w:pPr>
    </w:p>
    <w:p>
      <w:pPr>
        <w:ind w:left="652" w:right="160" w:hanging="652"/>
        <w:spacing w:after="0" w:line="270" w:lineRule="auto"/>
        <w:tabs>
          <w:tab w:leader="none" w:pos="31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3" w:lineRule="exact"/>
        <w:rPr>
          <w:rFonts w:ascii="Times New Roman" w:cs="Times New Roman" w:eastAsia="Times New Roman" w:hAnsi="Times New Roman"/>
          <w:sz w:val="15"/>
          <w:szCs w:val="15"/>
          <w:color w:val="auto"/>
        </w:rPr>
      </w:pPr>
    </w:p>
    <w:p>
      <w:pPr>
        <w:ind w:left="652" w:right="40" w:hanging="652"/>
        <w:spacing w:after="0" w:line="279" w:lineRule="auto"/>
        <w:tabs>
          <w:tab w:leader="none" w:pos="33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3" w:lineRule="exact"/>
        <w:rPr>
          <w:rFonts w:ascii="Times New Roman" w:cs="Times New Roman" w:eastAsia="Times New Roman" w:hAnsi="Times New Roman"/>
          <w:sz w:val="15"/>
          <w:szCs w:val="15"/>
          <w:color w:val="auto"/>
        </w:rPr>
      </w:pPr>
    </w:p>
    <w:p>
      <w:pPr>
        <w:ind w:left="652" w:right="340" w:hanging="652"/>
        <w:spacing w:after="0" w:line="270" w:lineRule="auto"/>
        <w:tabs>
          <w:tab w:leader="none" w:pos="33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3" w:lineRule="exact"/>
        <w:rPr>
          <w:rFonts w:ascii="Times New Roman" w:cs="Times New Roman" w:eastAsia="Times New Roman" w:hAnsi="Times New Roman"/>
          <w:sz w:val="15"/>
          <w:szCs w:val="15"/>
          <w:color w:val="auto"/>
        </w:rPr>
      </w:pPr>
    </w:p>
    <w:p>
      <w:pPr>
        <w:ind w:left="292" w:hanging="292"/>
        <w:spacing w:after="0"/>
        <w:tabs>
          <w:tab w:leader="none" w:pos="292" w:val="left"/>
        </w:tabs>
        <w:numPr>
          <w:ilvl w:val="0"/>
          <w:numId w:val="1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Includes depreciation of Co-60 held at gamma irradiation sites, and excludes accelerated depreciation associated with business optimization activities.</w:t>
      </w:r>
    </w:p>
    <w:p>
      <w:pPr>
        <w:spacing w:after="0" w:line="57" w:lineRule="exact"/>
        <w:rPr>
          <w:rFonts w:ascii="Times New Roman" w:cs="Times New Roman" w:eastAsia="Times New Roman" w:hAnsi="Times New Roman"/>
          <w:sz w:val="15"/>
          <w:szCs w:val="15"/>
          <w:color w:val="231F20"/>
        </w:rPr>
      </w:pPr>
    </w:p>
    <w:p>
      <w:pPr>
        <w:ind w:left="292" w:hanging="292"/>
        <w:spacing w:after="0"/>
        <w:tabs>
          <w:tab w:leader="none" w:pos="2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the income tax provision as determined under U.S. GAAP and the income tax benefit associated with pre-tax adjustments described in footnote (h).</w:t>
      </w:r>
    </w:p>
    <w:p>
      <w:pPr>
        <w:spacing w:after="0" w:line="55" w:lineRule="exact"/>
        <w:rPr>
          <w:rFonts w:ascii="Times New Roman" w:cs="Times New Roman" w:eastAsia="Times New Roman" w:hAnsi="Times New Roman"/>
          <w:sz w:val="14"/>
          <w:szCs w:val="14"/>
          <w:color w:val="auto"/>
        </w:rPr>
      </w:pPr>
    </w:p>
    <w:p>
      <w:pPr>
        <w:ind w:left="652" w:hanging="652"/>
        <w:spacing w:after="0" w:line="267" w:lineRule="auto"/>
        <w:tabs>
          <w:tab w:leader="none" w:pos="33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$27.6 million and $24.1 million of the adjustments for the three months ended September 30, 2026 and 2025, respectively, and $82.8 million and $72.7 million of the adjustments for the nine months ended September 30, 2026 and 2025, respectively, are included in cost of revenues, primarily consisting of amortization of intangible assets, depreciation, and accretion of ARO.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72"/>
          </w:cols>
          <w:pgMar w:left="328" w:top="122" w:right="399" w:bottom="1440" w:gutter="0" w:footer="0" w:header="0"/>
        </w:sectPr>
      </w:pPr>
    </w:p>
    <w:bookmarkStart w:id="14" w:name="page15"/>
    <w:bookmarkEnd w:id="14"/>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($’s in thousands)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2" w:type="dxa"/>
        <w:tblCellMar>
          <w:top w:w="0" w:type="dxa"/>
          <w:left w:w="0" w:type="dxa"/>
          <w:bottom w:w="0" w:type="dxa"/>
          <w:right w:w="0" w:type="dxa"/>
        </w:tblCellMar>
      </w:tblPr>
      <w:tr>
        <w:trPr>
          <w:trHeight w:val="229"/>
        </w:trPr>
        <w:tc>
          <w:tcPr>
            <w:tcW w:w="7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7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2,123,216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2,126,724</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93,835</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2,244,260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2,237,997</w:t>
            </w:r>
          </w:p>
        </w:tc>
      </w:tr>
      <w:tr>
        <w:trPr>
          <w:trHeight w:val="22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(412,384)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(344,621)</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1,831,876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1,893,376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628,094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593,801</w:t>
            </w: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180" w:type="dxa"/>
            <w:vAlign w:val="bottom"/>
          </w:tcPr>
          <w:p>
            <w:pPr>
              <w:spacing w:after="0"/>
              <w:rPr>
                <w:sz w:val="20"/>
                <w:szCs w:val="20"/>
                <w:color w:val="auto"/>
              </w:rPr>
            </w:pPr>
          </w:p>
        </w:tc>
        <w:tc>
          <w:tcPr>
            <w:tcW w:w="1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2.9x</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3.2x</w:t>
            </w:r>
          </w:p>
        </w:tc>
      </w:tr>
    </w:tbl>
    <w:p>
      <w:pPr>
        <w:spacing w:after="0" w:line="176" w:lineRule="exact"/>
        <w:rPr>
          <w:sz w:val="20"/>
          <w:szCs w:val="20"/>
          <w:color w:val="auto"/>
        </w:rPr>
      </w:pPr>
    </w:p>
    <w:p>
      <w:pPr>
        <w:ind w:left="492" w:right="420" w:hanging="492"/>
        <w:spacing w:after="0" w:line="298" w:lineRule="auto"/>
        <w:tabs>
          <w:tab w:leader="none" w:pos="41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231F20"/>
        </w:rPr>
        <w:t xml:space="preserve">Represents Adjusted EBITDA for the twelve months ended September 30, 2026 and </w:t>
      </w:r>
      <w:r>
        <w:rPr>
          <w:rFonts w:ascii="Times New Roman" w:cs="Times New Roman" w:eastAsia="Times New Roman" w:hAnsi="Times New Roman"/>
          <w:sz w:val="15"/>
          <w:szCs w:val="15"/>
          <w:color w:val="000000"/>
        </w:rPr>
        <w:t>December 31, 2025</w:t>
      </w:r>
      <w:r>
        <w:rPr>
          <w:rFonts w:ascii="Times New Roman" w:cs="Times New Roman" w:eastAsia="Times New Roman" w:hAnsi="Times New Roman"/>
          <w:sz w:val="15"/>
          <w:szCs w:val="15"/>
          <w:color w:val="231F20"/>
        </w:rPr>
        <w:t>, respectively. Refer to the reconciliation of net income (the most comparable GAAP measure) to Adjusted EBITDA on the following page.</w:t>
      </w: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12"/>
          </w:cols>
          <w:pgMar w:left="328" w:top="122" w:right="359" w:bottom="1440" w:gutter="0" w:footer="0" w:header="0"/>
        </w:sectPr>
      </w:pPr>
    </w:p>
    <w:bookmarkStart w:id="15" w:name="page16"/>
    <w:bookmarkEnd w:id="15"/>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2"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80" w:type="dxa"/>
            <w:vAlign w:val="bottom"/>
          </w:tcPr>
          <w:p>
            <w:pPr>
              <w:spacing w:after="0"/>
              <w:rPr>
                <w:sz w:val="13"/>
                <w:szCs w:val="13"/>
                <w:color w:val="auto"/>
              </w:rPr>
            </w:pPr>
          </w:p>
        </w:tc>
        <w:tc>
          <w:tcPr>
            <w:tcW w:w="16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7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16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4"/>
        </w:trPr>
        <w:tc>
          <w:tcPr>
            <w:tcW w:w="7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173,470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77,949</w:t>
            </w:r>
          </w:p>
        </w:tc>
      </w:tr>
      <w:tr>
        <w:trPr>
          <w:trHeight w:val="214"/>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22,243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41,798</w:t>
            </w:r>
          </w:p>
        </w:tc>
      </w:tr>
      <w:tr>
        <w:trPr>
          <w:trHeight w:val="231"/>
        </w:trPr>
        <w:tc>
          <w:tcPr>
            <w:tcW w:w="7360" w:type="dxa"/>
            <w:vAlign w:val="bottom"/>
            <w:shd w:val="clear" w:color="auto" w:fill="CCEEFF"/>
          </w:tcPr>
          <w:p>
            <w:pPr>
              <w:ind w:left="240"/>
              <w:spacing w:after="0" w:line="231"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37,219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31,068</w:t>
            </w:r>
          </w:p>
        </w:tc>
      </w:tr>
      <w:tr>
        <w:trPr>
          <w:trHeight w:val="216"/>
        </w:trPr>
        <w:tc>
          <w:tcPr>
            <w:tcW w:w="73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18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1,462</w:t>
            </w:r>
          </w:p>
        </w:tc>
      </w:tr>
      <w:tr>
        <w:trPr>
          <w:trHeight w:val="216"/>
        </w:trPr>
        <w:tc>
          <w:tcPr>
            <w:tcW w:w="73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(Gain) loss on foreign currency and derivatives not designated as hedging instruments, net</w:t>
            </w:r>
            <w:r>
              <w:rPr>
                <w:rFonts w:ascii="Times New Roman" w:cs="Times New Roman" w:eastAsia="Times New Roman" w:hAnsi="Times New Roman"/>
                <w:sz w:val="21"/>
                <w:szCs w:val="21"/>
                <w:color w:val="auto"/>
                <w:vertAlign w:val="superscript"/>
              </w:rPr>
              <w:t>(c)</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w:t>
            </w:r>
          </w:p>
        </w:tc>
      </w:tr>
      <w:tr>
        <w:trPr>
          <w:trHeight w:val="216"/>
        </w:trPr>
        <w:tc>
          <w:tcPr>
            <w:tcW w:w="73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18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8,068</w:t>
            </w:r>
          </w:p>
        </w:tc>
      </w:tr>
      <w:tr>
        <w:trPr>
          <w:trHeight w:val="216"/>
        </w:trPr>
        <w:tc>
          <w:tcPr>
            <w:tcW w:w="73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43,570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46,225</w:t>
            </w:r>
          </w:p>
        </w:tc>
      </w:tr>
      <w:tr>
        <w:trPr>
          <w:trHeight w:val="216"/>
        </w:trPr>
        <w:tc>
          <w:tcPr>
            <w:tcW w:w="73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Illinois EO litigation settlements</w:t>
            </w:r>
            <w:r>
              <w:rPr>
                <w:rFonts w:ascii="Times New Roman" w:cs="Times New Roman" w:eastAsia="Times New Roman" w:hAnsi="Times New Roman"/>
                <w:sz w:val="21"/>
                <w:szCs w:val="21"/>
                <w:color w:val="auto"/>
                <w:vertAlign w:val="superscript"/>
              </w:rPr>
              <w:t>(f)</w:t>
            </w:r>
          </w:p>
        </w:tc>
        <w:tc>
          <w:tcPr>
            <w:tcW w:w="18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64,943</w:t>
            </w:r>
          </w:p>
        </w:tc>
      </w:tr>
      <w:tr>
        <w:trPr>
          <w:trHeight w:val="216"/>
        </w:trPr>
        <w:tc>
          <w:tcPr>
            <w:tcW w:w="73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(g)</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2,321</w:t>
            </w:r>
          </w:p>
        </w:tc>
      </w:tr>
      <w:tr>
        <w:trPr>
          <w:trHeight w:val="216"/>
        </w:trPr>
        <w:tc>
          <w:tcPr>
            <w:tcW w:w="736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(benefit) associated with pre-tax adjustments</w:t>
            </w:r>
            <w:r>
              <w:rPr>
                <w:rFonts w:ascii="Times New Roman" w:cs="Times New Roman" w:eastAsia="Times New Roman" w:hAnsi="Times New Roman"/>
                <w:sz w:val="21"/>
                <w:szCs w:val="21"/>
                <w:color w:val="auto"/>
                <w:vertAlign w:val="superscript"/>
              </w:rPr>
              <w:t>(h)</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(28,478)</w:t>
            </w: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283,853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245,414</w:t>
            </w:r>
          </w:p>
        </w:tc>
      </w:tr>
      <w:tr>
        <w:trPr>
          <w:trHeight w:val="208"/>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138,320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155,722</w:t>
            </w:r>
          </w:p>
        </w:tc>
      </w:tr>
      <w:tr>
        <w:trPr>
          <w:trHeight w:val="218"/>
        </w:trPr>
        <w:tc>
          <w:tcPr>
            <w:tcW w:w="736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(i)</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106,735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94,630</w:t>
            </w:r>
          </w:p>
        </w:tc>
      </w:tr>
      <w:tr>
        <w:trPr>
          <w:trHeight w:val="216"/>
        </w:trPr>
        <w:tc>
          <w:tcPr>
            <w:tcW w:w="736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(j)</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99,186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98,035</w:t>
            </w:r>
          </w:p>
        </w:tc>
      </w:tr>
      <w:tr>
        <w:trPr>
          <w:trHeight w:val="234"/>
        </w:trPr>
        <w:tc>
          <w:tcPr>
            <w:tcW w:w="736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628,094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593,801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1,229,747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1,163,617</w:t>
            </w: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51.0 %</w:t>
            </w:r>
          </w:p>
        </w:tc>
      </w:tr>
    </w:tbl>
    <w:p>
      <w:pPr>
        <w:spacing w:after="0" w:line="175" w:lineRule="exact"/>
        <w:rPr>
          <w:sz w:val="20"/>
          <w:szCs w:val="20"/>
          <w:color w:val="auto"/>
        </w:rPr>
      </w:pPr>
    </w:p>
    <w:p>
      <w:pPr>
        <w:ind w:left="332" w:hanging="332"/>
        <w:spacing w:after="0"/>
        <w:tabs>
          <w:tab w:leader="none" w:pos="332"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share-based compensation expense related to employees and non-employee Directors.</w:t>
      </w:r>
    </w:p>
    <w:p>
      <w:pPr>
        <w:spacing w:after="0" w:line="57" w:lineRule="exact"/>
        <w:rPr>
          <w:rFonts w:ascii="Times New Roman" w:cs="Times New Roman" w:eastAsia="Times New Roman" w:hAnsi="Times New Roman"/>
          <w:sz w:val="15"/>
          <w:szCs w:val="15"/>
          <w:color w:val="auto"/>
        </w:rPr>
      </w:pPr>
    </w:p>
    <w:p>
      <w:pPr>
        <w:ind w:left="332" w:hanging="332"/>
        <w:spacing w:after="0"/>
        <w:tabs>
          <w:tab w:leader="none" w:pos="332"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write-off of unamortized debt issuance costs and discounts, as well as certain other costs incurred related to the Term Loans and the Revolving Credit Facility.</w:t>
      </w:r>
    </w:p>
    <w:p>
      <w:pPr>
        <w:spacing w:after="0" w:line="43" w:lineRule="exact"/>
        <w:rPr>
          <w:rFonts w:ascii="Times New Roman" w:cs="Times New Roman" w:eastAsia="Times New Roman" w:hAnsi="Times New Roman"/>
          <w:sz w:val="15"/>
          <w:szCs w:val="15"/>
          <w:color w:val="auto"/>
        </w:rPr>
      </w:pPr>
    </w:p>
    <w:p>
      <w:pPr>
        <w:ind w:left="652" w:right="100" w:hanging="652"/>
        <w:spacing w:after="0" w:line="280" w:lineRule="auto"/>
        <w:tabs>
          <w:tab w:leader="none" w:pos="32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and (ii) non-cash mark-to-fair value of embedded derivatives relating to certain customer and supply contracts at Nordion.</w:t>
      </w:r>
    </w:p>
    <w:p>
      <w:pPr>
        <w:spacing w:after="0" w:line="2" w:lineRule="exact"/>
        <w:rPr>
          <w:rFonts w:ascii="Times New Roman" w:cs="Times New Roman" w:eastAsia="Times New Roman" w:hAnsi="Times New Roman"/>
          <w:sz w:val="15"/>
          <w:szCs w:val="15"/>
          <w:color w:val="auto"/>
        </w:rPr>
      </w:pPr>
    </w:p>
    <w:p>
      <w:pPr>
        <w:ind w:left="652" w:hanging="652"/>
        <w:spacing w:after="0" w:line="272" w:lineRule="auto"/>
        <w:tabs>
          <w:tab w:leader="none" w:pos="33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ind w:left="332" w:hanging="332"/>
        <w:spacing w:after="0"/>
        <w:tabs>
          <w:tab w:leader="none" w:pos="332"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w:t>
      </w:r>
    </w:p>
    <w:p>
      <w:pPr>
        <w:spacing w:after="0" w:line="57" w:lineRule="exact"/>
        <w:rPr>
          <w:rFonts w:ascii="Times New Roman" w:cs="Times New Roman" w:eastAsia="Times New Roman" w:hAnsi="Times New Roman"/>
          <w:sz w:val="15"/>
          <w:szCs w:val="15"/>
          <w:color w:val="auto"/>
        </w:rPr>
      </w:pPr>
    </w:p>
    <w:p>
      <w:pPr>
        <w:ind w:left="652" w:right="280" w:hanging="652"/>
        <w:spacing w:after="0" w:line="280" w:lineRule="auto"/>
        <w:tabs>
          <w:tab w:leader="none" w:pos="31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2" w:lineRule="exact"/>
        <w:rPr>
          <w:rFonts w:ascii="Times New Roman" w:cs="Times New Roman" w:eastAsia="Times New Roman" w:hAnsi="Times New Roman"/>
          <w:sz w:val="15"/>
          <w:szCs w:val="15"/>
          <w:color w:val="auto"/>
        </w:rPr>
      </w:pPr>
    </w:p>
    <w:p>
      <w:pPr>
        <w:ind w:left="652" w:right="1100" w:hanging="652"/>
        <w:spacing w:after="0" w:line="272" w:lineRule="auto"/>
        <w:tabs>
          <w:tab w:leader="none" w:pos="33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ARO related to Co-60 gamma and EO processing facilities, which are based on estimated site remediation costs for any future decommissioning of these facilities and are accreted over the life of the asset.</w:t>
      </w:r>
    </w:p>
    <w:p>
      <w:pPr>
        <w:ind w:left="652" w:right="100" w:hanging="652"/>
        <w:spacing w:after="0" w:line="272" w:lineRule="auto"/>
        <w:tabs>
          <w:tab w:leader="none" w:pos="33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292" w:hanging="292"/>
        <w:spacing w:after="0"/>
        <w:tabs>
          <w:tab w:leader="none" w:pos="292"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depreciation of Co-60 held at gamma irradiation sites and excludes accelerated depreciation associated with business optimization activities.</w:t>
      </w:r>
    </w:p>
    <w:p>
      <w:pPr>
        <w:spacing w:after="0" w:line="43" w:lineRule="exact"/>
        <w:rPr>
          <w:rFonts w:ascii="Times New Roman" w:cs="Times New Roman" w:eastAsia="Times New Roman" w:hAnsi="Times New Roman"/>
          <w:sz w:val="15"/>
          <w:szCs w:val="15"/>
          <w:color w:val="auto"/>
        </w:rPr>
      </w:pPr>
    </w:p>
    <w:p>
      <w:pPr>
        <w:ind w:left="652" w:right="160" w:hanging="652"/>
        <w:spacing w:after="0" w:line="281" w:lineRule="auto"/>
        <w:tabs>
          <w:tab w:leader="none" w:pos="301" w:val="left"/>
        </w:tabs>
        <w:numPr>
          <w:ilvl w:val="0"/>
          <w:numId w:val="12"/>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difference between the income tax provision as determined under GAAP and the income tax provision (benefit) associated with pre-tax adjustments described in footnote (h).</w:t>
      </w:r>
    </w:p>
    <w:p>
      <w:pPr>
        <w:spacing w:after="0" w:line="1" w:lineRule="exact"/>
        <w:rPr>
          <w:rFonts w:ascii="Times New Roman" w:cs="Times New Roman" w:eastAsia="Times New Roman" w:hAnsi="Times New Roman"/>
          <w:sz w:val="15"/>
          <w:szCs w:val="15"/>
          <w:color w:val="231F20"/>
        </w:rPr>
      </w:pPr>
    </w:p>
    <w:p>
      <w:pPr>
        <w:ind w:left="652" w:right="300" w:hanging="652"/>
        <w:spacing w:after="0" w:line="298" w:lineRule="auto"/>
        <w:tabs>
          <w:tab w:leader="none" w:pos="33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$110.0 million </w:t>
      </w:r>
      <w:r>
        <w:rPr>
          <w:rFonts w:ascii="Times New Roman" w:cs="Times New Roman" w:eastAsia="Times New Roman" w:hAnsi="Times New Roman"/>
          <w:sz w:val="15"/>
          <w:szCs w:val="15"/>
          <w:color w:val="231F20"/>
        </w:rPr>
        <w:t>and</w:t>
      </w:r>
      <w:r>
        <w:rPr>
          <w:rFonts w:ascii="Times New Roman" w:cs="Times New Roman" w:eastAsia="Times New Roman" w:hAnsi="Times New Roman"/>
          <w:sz w:val="15"/>
          <w:szCs w:val="15"/>
          <w:color w:val="auto"/>
        </w:rPr>
        <w:t xml:space="preserve"> $99.9 million </w:t>
      </w:r>
      <w:r>
        <w:rPr>
          <w:rFonts w:ascii="Times New Roman" w:cs="Times New Roman" w:eastAsia="Times New Roman" w:hAnsi="Times New Roman"/>
          <w:sz w:val="15"/>
          <w:szCs w:val="15"/>
          <w:color w:val="231F20"/>
        </w:rPr>
        <w:t>of the adjustments for the twelve months ended</w:t>
      </w:r>
      <w:r>
        <w:rPr>
          <w:rFonts w:ascii="Times New Roman" w:cs="Times New Roman" w:eastAsia="Times New Roman" w:hAnsi="Times New Roman"/>
          <w:sz w:val="15"/>
          <w:szCs w:val="15"/>
          <w:color w:val="auto"/>
        </w:rPr>
        <w:t xml:space="preserve"> September 30, 2026 </w:t>
      </w:r>
      <w:r>
        <w:rPr>
          <w:rFonts w:ascii="Times New Roman" w:cs="Times New Roman" w:eastAsia="Times New Roman" w:hAnsi="Times New Roman"/>
          <w:sz w:val="15"/>
          <w:szCs w:val="15"/>
          <w:color w:val="231F20"/>
        </w:rPr>
        <w:t>and</w:t>
      </w:r>
      <w:r>
        <w:rPr>
          <w:rFonts w:ascii="Times New Roman" w:cs="Times New Roman" w:eastAsia="Times New Roman" w:hAnsi="Times New Roman"/>
          <w:sz w:val="15"/>
          <w:szCs w:val="15"/>
          <w:color w:val="auto"/>
        </w:rPr>
        <w:t xml:space="preserve"> December 31, 2025</w:t>
      </w:r>
      <w:r>
        <w:rPr>
          <w:rFonts w:ascii="Times New Roman" w:cs="Times New Roman" w:eastAsia="Times New Roman" w:hAnsi="Times New Roman"/>
          <w:sz w:val="15"/>
          <w:szCs w:val="15"/>
          <w:color w:val="231F20"/>
        </w:rPr>
        <w:t>, respectively, are included in cost of revenues,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31F20"/>
        </w:rPr>
        <w:t>primarily consisting of amortization of intangible assets, depreciation, and accretion of asset retirement obligations.</w:t>
      </w:r>
    </w:p>
    <w:p>
      <w:pPr>
        <w:spacing w:after="0" w:line="3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sectPr>
      <w:pgSz w:w="11900" w:h="16838" w:orient="portrait"/>
      <w:cols w:equalWidth="0" w:num="1">
        <w:col w:w="11212"/>
      </w:cols>
      <w:pgMar w:left="328"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2026-11-03T07:17:27Z</dcterms:created>
  <dcterms:modified xsi:type="dcterms:W3CDTF">2026-11-03T07:17:27Z</dcterms:modified>
</cp:coreProperties>
</file>