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333-254287</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182245</wp:posOffset>
            </wp:positionV>
            <wp:extent cx="156019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is a public offering of shares of common stock of Sotera Health Company.</w:t>
      </w:r>
    </w:p>
    <w:p>
      <w:pPr>
        <w:spacing w:after="0" w:line="225" w:lineRule="exact"/>
        <w:rPr>
          <w:sz w:val="24"/>
          <w:szCs w:val="24"/>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identified in this prospectus are offering 25,000,000 shares of our common stock. We are not selling any shares of common stock under this prospectus and will not receive any proceeds from the sale of the shares by the selling stockholders. Our common stock is listed and traded on the Nasdaq Global Select Market (“Nasdaq”) under the symbol “SHC.” On March 17, 2021, the last reported sale price of our common stock on Nasdaq was $27.74 per share.</w:t>
      </w:r>
    </w:p>
    <w:p>
      <w:pPr>
        <w:spacing w:after="0" w:line="180" w:lineRule="exact"/>
        <w:rPr>
          <w:sz w:val="24"/>
          <w:szCs w:val="24"/>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right="440" w:firstLine="44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22">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19 to read about factors you should consider before deciding to invest in our common stock.</w:t>
      </w:r>
    </w:p>
    <w:p>
      <w:pPr>
        <w:spacing w:after="0" w:line="159" w:lineRule="exact"/>
        <w:rPr>
          <w:sz w:val="24"/>
          <w:szCs w:val="24"/>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79"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0.8775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21,937,500</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selling stockholders, before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26.1225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653,062,500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have agreed to reimburse the underwriters for certain expenses in connection with this offering. See “Underwriting.”</w:t>
      </w:r>
    </w:p>
    <w:p>
      <w:pPr>
        <w:spacing w:after="0" w:line="225" w:lineRule="exact"/>
        <w:rPr>
          <w:sz w:val="24"/>
          <w:szCs w:val="24"/>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have granted the underwriters an option to purchase up to 3,750,000 additional shares of common stock at the public offering price less the underwriting discount for a period of 30 days after the date of this prospectus.</w:t>
      </w:r>
    </w:p>
    <w:p>
      <w:pPr>
        <w:spacing w:after="0" w:line="16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Delivery of the shares of common stock will be made on or about March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J.P. Morgan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28"/>
          <w:szCs w:val="28"/>
          <w:b w:val="1"/>
          <w:bCs w:val="1"/>
          <w:color w:val="auto"/>
        </w:rPr>
        <w:t>Credit Suisse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Jefferies</w:t>
      </w:r>
    </w:p>
    <w:p>
      <w:pPr>
        <w:spacing w:after="0" w:line="200" w:lineRule="exact"/>
        <w:rPr>
          <w:sz w:val="24"/>
          <w:szCs w:val="24"/>
          <w:color w:val="auto"/>
        </w:rPr>
      </w:pPr>
    </w:p>
    <w:p>
      <w:pPr>
        <w:sectPr>
          <w:pgSz w:w="11900" w:h="16838" w:orient="portrait"/>
          <w:cols w:equalWidth="0" w:num="4">
            <w:col w:w="2420" w:space="720"/>
            <w:col w:w="2340" w:space="720"/>
            <w:col w:w="3400" w:space="500"/>
            <w:col w:w="1040"/>
          </w:cols>
          <w:pgMar w:left="320" w:top="226" w:right="439" w:bottom="1440" w:gutter="0" w:footer="0" w:header="0"/>
          <w:type w:val="continuous"/>
        </w:sectPr>
      </w:pPr>
    </w:p>
    <w:p>
      <w:pPr>
        <w:spacing w:after="0" w:line="1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Barclays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Citigroup</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RBC Capital Markets</w:t>
      </w:r>
    </w:p>
    <w:p>
      <w:pPr>
        <w:spacing w:after="0" w:line="200" w:lineRule="exact"/>
        <w:rPr>
          <w:sz w:val="24"/>
          <w:szCs w:val="24"/>
          <w:color w:val="auto"/>
        </w:rPr>
      </w:pPr>
    </w:p>
    <w:p>
      <w:pPr>
        <w:sectPr>
          <w:pgSz w:w="11900" w:h="16838" w:orient="portrait"/>
          <w:cols w:equalWidth="0" w:num="3">
            <w:col w:w="4500" w:space="720"/>
            <w:col w:w="2480" w:space="720"/>
            <w:col w:w="2720"/>
          </w:cols>
          <w:pgMar w:left="320" w:top="226" w:right="439" w:bottom="1440" w:gutter="0" w:footer="0" w:header="0"/>
          <w:type w:val="continuous"/>
        </w:sectPr>
      </w:pPr>
    </w:p>
    <w:p>
      <w:pPr>
        <w:spacing w:after="0" w:line="182"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117"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Academy Securities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KeyBanc Capital Markets</w:t>
      </w:r>
    </w:p>
    <w:p>
      <w:pPr>
        <w:spacing w:after="0" w:line="117"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Loop Capital Markets</w:t>
      </w:r>
      <w:r>
        <w:rPr>
          <w:sz w:val="20"/>
          <w:szCs w:val="20"/>
          <w:color w:val="auto"/>
        </w:rPr>
        <w:tab/>
      </w:r>
      <w:r>
        <w:rPr>
          <w:rFonts w:ascii="Times New Roman" w:cs="Times New Roman" w:eastAsia="Times New Roman" w:hAnsi="Times New Roman"/>
          <w:sz w:val="17"/>
          <w:szCs w:val="17"/>
          <w:b w:val="1"/>
          <w:bCs w:val="1"/>
          <w:color w:val="auto"/>
        </w:rPr>
        <w:t>Penserra Securities LLC</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80"/>
        <w:spacing w:after="0" w:line="331" w:lineRule="auto"/>
        <w:rPr>
          <w:sz w:val="20"/>
          <w:szCs w:val="20"/>
          <w:color w:val="auto"/>
        </w:rPr>
      </w:pPr>
      <w:r>
        <w:rPr>
          <w:rFonts w:ascii="Times New Roman" w:cs="Times New Roman" w:eastAsia="Times New Roman" w:hAnsi="Times New Roman"/>
          <w:sz w:val="18"/>
          <w:szCs w:val="18"/>
          <w:b w:val="1"/>
          <w:bCs w:val="1"/>
          <w:color w:val="auto"/>
        </w:rPr>
        <w:t>Citizens Capital Markets Siebert Williams Shank</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ING</w:t>
      </w:r>
    </w:p>
    <w:p>
      <w:pPr>
        <w:spacing w:after="0" w:line="11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Tigress Financial</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Partners</w:t>
      </w:r>
    </w:p>
    <w:p>
      <w:pPr>
        <w:spacing w:after="0" w:line="203" w:lineRule="exact"/>
        <w:rPr>
          <w:sz w:val="24"/>
          <w:szCs w:val="24"/>
          <w:color w:val="auto"/>
        </w:rPr>
      </w:pPr>
    </w:p>
    <w:p>
      <w:pPr>
        <w:sectPr>
          <w:pgSz w:w="11900" w:h="16838" w:orient="portrait"/>
          <w:cols w:equalWidth="0" w:num="4">
            <w:col w:w="1860" w:space="400"/>
            <w:col w:w="3780" w:space="680"/>
            <w:col w:w="2100" w:space="720"/>
            <w:col w:w="1600"/>
          </w:cols>
          <w:pgMar w:left="320" w:top="226"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Prospectus dated March 17, 2021.</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103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SUMMARY</w:t>
              </w:r>
            </w:hyperlink>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030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RISK FACTORS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CAUTIONARY NOTE REGARDING FORWARD-LOOKING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DIVIDEND POLICY</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CAPITALIZATION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PRINCIPAL AND SELLING STOCKHOLDERS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DESCRIPTION OF CAPITAL STOCK</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SHARES ELIGIBLE FOR FUTURE SALE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MATERIAL U.S. FEDERAL INCOME TAX CONSIDERATIONS FOR NON-U.S. HOLDERS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UNDERWRITING</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LEGAL MATTERS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EXPERTS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WHERE YOU CAN FIND MORE INFORMATION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0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INCORPORATION BY REFERENCE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any amendment or supplement to this prospectus and any free writing prospectus prepared by us or on our behalf that we have referred you to. We and the selling stockholders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and the selling stockholders take no responsibility for, and can provide no assurance as to the reliability of, any other information that others may give you or any representation that others may make to you. We and the selling stockholders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185" w:lineRule="exact"/>
        <w:rPr>
          <w:sz w:val="20"/>
          <w:szCs w:val="20"/>
          <w:color w:val="auto"/>
        </w:rPr>
      </w:pPr>
    </w:p>
    <w:p>
      <w:pPr>
        <w:jc w:val="both"/>
        <w:ind w:left="300" w:right="160" w:firstLine="426"/>
        <w:spacing w:after="0" w:line="268"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Trademarks, Service Marks and Trade Names</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 xml:space="preserve">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 trademarks, service marks and trade names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20"/>
          </w:cols>
          <w:pgMar w:left="320" w:top="455" w:right="6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452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1452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and in Sotera Health Company’s Annual Report on Form 10-K for the fiscal year ended December 31, 2020 (“Sotera Health’s 2020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20"/>
          </w:cols>
          <w:pgMar w:left="320" w:top="455" w:right="8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50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about our company and this offering that is included elsewhere in this prospectus in greater detail or incorporated by reference herein from our filings with the SEC listed under “Incorporation by Reference.”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and “Summary Historical Consolidated Financial and Other Data” and the information incorporated herein by reference.</w:t>
      </w:r>
    </w:p>
    <w:p>
      <w:pPr>
        <w:spacing w:after="0" w:line="182" w:lineRule="exact"/>
        <w:rPr>
          <w:sz w:val="20"/>
          <w:szCs w:val="20"/>
          <w:color w:val="auto"/>
        </w:rPr>
      </w:pPr>
    </w:p>
    <w:p>
      <w:pPr>
        <w:ind w:left="300" w:right="1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unless we indicate otherwise or the context requires, “Sotera Health,” “Sotera Health Company,” “our company,” “the company,” “we,” “our,” “ours” and “us” refer to Sotera Health Company and its consolidated subsidiaries.</w:t>
      </w:r>
    </w:p>
    <w:p>
      <w:pPr>
        <w:spacing w:after="0" w:line="3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960" w:firstLine="426"/>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We</w:t>
      </w: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320" w:top="455" w:right="7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76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64 facilities worldwide, we have nearly 3,000 employees who are dedicated to safety and quality. We are a trusted partner to more than 5,800 customers in over 50 countries.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Businesses</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336" w:lineRule="exact"/>
        <w:rPr>
          <w:sz w:val="20"/>
          <w:szCs w:val="20"/>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Sterilization Services (our Sterigenics and Nordion brands):</w:t>
      </w:r>
    </w:p>
    <w:p>
      <w:pPr>
        <w:spacing w:after="0" w:line="130" w:lineRule="exact"/>
        <w:rPr>
          <w:rFonts w:ascii="Times New Roman" w:cs="Times New Roman" w:eastAsia="Times New Roman" w:hAnsi="Times New Roman"/>
          <w:sz w:val="18"/>
          <w:szCs w:val="18"/>
          <w:color w:val="auto"/>
        </w:rPr>
      </w:pPr>
    </w:p>
    <w:p>
      <w:pPr>
        <w:ind w:left="1240" w:right="20" w:hanging="415"/>
        <w:spacing w:after="0" w:line="255" w:lineRule="auto"/>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90" w:lineRule="exact"/>
        <w:rPr>
          <w:rFonts w:ascii="Times New Roman" w:cs="Times New Roman" w:eastAsia="Times New Roman" w:hAnsi="Times New Roman"/>
          <w:sz w:val="18"/>
          <w:szCs w:val="18"/>
          <w:color w:val="auto"/>
        </w:rPr>
      </w:pPr>
    </w:p>
    <w:p>
      <w:pPr>
        <w:ind w:left="1640" w:right="320" w:hanging="397"/>
        <w:spacing w:after="0" w:line="268" w:lineRule="auto"/>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Gamma irradiation: </w:t>
      </w:r>
      <w:r>
        <w:rPr>
          <w:rFonts w:ascii="Times New Roman" w:cs="Times New Roman" w:eastAsia="Times New Roman" w:hAnsi="Times New Roman"/>
          <w:sz w:val="18"/>
          <w:szCs w:val="18"/>
          <w:color w:val="auto"/>
        </w:rPr>
        <w:t>A process in which products are exposed to gamma rays emitted by Co-60. Gamma rays can penetrate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 dense materials to kill microbes. Gamma is particularly effective at sterilizing high-density medical products such as sutures, surgical tools and stents.</w:t>
      </w:r>
    </w:p>
    <w:p>
      <w:pPr>
        <w:spacing w:after="0" w:line="76" w:lineRule="exact"/>
        <w:rPr>
          <w:rFonts w:ascii="Times New Roman" w:cs="Times New Roman" w:eastAsia="Times New Roman" w:hAnsi="Times New Roman"/>
          <w:sz w:val="18"/>
          <w:szCs w:val="18"/>
          <w:color w:val="auto"/>
        </w:rPr>
      </w:pPr>
    </w:p>
    <w:p>
      <w:pPr>
        <w:ind w:left="1640" w:right="80" w:hanging="397"/>
        <w:spacing w:after="0" w:line="257" w:lineRule="auto"/>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EO processing: </w:t>
      </w:r>
      <w:r>
        <w:rPr>
          <w:rFonts w:ascii="Times New Roman" w:cs="Times New Roman" w:eastAsia="Times New Roman" w:hAnsi="Times New Roman"/>
          <w:sz w:val="18"/>
          <w:szCs w:val="18"/>
          <w:color w:val="auto"/>
        </w:rPr>
        <w:t>A gas sterilization process in which pallets of packaged goods are loaded into a secure chamber that is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87" w:lineRule="exact"/>
        <w:rPr>
          <w:rFonts w:ascii="Times New Roman" w:cs="Times New Roman" w:eastAsia="Times New Roman" w:hAnsi="Times New Roman"/>
          <w:sz w:val="18"/>
          <w:szCs w:val="18"/>
          <w:color w:val="auto"/>
        </w:rPr>
      </w:pPr>
    </w:p>
    <w:p>
      <w:pPr>
        <w:ind w:left="1640" w:right="100" w:hanging="397"/>
        <w:spacing w:after="0" w:line="262" w:lineRule="auto"/>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E-beam irradiation: </w:t>
      </w:r>
      <w:r>
        <w:rPr>
          <w:rFonts w:ascii="Times New Roman" w:cs="Times New Roman" w:eastAsia="Times New Roman" w:hAnsi="Times New Roman"/>
          <w:sz w:val="18"/>
          <w:szCs w:val="18"/>
          <w:color w:val="auto"/>
        </w:rPr>
        <w:t>A process in which products are exposed to machine-generated radiation in the form of a stream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electrons. E-beam is particularly effective for low density homogenous products such as glass labware. Several medical devices products also rely on E-beam as an effective form of sterilization, including certain types of syringes. In addition to medical device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60"/>
        <w:spacing w:after="0" w:line="282" w:lineRule="auto"/>
        <w:rPr>
          <w:sz w:val="20"/>
          <w:szCs w:val="20"/>
          <w:color w:val="auto"/>
        </w:rPr>
      </w:pPr>
      <w:r>
        <w:rPr>
          <w:rFonts w:ascii="Times New Roman" w:cs="Times New Roman" w:eastAsia="Times New Roman" w:hAnsi="Times New Roman"/>
          <w:sz w:val="18"/>
          <w:szCs w:val="18"/>
          <w:color w:val="auto"/>
        </w:rPr>
        <w:t>sterilization, E-beam can also be used as an effective technology for materials modification, such as the crosslinking of certain polymers or for enriching the color of gemstones.</w:t>
      </w:r>
    </w:p>
    <w:p>
      <w:pPr>
        <w:spacing w:after="0" w:line="67" w:lineRule="exact"/>
        <w:rPr>
          <w:sz w:val="20"/>
          <w:szCs w:val="20"/>
          <w:color w:val="auto"/>
        </w:rPr>
      </w:pPr>
    </w:p>
    <w:p>
      <w:pPr>
        <w:ind w:left="1240" w:right="20" w:hanging="415"/>
        <w:spacing w:after="0" w:line="254"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w:t>
      </w:r>
    </w:p>
    <w:p>
      <w:pPr>
        <w:spacing w:after="0" w:line="336"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Lab Services (our Nelson Labs brand):</w:t>
      </w:r>
    </w:p>
    <w:p>
      <w:pPr>
        <w:spacing w:after="0" w:line="134" w:lineRule="exact"/>
        <w:rPr>
          <w:rFonts w:ascii="Times New Roman" w:cs="Times New Roman" w:eastAsia="Times New Roman" w:hAnsi="Times New Roman"/>
          <w:sz w:val="18"/>
          <w:szCs w:val="18"/>
          <w:b w:val="1"/>
          <w:bCs w:val="1"/>
          <w:color w:val="auto"/>
        </w:rPr>
      </w:pPr>
    </w:p>
    <w:p>
      <w:pPr>
        <w:ind w:left="1240" w:right="200" w:hanging="415"/>
        <w:spacing w:after="0" w:line="261"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85" w:lineRule="exact"/>
        <w:rPr>
          <w:rFonts w:ascii="Times New Roman" w:cs="Times New Roman" w:eastAsia="Times New Roman" w:hAnsi="Times New Roman"/>
          <w:sz w:val="18"/>
          <w:szCs w:val="18"/>
          <w:color w:val="auto"/>
        </w:rPr>
      </w:pPr>
    </w:p>
    <w:p>
      <w:pPr>
        <w:ind w:left="1640" w:right="540" w:hanging="397"/>
        <w:spacing w:after="0" w:line="282"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 testing services help to identify and measure the potential risks of microbes to a product and ensure that the quality of the products is maintained.</w:t>
      </w:r>
    </w:p>
    <w:p>
      <w:pPr>
        <w:spacing w:after="0" w:line="67" w:lineRule="exact"/>
        <w:rPr>
          <w:rFonts w:ascii="Times New Roman" w:cs="Times New Roman" w:eastAsia="Times New Roman" w:hAnsi="Times New Roman"/>
          <w:sz w:val="18"/>
          <w:szCs w:val="18"/>
          <w:color w:val="auto"/>
        </w:rPr>
      </w:pPr>
    </w:p>
    <w:p>
      <w:pPr>
        <w:ind w:left="1640" w:right="580" w:hanging="397"/>
        <w:spacing w:after="0" w:line="266"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1" w:lineRule="exact"/>
        <w:rPr>
          <w:rFonts w:ascii="Times New Roman" w:cs="Times New Roman" w:eastAsia="Times New Roman" w:hAnsi="Times New Roman"/>
          <w:sz w:val="18"/>
          <w:szCs w:val="18"/>
          <w:color w:val="auto"/>
        </w:rPr>
      </w:pPr>
    </w:p>
    <w:p>
      <w:pPr>
        <w:ind w:left="1640" w:right="220" w:hanging="397"/>
        <w:spacing w:after="0" w:line="282"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expert advisory services to aid customers in navigating the regulatory requirements applicable throughout the product lifecycle.</w:t>
      </w:r>
    </w:p>
    <w:p>
      <w:pPr>
        <w:spacing w:after="0" w:line="54" w:lineRule="exact"/>
        <w:rPr>
          <w:sz w:val="20"/>
          <w:szCs w:val="20"/>
          <w:color w:val="auto"/>
        </w:rPr>
      </w:pPr>
    </w:p>
    <w:p>
      <w:pPr>
        <w:ind w:left="1260" w:right="160"/>
        <w:spacing w:after="0" w:line="261" w:lineRule="auto"/>
        <w:rPr>
          <w:sz w:val="20"/>
          <w:szCs w:val="20"/>
          <w:color w:val="auto"/>
        </w:rPr>
      </w:pPr>
      <w:r>
        <w:rPr>
          <w:rFonts w:ascii="Times New Roman" w:cs="Times New Roman" w:eastAsia="Times New Roman" w:hAnsi="Times New Roman"/>
          <w:sz w:val="18"/>
          <w:szCs w:val="18"/>
          <w:color w:val="auto"/>
        </w:rPr>
        <w:t>Nelson Labs serves over 3,800 customers across 14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85" w:lineRule="exact"/>
        <w:rPr>
          <w:sz w:val="20"/>
          <w:szCs w:val="20"/>
          <w:color w:val="auto"/>
        </w:rPr>
      </w:pPr>
    </w:p>
    <w:p>
      <w:pPr>
        <w:ind w:left="1640" w:right="480" w:hanging="397"/>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81" w:lineRule="exact"/>
        <w:rPr>
          <w:rFonts w:ascii="Times New Roman" w:cs="Times New Roman" w:eastAsia="Times New Roman" w:hAnsi="Times New Roman"/>
          <w:sz w:val="18"/>
          <w:szCs w:val="18"/>
          <w:color w:val="auto"/>
        </w:rPr>
      </w:pPr>
    </w:p>
    <w:p>
      <w:pPr>
        <w:jc w:val="both"/>
        <w:ind w:left="1640" w:right="560" w:hanging="397"/>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68" w:lineRule="exact"/>
        <w:rPr>
          <w:sz w:val="20"/>
          <w:szCs w:val="20"/>
          <w:color w:val="auto"/>
        </w:rPr>
      </w:pPr>
    </w:p>
    <w:p>
      <w:pPr>
        <w:ind w:left="1260" w:right="640"/>
        <w:spacing w:after="0" w:line="282" w:lineRule="auto"/>
        <w:rPr>
          <w:sz w:val="20"/>
          <w:szCs w:val="20"/>
          <w:color w:val="auto"/>
        </w:rPr>
      </w:pPr>
      <w:r>
        <w:rPr>
          <w:rFonts w:ascii="Times New Roman" w:cs="Times New Roman" w:eastAsia="Times New Roman" w:hAnsi="Times New Roman"/>
          <w:sz w:val="18"/>
          <w:szCs w:val="18"/>
          <w:color w:val="auto"/>
        </w:rPr>
        <w:t>Nelson Labs is highly complementary to our sterilization services business. In particular, microbiological testing validates the configuration and effectiveness of the sterilization process.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62"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 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 revenues is supported by multi-year contracts. More than 90% of our sterilization services revenues in each of the years ended December 31, 2020 and 2019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Network and Expertise</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0"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With 64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recorded net revenues of $818.2 million, net loss of $37.5 million, Adjusted Net Income of $99.1 million and Adjusted EBITDA of $419.9 million. For the definition of</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8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82" w:lineRule="auto"/>
        <w:rPr>
          <w:sz w:val="20"/>
          <w:szCs w:val="20"/>
          <w:color w:val="auto"/>
        </w:rPr>
      </w:pPr>
      <w:r>
        <w:rPr>
          <w:rFonts w:ascii="Times New Roman" w:cs="Times New Roman" w:eastAsia="Times New Roman" w:hAnsi="Times New Roman"/>
          <w:sz w:val="18"/>
          <w:szCs w:val="18"/>
          <w:color w:val="auto"/>
        </w:rPr>
        <w:t>Adjusted Net Income and Adjusted EBITDA and the reconciliation of these measures from net income (loss), please see “Summary—Summary Historical Consolidated Financial and Other Data.”</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expect several positive secular trends to drive increased demand for our services, including:</w:t>
      </w:r>
    </w:p>
    <w:p>
      <w:pPr>
        <w:spacing w:after="0" w:line="127" w:lineRule="exact"/>
        <w:rPr>
          <w:sz w:val="20"/>
          <w:szCs w:val="20"/>
          <w:color w:val="auto"/>
        </w:rPr>
      </w:pPr>
    </w:p>
    <w:p>
      <w:pPr>
        <w:ind w:left="1240" w:right="20" w:hanging="415"/>
        <w:spacing w:after="0" w:line="25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Favorable demographic trends for healthcare worldwide: </w:t>
      </w:r>
      <w:r>
        <w:rPr>
          <w:rFonts w:ascii="Times New Roman" w:cs="Times New Roman" w:eastAsia="Times New Roman" w:hAnsi="Times New Roman"/>
          <w:sz w:val="18"/>
          <w:szCs w:val="18"/>
          <w:color w:val="auto"/>
        </w:rPr>
        <w:t>Healthcare demand is increasing globally, driven primarily by an 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Centers for Medicare &amp; Medicaid Services (the “CMS”) estimated that health expenditures in the United States will increase from approximately 18% of gross domestic product in 2018 to approximately 20% in 2028.</w:t>
      </w:r>
    </w:p>
    <w:p>
      <w:pPr>
        <w:spacing w:after="0" w:line="93"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demand for healthcare services in global markets: </w:t>
      </w:r>
      <w:r>
        <w:rPr>
          <w:rFonts w:ascii="Times New Roman" w:cs="Times New Roman" w:eastAsia="Times New Roman" w:hAnsi="Times New Roman"/>
          <w:sz w:val="18"/>
          <w:szCs w:val="18"/>
          <w:color w:val="auto"/>
        </w:rPr>
        <w:t>Stricter healthcare standards coupled with heightened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87"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in R&amp;D spending and innovation across healthcare: </w:t>
      </w:r>
      <w:r>
        <w:rPr>
          <w:rFonts w:ascii="Times New Roman" w:cs="Times New Roman" w:eastAsia="Times New Roman" w:hAnsi="Times New Roman"/>
          <w:sz w:val="18"/>
          <w:szCs w:val="18"/>
          <w:color w:val="auto"/>
        </w:rPr>
        <w:t>The pharmaceutical and medical device industries are continuously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innovating and developing new products, which we anticipate will increase the demand for sterilization and lab services. Worldwide pharmaceutical R&amp;D spend is forecasted to grow steadily at a compound annual growth rate (“CAGR”) of approximately 3% between 2019 and 2026, reaching $233 billion by 2026 (EvaluatePharma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July 2020, Evaluate Ltd.). In the medical devices market, the global top twenty companies based on R&amp;D spending spent a combined $18 billion on R&amp;D in 2017 (EvaluateMedTech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World Preview 2018, Evaluate Ltd.). This number is expected to grow at a 4% CAGR, reaching approximately $24 billion by 2024 (EvaluateMedTech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World Preview 2018, Evaluate Ltd.).</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These key strengths make us a global leader in our markets.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global provider of mission-critical sterilization and lab services for the healthcare industry</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participant in large and growing markets, underpinned by trends in global healthcare</w:t>
      </w:r>
    </w:p>
    <w:p>
      <w:pPr>
        <w:spacing w:after="0" w:line="121" w:lineRule="exact"/>
        <w:rPr>
          <w:sz w:val="20"/>
          <w:szCs w:val="20"/>
          <w:color w:val="auto"/>
        </w:rPr>
      </w:pPr>
    </w:p>
    <w:p>
      <w:pPr>
        <w:ind w:left="300" w:right="100" w:firstLine="426"/>
        <w:spacing w:after="0" w:line="289" w:lineRule="auto"/>
        <w:rPr>
          <w:sz w:val="20"/>
          <w:szCs w:val="20"/>
          <w:color w:val="auto"/>
        </w:rPr>
      </w:pPr>
      <w:r>
        <w:rPr>
          <w:rFonts w:ascii="Times New Roman" w:cs="Times New Roman" w:eastAsia="Times New Roman" w:hAnsi="Times New Roman"/>
          <w:sz w:val="17"/>
          <w:szCs w:val="17"/>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58"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96" w:lineRule="exact"/>
        <w:rPr>
          <w:sz w:val="20"/>
          <w:szCs w:val="20"/>
          <w:color w:val="auto"/>
        </w:rPr>
      </w:pPr>
    </w:p>
    <w:p>
      <w:pPr>
        <w:ind w:left="3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Sterilization services business with an established and durable customer base supported by long-term contracts provides highly recurring revenue streams</w:t>
      </w:r>
    </w:p>
    <w:p>
      <w:pPr>
        <w:spacing w:after="0" w:line="51"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Expertise and strong track record in highly regulated markets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and our customers operate in highly complex and regulated markets that require deep knowledge and technical expertise. We believe that the operational discipline that we employ to manage intricate quality 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22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integrated facility network provide differentiated services to our customers</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We have a global network of 64 facilities, consisting of 50 sterilization services facilities and 14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2020.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 of execution and financial performance</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3,000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eight bolt-on acquisitions over the past seven years. In addition, we are disciplined in our capital deployment strategy, which is focused on achieving attractive returns on investment. We pursue capacity expansions that will allow us to consistently grow earnings.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Our strategy is designed to deliver on our mission of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while generating sustainable growth, margins and cash flows for our business: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Drive organic growth by leveraging our leading capabilities, scale and global network</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believe that our established and durable relationships with our diverse customer base, along with the breadth and depth of our service offerings, provide us with a distinct leadership position within the markets that</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Deepen our customer relationships with our comprehensive service offerings in sterilization and lab services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Expand footprint to meet the local needs of our growing global customer base</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 in technical and regulatory capabilities to enhance our leadership position</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Continue our commitment to operational excellence to drive business efficiency and results</w:t>
      </w:r>
    </w:p>
    <w:p>
      <w:pPr>
        <w:spacing w:after="0" w:line="121"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Our focus on operational excellence has allowed us to increase capacity utilization and improve working capital, thereby growing our revenues while expanding margins and improving the customer experience. Our</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07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Pursue value-creating strategic acquisitions to expand our addressable market and enhance our global capabilities and footprint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Iotron Industries Canada, Inc. (“lotron”) and BioScience Laboratories, LLC (“BioScience”),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These risks are discussed in more detail in “Risk Factors” beginning on page 19, and you should carefully consider these risks before making a decision to invest in our common stock. The following is a summary of some of the principal risks we believe we face:</w:t>
      </w:r>
    </w:p>
    <w:p>
      <w:pPr>
        <w:spacing w:after="0" w:line="81" w:lineRule="exact"/>
        <w:rPr>
          <w:sz w:val="20"/>
          <w:szCs w:val="20"/>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trends, environmental, health and safety regulations or preferences and general economic, social and business conditions;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transportation and disposal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5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lawsuits alleging personal injury, property devaluation and other injuries by purported exposure to emissions of EO from our facilities in Willowbrook, Atlanta and Santa Teresa and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to which we are subject and the related costs, and any failures to receive or maintain, or delays in receiving, required clearance or approvals;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and other risks associated with our operations;</w:t>
      </w:r>
    </w:p>
    <w:p>
      <w:pPr>
        <w:spacing w:after="0" w:line="130" w:lineRule="exact"/>
        <w:rPr>
          <w:rFonts w:ascii="Times New Roman" w:cs="Times New Roman" w:eastAsia="Times New Roman" w:hAnsi="Times New Roman"/>
          <w:sz w:val="18"/>
          <w:szCs w:val="18"/>
          <w:color w:val="auto"/>
        </w:rPr>
      </w:pPr>
    </w:p>
    <w:p>
      <w:pPr>
        <w:ind w:left="1240" w:right="5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renew leases for our facilities and build new facilities in a timely and cost-effective manner;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breaches and data leaks, and our dependence on information technology systems;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implement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operating losses, including a net loss attributable to Sotera Health Company of $38.6 million and $20.9 million for the years ended December 31, 2020 and 2019, and the risk that we may not achieve or maintain profitability in the future;</w:t>
      </w:r>
    </w:p>
    <w:p>
      <w:pPr>
        <w:spacing w:after="0" w:line="67"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December 31, 2020, our indebtedness totaled approximately $1,863.6 million, and our debt service obligations (principal and interest) represented approximately 68% of our net cash flows from operating activities (before giving effect to the payment of interest);</w:t>
      </w:r>
    </w:p>
    <w:p>
      <w:pPr>
        <w:spacing w:after="0" w:line="88"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 funds and entities affiliated with Warburg Pincus LLC (“Warburg Pincus”) and GTCR, LLC (“GTCR”) continue to have substantial control over us, which could limit stockholders’ ability to influence the outcome of key transactions, including a change of control; and</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Information and Our Initial Public Offering</w:t>
      </w:r>
    </w:p>
    <w:p>
      <w:pPr>
        <w:spacing w:after="0" w:line="22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In May 2015, investment funds and entities affiliated with either Warburg Pincus or GTCR acquired a controlling interest in our predecessor through Sterigenics-Nordion Topco Parent LLC, now known as Sotera Health Topco Parent, L.P. (“Topco Parent”). On October 23, 2020, we changed our name from Sotera Health Topco, Inc. to Sotera Health Company.</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November 24, 2020, we completed our initial public offering (“IPO”) of 53,590,000 shares of common stock at a price of $23.00 per share. Our common stock began trading on the Nasdaq on November 20, 2020 under the ticker symbol “SHC.” After underwriting discounts and commissions but before expenses, we received net proceeds from our IPO of approximately $1,161.7 million. We used these proceeds to (i) redeem all of the outstanding $770.0 million aggregate principal amount of our senior secured second lien notes at a redemption price of 102% of principal (plus accrued and unpaid interest, which was paid with cash on hand), (ii) repay $341.0 million of indebtedness (including accrued and unpaid interest) under our first lien term loan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0" w:hanging="2"/>
        <w:spacing w:after="0" w:line="261"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1,568,445 shares of our common stock from certain of our executive officers at a purchase price per share equal to the initial public offering price per share of our common stock less an amount equal to the underwriting discounts and commissions payable thereon. Pursuant to the terms of the corporate reorganization that was completed in connection with our IPO, Topco Parent distributed the shares of Sotera Health Company common stock to its partners in accordance with the limited partnership agreement of Topco Parent.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9100 South Hills Blvd, Suite 300 Broadview Heights, Ohio 44147, and our telephone number is</w:t>
      </w:r>
    </w:p>
    <w:p>
      <w:pPr>
        <w:spacing w:after="0" w:line="27" w:lineRule="exact"/>
        <w:rPr>
          <w:sz w:val="20"/>
          <w:szCs w:val="20"/>
          <w:color w:val="auto"/>
        </w:rPr>
      </w:pPr>
    </w:p>
    <w:p>
      <w:pPr>
        <w:ind w:left="300" w:right="560" w:hanging="2"/>
        <w:spacing w:after="0" w:line="260"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262-1410. Our corporate website address is www.soterahealth.com. We do not incorporate the information contained on, or accessible through, our corporate website into this prospectus, and you should not consider it part of this prospectus.</w:t>
      </w:r>
    </w:p>
    <w:p>
      <w:pPr>
        <w:spacing w:after="0" w:line="18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wholly owned subsidiary, Sotera Health Holdings, LLC (“SHH”) is the borrower under our senior secured first lien credit facilities and the issuer of our senior secured first lien notes. We and certain of our domestic subsidiaries are guarantors of SHH’s obligations under our credit facilities and notes.</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Following this offering, certain investment funds and entities affiliates of Warburg Pincus and GTCR, which we refer to collectively as the “Sponsors,” will own approximately 37.26% and 24.84%, respectively, of our common stock (approximately 36.55% and 24.36%, respectively, if the underwriters’ option to purchase additional shares is exercised in full). Together the Sponsors will own, in the aggregate, approximately 62.10% of our common stock (approximately 60.91% if the underwriters’ option to purchase additional shares is exercised in full).</w:t>
      </w:r>
    </w:p>
    <w:p>
      <w:pPr>
        <w:spacing w:after="0" w:line="180"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Warburg Pincus is a global private equity firm focused on growth investing. The firm’s active portfolio of more than 195 companies is highly diversified by stage, sector and geography. It has invested more than $12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$92 billion in over 950 companies across 40 countries. The firm is headquartered in New York with offices in Beijing, Berlin, Hong Kong, Houston, London, Mumbai, San Francisco, São Paulo, Shanghai and Singapore.</w:t>
      </w:r>
    </w:p>
    <w:p>
      <w:pPr>
        <w:spacing w:after="0" w:line="189"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–finding and partnering with management leaders in core domains to identify, acquire and build market-leading companies through transformational acquisitions and organic growth. Since its inception, GTCR has invested more than $20 billion in over 250 companies. GTCR is an active investor in the healthcare products sector and has supported Sotera Health’s significant growth since 2011.</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Pursuant to the stockholders’ agreement entered into in connection with our IPO (the “Stockholders’ Agreement”),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 and will control a 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030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17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 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92" w:lineRule="exact"/>
        <w:rPr>
          <w:sz w:val="20"/>
          <w:szCs w:val="20"/>
          <w:color w:val="auto"/>
        </w:rPr>
      </w:pPr>
    </w:p>
    <w:p>
      <w:pPr>
        <w:ind w:left="300" w:right="280" w:firstLine="426"/>
        <w:spacing w:after="0" w:line="277"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25,000,000 shares.</w:t>
      </w:r>
    </w:p>
    <w:p>
      <w:pPr>
        <w:spacing w:after="0" w:line="200" w:lineRule="exact"/>
        <w:rPr>
          <w:sz w:val="20"/>
          <w:szCs w:val="20"/>
          <w:color w:val="auto"/>
        </w:rPr>
      </w:pPr>
    </w:p>
    <w:p>
      <w:pPr>
        <w:sectPr>
          <w:pgSz w:w="11900" w:h="16838" w:orient="portrait"/>
          <w:cols w:equalWidth="0" w:num="2">
            <w:col w:w="3920" w:space="420"/>
            <w:col w:w="6600"/>
          </w:cols>
          <w:pgMar w:left="320" w:top="455"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selling stockholders may sell up to 3,750,000 additional shares if the underwriters exercise their option to purchase additional shares.</w:t>
      </w:r>
    </w:p>
    <w:p>
      <w:pPr>
        <w:spacing w:after="0" w:line="189" w:lineRule="exact"/>
        <w:rPr>
          <w:sz w:val="20"/>
          <w:szCs w:val="20"/>
          <w:color w:val="auto"/>
        </w:rPr>
      </w:pPr>
    </w:p>
    <w:p>
      <w:pPr>
        <w:sectPr>
          <w:pgSz w:w="11900" w:h="16838" w:orient="portrait"/>
          <w:cols w:equalWidth="0" w:num="2">
            <w:col w:w="3940" w:space="40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“Principal and Selling Stockholders.”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282,899,968 shares.</w:t>
      </w:r>
    </w:p>
    <w:p>
      <w:pPr>
        <w:spacing w:after="0" w:line="200" w:lineRule="exact"/>
        <w:rPr>
          <w:sz w:val="20"/>
          <w:szCs w:val="20"/>
          <w:color w:val="auto"/>
        </w:rPr>
      </w:pPr>
    </w:p>
    <w:p>
      <w:pPr>
        <w:sectPr>
          <w:pgSz w:w="11900" w:h="16838" w:orient="portrait"/>
          <w:cols w:equalWidth="0" w:num="2">
            <w:col w:w="3980" w:space="360"/>
            <w:col w:w="6600"/>
          </w:cols>
          <w:pgMar w:left="320" w:top="455"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 common stock in this offering. We will not receive any proceeds from the sale of shares of common stock by the selling stockholders or if the underwriters exercise their option to purchase additional shares.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We currently do not expect to pay dividends on our common stock for the foreseeable future. Instead, we anticipate that all of our earnings in the foreseeable future will be used for the operation and growth of our business and the repayment of indebtedness. See “Dividend Policy.”</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340"/>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“SHC”</w:t>
      </w:r>
    </w:p>
    <w:p>
      <w:pPr>
        <w:spacing w:after="0" w:line="211"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noted, the number of shares of common stock to be outstanding after the offering is based on 282,899,968 shares of common stock outstanding as of February 24, 2021 and excludes as of such date:</w:t>
      </w:r>
    </w:p>
    <w:p>
      <w:pPr>
        <w:spacing w:after="0" w:line="67" w:lineRule="exact"/>
        <w:rPr>
          <w:sz w:val="20"/>
          <w:szCs w:val="20"/>
          <w:color w:val="auto"/>
        </w:rPr>
      </w:pPr>
    </w:p>
    <w:p>
      <w:pPr>
        <w:ind w:left="1240" w:right="2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2,389,258 shares of common stock issuable upon the exercise of outstanding options as of December 31, 2020, with a weighted average exercise price of $23.00 per share, and 2,475 shares of common stock issuable upon the exercise of outstanding options due to grants and forfeitures subsequent to December 31, 2020, with a weighted-average exercise price of $24.20 per share;</w:t>
      </w:r>
    </w:p>
    <w:p>
      <w:pPr>
        <w:spacing w:after="0" w:line="81"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768,505 shares issuable pursuant to restricted stock units (“RSUs”) outstanding as of December 31, 2020, and 3,151 shares issuable pursuant to RSUs either granted or forfeited subsequent to December 31, 2020;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24,766,434 shares of common stock reserved for future issuance under our 2020 Omnibus Incentive Plan (the “2020 Plan”).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summary historical consolidated financial and other data. The summary historical consolidated statements of operations data and statements of cash flows data for the years ended December 31, 2020, 2019 and 2018 and the summary historical balance sheet data as of December 31, 2020, December 31, 2019 and December 31, 2018 have been derived from our audited consolidated financial statements incorporated by reference from Sotera Health’s 2020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96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financial data should be read in conjunction with the information contained in “Risk Factors” and “Capitalization” in this prospectus and “Management’s Discussion and Analysis of Financial Condition and Results of Operations” and the consolidated financial statements and related notes thereto incorporated by reference from Sotera Health’s 2020 10-K. Our historical results are not necessarily indicative of our results in any future period.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200" w:type="dxa"/>
            <w:vAlign w:val="bottom"/>
          </w:tcPr>
          <w:p>
            <w:pPr>
              <w:spacing w:after="0"/>
              <w:rPr>
                <w:sz w:val="15"/>
                <w:szCs w:val="15"/>
                <w:color w:val="auto"/>
              </w:rPr>
            </w:pPr>
          </w:p>
        </w:tc>
        <w:tc>
          <w:tcPr>
            <w:tcW w:w="3000" w:type="dxa"/>
            <w:vAlign w:val="bottom"/>
            <w:gridSpan w:val="11"/>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$713,520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673,037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615,510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130,639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778,327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746,149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333,290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326,559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0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62,338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382,896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388,897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395,431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357,252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147,480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133,363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58,562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57,975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1200" w:type="dxa"/>
            <w:vAlign w:val="bottom"/>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9"/>
              </w:rPr>
              <w:t>211,834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276,405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183,597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143,326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44,262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p>
        </w:tc>
        <w:tc>
          <w:tcPr>
            <w:tcW w:w="12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19,509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(loss) attributable to noncontrolling interests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1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(38,617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 (17,030)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the company</w:t>
            </w:r>
          </w:p>
        </w:tc>
        <w:tc>
          <w:tcPr>
            <w:tcW w:w="2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(38,072)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8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93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 (continued):</w:t>
            </w:r>
          </w:p>
        </w:tc>
        <w:tc>
          <w:tcPr>
            <w:tcW w:w="1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86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r>
              <w:rPr>
                <w:rFonts w:ascii="Times New Roman" w:cs="Times New Roman" w:eastAsia="Times New Roman" w:hAnsi="Times New Roman"/>
                <w:sz w:val="15"/>
                <w:szCs w:val="15"/>
                <w:color w:val="auto"/>
              </w:rPr>
              <w:t>(a)</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(158,694)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(57,257)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73,432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(126,030)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(191,857)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(b)</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99,124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(b)</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380" w:hanging="422"/>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property, plant and equipment of $53,507, $57,257 and 72,613, respectively (which includes Co-60 held at gamma irradiation sites).</w:t>
      </w:r>
    </w:p>
    <w:p>
      <w:pPr>
        <w:ind w:left="720" w:right="480" w:hanging="422"/>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a definition of Adjusted Net Income and Adjusted EBITDA and a reconciliation to net income (loss), see “—Non-GAAP Financial Measures.”</w:t>
      </w:r>
    </w:p>
    <w:p>
      <w:pPr>
        <w:spacing w:after="0" w:line="202"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6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 (as of period end):</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102,447</w:t>
            </w:r>
          </w:p>
        </w:tc>
        <w:tc>
          <w:tcPr>
            <w:tcW w:w="1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62,863</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96,272</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174,417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128,364</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169,488</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2,761,279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2,580,674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2,708,584</w:t>
            </w:r>
          </w:p>
        </w:tc>
        <w:tc>
          <w:tcPr>
            <w:tcW w:w="60" w:type="dxa"/>
            <w:vAlign w:val="bottom"/>
            <w:shd w:val="clear" w:color="auto" w:fill="CCEEFF"/>
          </w:tcPr>
          <w:p>
            <w:pPr>
              <w:spacing w:after="0"/>
              <w:rPr>
                <w:sz w:val="18"/>
                <w:szCs w:val="18"/>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long-term debt (including current portion, less unamortized debt issuance costs and debt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1,824,789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2,817,204</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2,204,906</w:t>
            </w:r>
          </w:p>
        </w:tc>
        <w:tc>
          <w:tcPr>
            <w:tcW w:w="6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2,306,705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3,221,806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2,663,093</w:t>
            </w: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 attributable to the company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452,302</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(642,574)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44,359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60" w:type="dxa"/>
            <w:vAlign w:val="bottom"/>
            <w:shd w:val="clear" w:color="auto" w:fill="CCEEFF"/>
          </w:tcPr>
          <w:p>
            <w:pPr>
              <w:spacing w:after="0"/>
              <w:rPr>
                <w:sz w:val="18"/>
                <w:szCs w:val="18"/>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454,574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(641,132)</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45,491</w:t>
            </w:r>
          </w:p>
        </w:tc>
      </w:tr>
    </w:tbl>
    <w:p>
      <w:pPr>
        <w:spacing w:after="0" w:line="13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(a)</w:t>
        <w:tab/>
        <w:t>Working capital represents current assets less current liabilities.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76"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53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81" w:lineRule="exact"/>
        <w:rPr>
          <w:sz w:val="20"/>
          <w:szCs w:val="20"/>
          <w:color w:val="auto"/>
        </w:rPr>
      </w:pPr>
    </w:p>
    <w:p>
      <w:pPr>
        <w:ind w:left="1240" w:right="10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and integrating businesses, which will continue to be a part of our growth strategy;</w:t>
      </w:r>
    </w:p>
    <w:p>
      <w:pPr>
        <w:spacing w:after="0" w:line="130" w:lineRule="exact"/>
        <w:rPr>
          <w:rFonts w:ascii="Times New Roman" w:cs="Times New Roman" w:eastAsia="Times New Roman" w:hAnsi="Times New Roman"/>
          <w:sz w:val="18"/>
          <w:szCs w:val="18"/>
          <w:color w:val="auto"/>
        </w:rPr>
      </w:pPr>
    </w:p>
    <w:p>
      <w:pPr>
        <w:jc w:val="both"/>
        <w:ind w:left="1240" w:right="300" w:hanging="415"/>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 and intangible assets;</w:t>
      </w:r>
    </w:p>
    <w:p>
      <w:pPr>
        <w:spacing w:after="0" w:line="130" w:lineRule="exact"/>
        <w:rPr>
          <w:rFonts w:ascii="Times New Roman" w:cs="Times New Roman" w:eastAsia="Times New Roman" w:hAnsi="Times New Roman"/>
          <w:sz w:val="18"/>
          <w:szCs w:val="18"/>
          <w:color w:val="auto"/>
        </w:rPr>
      </w:pPr>
    </w:p>
    <w:p>
      <w:pPr>
        <w:ind w:left="1240" w:right="80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charges related to the litigation and other activities associated with our ethylene oxide sterilization facilities in Willowbrook, Illinois, Atlanta, Georgia and Santa Teresa, New Mexico, even though that litigation remains ongoing;</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Adjusted EBITDA, interest expense or the cash requirements necessary to service interest or principal payments on our indebtedness;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68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78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(37,491)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(20,425)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80,255</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79,906</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 and intangible assets</w:t>
            </w:r>
            <w:r>
              <w:rPr>
                <w:rFonts w:ascii="Times New Roman" w:cs="Times New Roman" w:eastAsia="Times New Roman" w:hAnsi="Times New Roman"/>
                <w:sz w:val="15"/>
                <w:szCs w:val="15"/>
                <w:color w:val="auto"/>
              </w:rPr>
              <w:t>(a)</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85,067</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r>
              <w:rPr>
                <w:rFonts w:ascii="Times New Roman" w:cs="Times New Roman" w:eastAsia="Times New Roman" w:hAnsi="Times New Roman"/>
                <w:sz w:val="15"/>
                <w:szCs w:val="15"/>
                <w:color w:val="auto"/>
              </w:rPr>
              <w:t>(b)</w:t>
            </w:r>
          </w:p>
        </w:tc>
        <w:tc>
          <w:tcPr>
            <w:tcW w:w="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(95,910)</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15"/>
                <w:szCs w:val="15"/>
                <w:color w:val="auto"/>
              </w:rPr>
              <w:t>(c)</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10,987</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restructuring bonuses</w:t>
            </w:r>
            <w:r>
              <w:rPr>
                <w:rFonts w:ascii="Times New Roman" w:cs="Times New Roman" w:eastAsia="Times New Roman" w:hAnsi="Times New Roman"/>
                <w:sz w:val="15"/>
                <w:szCs w:val="15"/>
                <w:color w:val="auto"/>
              </w:rPr>
              <w:t>(d)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foreign currency and embedded derivatives</w:t>
            </w:r>
            <w:r>
              <w:rPr>
                <w:rFonts w:ascii="Times New Roman" w:cs="Times New Roman" w:eastAsia="Times New Roman" w:hAnsi="Times New Roman"/>
                <w:sz w:val="15"/>
                <w:szCs w:val="15"/>
                <w:color w:val="auto"/>
              </w:rPr>
              <w:t>(e)</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14,095</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15"/>
                <w:szCs w:val="15"/>
                <w:color w:val="auto"/>
              </w:rPr>
              <w:t>(f)</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15"/>
                <w:szCs w:val="15"/>
                <w:color w:val="auto"/>
              </w:rPr>
              <w:t>(g)</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Plant closure expense</w:t>
            </w:r>
            <w:r>
              <w:rPr>
                <w:rFonts w:ascii="Times New Roman" w:cs="Times New Roman" w:eastAsia="Times New Roman" w:hAnsi="Times New Roman"/>
                <w:sz w:val="15"/>
                <w:szCs w:val="15"/>
                <w:color w:val="auto"/>
              </w:rPr>
              <w:t>(h)</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15"/>
                <w:szCs w:val="15"/>
                <w:color w:val="auto"/>
              </w:rPr>
              <w:t>(i)</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44,262</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15"/>
                <w:szCs w:val="15"/>
                <w:color w:val="auto"/>
              </w:rPr>
              <w:t>(j)</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36,671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15"/>
                <w:szCs w:val="15"/>
                <w:color w:val="auto"/>
              </w:rPr>
              <w:t>(k)</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15"/>
                <w:szCs w:val="15"/>
                <w:color w:val="auto"/>
              </w:rPr>
              <w:t>(l)</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associated with pre-tax adjustments</w:t>
            </w:r>
            <w:r>
              <w:rPr>
                <w:rFonts w:ascii="Times New Roman" w:cs="Times New Roman" w:eastAsia="Times New Roman" w:hAnsi="Times New Roman"/>
                <w:sz w:val="15"/>
                <w:szCs w:val="15"/>
                <w:color w:val="auto"/>
              </w:rPr>
              <w:t>(m)</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(43,536)</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(24,988)</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15"/>
                <w:szCs w:val="15"/>
                <w:color w:val="auto"/>
              </w:rPr>
              <w:t>(n)</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63,309</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66,671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66,910</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applicable to Adjusted Net Income</w:t>
            </w:r>
            <w:r>
              <w:rPr>
                <w:rFonts w:ascii="Times New Roman" w:cs="Times New Roman" w:eastAsia="Times New Roman" w:hAnsi="Times New Roman"/>
                <w:sz w:val="15"/>
                <w:szCs w:val="15"/>
                <w:color w:val="auto"/>
              </w:rPr>
              <w:t>(o)</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42,167</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55,086</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419,859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379,932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340,637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20" w:right="740" w:hanging="422"/>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charges related to the decision to not reopen the Willowbrook, Illinois facility in September 2019. For 2018, represents impairment charges associated with the withdrawal of the GA-MURR project.</w:t>
      </w:r>
    </w:p>
    <w:p>
      <w:pPr>
        <w:ind w:left="720" w:hanging="422"/>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on the divestiture of the Medical Isotopes business in July 2018.</w:t>
      </w:r>
    </w:p>
    <w:p>
      <w:pPr>
        <w:spacing w:after="0" w:line="9" w:lineRule="exact"/>
        <w:rPr>
          <w:rFonts w:ascii="Times New Roman" w:cs="Times New Roman" w:eastAsia="Times New Roman" w:hAnsi="Times New Roman"/>
          <w:sz w:val="18"/>
          <w:szCs w:val="18"/>
          <w:color w:val="auto"/>
        </w:rPr>
      </w:pPr>
    </w:p>
    <w:p>
      <w:pPr>
        <w:ind w:left="720" w:right="100" w:hanging="422"/>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share-based compensation expense. 2019 also includes $10.0 million of one-time cash share-based compensation expense related to the pre-IPO Class C Units, which vested in the third quarter of 2019. See Note 16. Share-Based Compensation in the notes to our consolidated financial statements incorporated by reference from Sotera Health’s 2020 10-K.</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bonuses for members of management relating to the November 2020 IPO and the December 2019 refinancing.</w:t>
      </w:r>
    </w:p>
    <w:p>
      <w:pPr>
        <w:spacing w:after="0" w:line="9" w:lineRule="exact"/>
        <w:rPr>
          <w:rFonts w:ascii="Times New Roman" w:cs="Times New Roman" w:eastAsia="Times New Roman" w:hAnsi="Times New Roman"/>
          <w:sz w:val="18"/>
          <w:szCs w:val="18"/>
          <w:color w:val="auto"/>
        </w:rPr>
      </w:pPr>
    </w:p>
    <w:p>
      <w:pPr>
        <w:jc w:val="both"/>
        <w:ind w:left="720" w:right="540" w:hanging="422"/>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8"/>
          <w:szCs w:val="18"/>
          <w:color w:val="auto"/>
        </w:rPr>
      </w:pPr>
    </w:p>
    <w:p>
      <w:pPr>
        <w:ind w:left="720" w:right="200" w:hanging="422"/>
        <w:spacing w:after="0" w:line="253"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direct and incremental costs related to the acquisitions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304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3304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60" w:hanging="422"/>
        <w:spacing w:after="0" w:line="255"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contract termination and exit costs, severance and other payroll costs, and other costs associated with business optimization and cost savings projects relating to the integration of Nordion and Nelson Labs, including the divestiture of Medical Isotopes, the withdrawal from the GA-MURR project, the Sotera Health rebranding, operating structure realignment and other process enhancement projects.</w:t>
      </w:r>
    </w:p>
    <w:p>
      <w:pPr>
        <w:spacing w:after="0" w:line="2" w:lineRule="exact"/>
        <w:rPr>
          <w:rFonts w:ascii="Times New Roman" w:cs="Times New Roman" w:eastAsia="Times New Roman" w:hAnsi="Times New Roman"/>
          <w:sz w:val="18"/>
          <w:szCs w:val="18"/>
          <w:color w:val="auto"/>
        </w:rPr>
      </w:pPr>
    </w:p>
    <w:p>
      <w:pPr>
        <w:ind w:left="720" w:right="14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severance and other payroll costs, and other costs including ongoing lease and utility expenses associated with the closure of the Willowbrook, Illinois facility.</w:t>
      </w:r>
    </w:p>
    <w:p>
      <w:pPr>
        <w:jc w:val="both"/>
        <w:ind w:left="720" w:right="22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refinancing of our debt capital structure in December 2019 and paydown of debt with the proceeds from our IPO, including accelerated amortization of prior debt issuance and discount costs, premiums paid in connection with early extinguishment and debt issuance and discount costs incurred for the new debt.</w:t>
      </w:r>
    </w:p>
    <w:p>
      <w:pPr>
        <w:spacing w:after="0" w:line="1" w:lineRule="exact"/>
        <w:rPr>
          <w:rFonts w:ascii="Times New Roman" w:cs="Times New Roman" w:eastAsia="Times New Roman" w:hAnsi="Times New Roman"/>
          <w:sz w:val="18"/>
          <w:szCs w:val="18"/>
          <w:color w:val="auto"/>
        </w:rPr>
      </w:pPr>
    </w:p>
    <w:p>
      <w:pPr>
        <w:ind w:left="720" w:right="24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related to litigation associated with our EO sterilization facilities and other related professional fees. See Item 3.” Legal Proceedings” incorporated by reference from Sotera Health’s 2020 10-K.</w:t>
      </w:r>
    </w:p>
    <w:p>
      <w:pPr>
        <w:jc w:val="both"/>
        <w:ind w:left="720" w:right="4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8"/>
          <w:szCs w:val="18"/>
          <w:color w:val="auto"/>
        </w:rPr>
      </w:pPr>
    </w:p>
    <w:p>
      <w:pPr>
        <w:ind w:left="72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COVID-19 pandemic, including donations to related charitable causes and special bonuses for front-line personnel working on-site during lockdown periods.</w:t>
      </w:r>
    </w:p>
    <w:p>
      <w:pPr>
        <w:ind w:left="720" w:right="16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w:t>
      </w:r>
    </w:p>
    <w:p>
      <w:pPr>
        <w:spacing w:after="0" w:line="9" w:lineRule="exact"/>
        <w:rPr>
          <w:rFonts w:ascii="Times New Roman" w:cs="Times New Roman" w:eastAsia="Times New Roman" w:hAnsi="Times New Roman"/>
          <w:sz w:val="18"/>
          <w:szCs w:val="18"/>
          <w:color w:val="auto"/>
        </w:rPr>
      </w:pPr>
    </w:p>
    <w:p>
      <w:pPr>
        <w:ind w:left="720" w:right="40" w:hanging="422"/>
        <w:spacing w:after="0" w:line="26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income tax expense or benefit as determined under U.S. GAAP and the income tax benefit associated with pre-tax adjustments described in footnote (m).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following risks together will the other information included or incorporated by reference in this prospectus before deciding to invest in our common stock, including the risks described under “Risk Factors” in Part I, Item. 1A of Sotera Health’s 2020 10-K.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117"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source a substantial portion of our Co-60 supply from three nuclear reactor operators in Canada and Russia under contracts that extend to between 2024 and 2064. See Item 1. “Business—Our Businesses—Nordion—Nuclear Reactor Operators” in Sotera Health’s 2020 10-K, which is incorporated herein by reference.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or the European Union imposes, sanctions against Russia and prevents the importation of Russian-sourced Co-60 or the Russian government responds with further countersanctions, it may make it generally more difficult to do business with Russian entities. Any sanctions or countermeasures could have a material adverse effect on our business, prospects, financial condition or results of operations.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Industry trends could impact the demand for our products and services and could have a material adverse effect on our business.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9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environmental, health and safety regulations or preferences may negatively impact our business.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See related risk factor “—We are subject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negatively impact our revenues, profitability, financial condition or value.” Reconfiguring a gamma irradiation or EO processing plant so that it is suitable for a different sterilization technology, in response to changes in demand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Potentially hazardous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incident at any of our EO or gamma facilities that causes harm to workers or others or the interruption of normal operations at such facility could result in substantial liability to us. We are currently the subject of lawsuits alleging that purported EO emissions from certain of our current and former facilities have resulted in toxicological or health-related impacts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and Co-60 may subject us to future liability claims.”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 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 certain of our facilities have resulted in toxicological or health-related impacts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83"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health risks associated with the use of EO may subject us to future liability claims and other adverse effects.</w:t>
      </w:r>
    </w:p>
    <w:p>
      <w:pPr>
        <w:spacing w:after="0" w:line="121"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 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 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these claims. See related Risk Factors“—We are currently defending certain litigation, and we are likely to be subject to additional litigation in the future,” Item 3. “Legal Proceedings,” and Note 20. “Commitments and Contingencies” to our consolidated financial statements in Sotera Health’s 2020 10-K, which is incorporated herein by reference. It is likely that we will be subject to other claims by or on behalf of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19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defending certain litigation, and we are likely to be subject to additional litigation in the future.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purported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 loss of neighboring residential property values in tax assessments. See Item 3. “Legal Proceedings” and Note 20, “Commitments and Contingencies” to our consolidated financial statements in Sotera Health’s 2020 10-K, which is incorporated herein by reference, for more detail on our pending litigation.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 by or on behalf of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92"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8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6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89"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26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298"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which could require retesting, and which could result in claims of economic or other loss or which could result in personal injury. To the extent we engage in clinical trials or studies, we will be subject to additional regulatory requirements, including those relating to human subject protection, good clinical practices and data privacy. Any actual or perceived failure to meet such requirements may result in regulatory authorities taking action against us or our customers, and we may face claims or be held liable for harm caused to human subjects. 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67"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research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used at our facilities be designed and operated in a manner that is safe. The use of EO for medical device sterilization is regulated by the USEPA under the Federal Insecticide, Fungicide and Rodenticide Act (“FIFRA”) and the Clean Air Act (the “CAA”). Our supplier maintains a FIFRA registration for the EO they sell in the United States that is used to sterilize or reduce the viable microorganisms on a listed group of products, including medical devices, pharmaceutical products, cosmetics, and spice products. The USEPA is in the process of reviewing EO’s FIFRA re-registration eligibility in accordance with the provisions of FIFRA. In November 2020, the USEPA released a draft risk assessment for public comment regarding the re-registration review, stating that mitigation measures are necessary to protect the health of workers at facilities that use EO and surrounding communities. The next step in the FIFRA re-registration process would be to issue a proposed interim decision, which is used to outline the potential risk management options to address any potential risks of concern. As a condition of continued registration, the USEPA is likely to require enhancements to the processes and equipment for use of EO used for the listed applications. The USEPA is also expected to propose updated National Emission Standards for Hazardous Air Pollutants (“NESHAP”) air emission regulations for commercial EO sterilization facilities, which have not yet been published and with which sterilization facilities like ours will be required to comply. We expect to incur capital costs for enhancements to our equipment and to implement process automation and emission control enhancements to comply with these and other changing requirements. If the future regulations differ from our current expectation, they may require additional modifications and capital costs beyond what we have budgeted for, which could be material. Any future failure of the USEPA to allow reregistration of EO would have a material adverse effect on our business, prospects, financial condition or results of operations.</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contamination of those facilities occur, regulatory requirements change, waste volume increases, or decommissioning cost factors such as waste disposal costs increase.</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See Item 1. “Business—Government Regulation and Environmental Matters” for more information on the regulatory requirements of our businesses.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20. Commitments and Contingencies to our consolidated financial statements included in Sotera Health’s 2020 10-K, which is incorporated herein by reference, and related Risk Factor “—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292"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other risks described or incorporated by reference herein,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80"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related Risk Factor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8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including vaccination efforts, continue to evolve, and we cannot at this time forecast its ultimate duration, severity or impact to our business, our customers or our supply chain. This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related Risk Factor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8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occupy many of our facilities under long-term leases, and we may be unable to renew our leases at the end of their terms.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of our facilities, including many of our EO facilities and some of our gamma facilities, are located on leased premises. The terms of leases for our facilities vary in length and expire over a period ranging from 2021 to 2040, most with options to renew for specified periods of time.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292"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maintain significant international operations, including operations in China, Brazil, Canada, Mexico, Costa Rica and other countries in Europe and Asia. As a result, we are subject to a number of risks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complications associated with international sales, services and other operations, as well as risks associated with U.S. foreign policy. These include:</w:t>
      </w:r>
    </w:p>
    <w:p>
      <w:pPr>
        <w:spacing w:after="0" w:line="131" w:lineRule="exact"/>
        <w:rPr>
          <w:sz w:val="20"/>
          <w:szCs w:val="20"/>
          <w:color w:val="auto"/>
        </w:rPr>
      </w:pPr>
    </w:p>
    <w:p>
      <w:pPr>
        <w:ind w:left="1080" w:right="2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 in countries where we operate, including international and U.S. trade policies and currency exchange rate fluctuations;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other laws that restrict our ability to use tax credits, offset gains or repatriate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transfer pricing regulations and adverse tax consequences, which may affect our ability to transfer capital and profits;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deflation and stagflation in any country in which we have a manufacturing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customers with longer payment cycles than customers in the United States;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or increases in customs duties and other tariffs.</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and regional economic and political instability.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regulatory oversight of our import and export operations due to the nature of some of our product offerings.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 these permits and licenses could delay or prevent us from fulfilling our obligations to our customers, which could harm our business, financial condition or results of operations.</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subject to system interruptions, cyber security breaches and unauthorized data disclosures.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ransomware, other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29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67" w:lineRule="exact"/>
        <w:rPr>
          <w:sz w:val="20"/>
          <w:szCs w:val="20"/>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any potential interruption to our ongoing business;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enter categories and markets in which we may have limited or no prior experience, and ensure compliance with the regulatory requirements for such categories and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expected synergies and obtain the desired financial or strategic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 and address any financial or control deficiencies of the acquired company;</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key relationships with employees, customers, partners and suppliers of acquired companies as well as our own employees, customers, partners and suppliers;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uniform compliance standards, controls, procedures and policies throughout acquired companies.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related Risk Factor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Pursuant to the Sarbanes-Oxley Act, we will be required to furnish a report by our management on the effectiveness of our internal control over financial reporting beginning with our filing of an Annual Report on Form 10-K with the SEC for the year ending December 31, 2021. This assessment will need to include disclosure of any material weaknesses identified by our management in our internal control over financial reporting. It is expected that our independent registered public accounting firm will attest to the effectiveness of our internal controls for our annual report for the year ending December 31, 2021. At such time, if we then have a material weakness, we could receive an adverse opinion regarding our internal control over financial reporting from our independent registered accounting firm.</w:t>
      </w:r>
    </w:p>
    <w:p>
      <w:pPr>
        <w:spacing w:after="0" w:line="187"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 (i) continue to dedicate internal resources,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w:t>
      </w:r>
    </w:p>
    <w:p>
      <w:pPr>
        <w:ind w:left="120" w:right="20" w:hanging="4"/>
        <w:spacing w:after="0" w:line="255" w:lineRule="auto"/>
        <w:tabs>
          <w:tab w:leader="none" w:pos="4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identify a material weakness in connection with this ongoing assessment and we fail to remediate these identified material weaknesses within the prescribed period, we will be unable to assert that our internal controls over financial reporting are effective. We cannot be assured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8"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26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This is known as the UK GDPR, and it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or maintain profitability in the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 history of net operating losses, including a net loss attributable to Sotera Health Company of $38.6 million and $20.9 million for the years ended December 31, 2020 and 2019,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indebtedness and the other risks described or incorporated by reference herein, and we may encounter unforeseen expenses, difficulties, complications and delays and other unknown events. As a result, our operations may not achieve profitability in the future and, even if we do achieve profitability, we may not be able to maintain or increase it.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Unionization efforts and labor regulations in certain countries in which we operate could materially increase our costs or limit our flexibility.</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were postponed during the COVID-19 pandemic and began in December 2020. Failure to renew the agreements on similar terms could result in labor disruptions and/or increased labor costs, which could negatively affect our business and operations.</w:t>
      </w:r>
    </w:p>
    <w:p>
      <w:pPr>
        <w:spacing w:after="0" w:line="29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 States is de minimis and has been limited to the irradiation of marijuana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or private civil antitrust actions could harm our business, results of operations, financial condition and cash flows.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particular, certain changes established by the Tax Cuts &amp; Jobs Act (“TCJA”), enacted on December 22, 2017, increased our effective tax rate in prior years, including a new income inclusion item for global intangible low-taxed income (“GILTI”) and the transition tax on deemed repatriated earnings of foreign subsidiaries.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the Coronavirus Aid, Relief, and Economic Security Act (the “CARES Act”), enacted on March 27, 2020 in response to the outbreak of COVID-19 and its consequences, introduced substantial changes to the U.S. tax code, the overall impact of which on our business is uncertain. For example, among other changes, the CARES Act increased interest expense deductibility limitations and waived certain limitations on the use of net operating losses, in each case, for certain years prior to 2021.</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Finally, on July 23, 2020, final regulations were published that exempt certain income subject to a high rate of foreign tax from inclusion under GILTI for tax years beginning after December 31, 2017.</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cumulative impact of these and other changes in tax law is uncertain and our business and financial condition could be adversely affected.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Liquidity</w:t>
      </w:r>
    </w:p>
    <w:p>
      <w:pPr>
        <w:spacing w:after="0" w:line="117"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significant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2020, our total indebtedness was approximately $1,863.6 million, all of which is indebtedness of Sotera Health Holdings, LLC (“SHH”) that is guaranteed by the Company and certain of our other subsidiaries. We also had an additional $347.5 million of unutilized capacity under our Revolving Credit Facility (as defined herein) at that date (without giving effect to $63.9 million of letters of credit that were outstanding). See Item 7. Management’s Discussion and Analysis of Financial Condition and Results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Operations – Liquidity and Capital Resources” in Sotera Health’s 2020 10-K, which is incorporated herein by reference.</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estimated debt service obligations for the next 12 months are $67.4 million, based on the outstanding principal amount of indebtedness of $1,863.6 million as of December 31, 2020. For the year ended December 31, 2020, our cash flow used for debt service totaled $227.2 million, which includes principal payments of the Term Loan (as defined herein) of $15.9 million and interest payments on our debt of $211.3 million. In November and December 2020, we repaid $341.0 million aggregate principal amount of the Term Loan and redeemed in full all of the $770.0 million aggregate principal amount of outstanding senior secured second-lien notes (“Second Lien Notes”) of SHH. In connection with the redemption of the Second Lien Notes, we paid a $15.4 million early redemption premium. For the year ended December 31, 2020, our cash flows from operating activities totaled $120.6 million, which includes interest paid of $211.3 million. As such, our cash flows from operating activities (before giving effect to the payment of interest) amounted to $331.9 million. For the year ended December 31, 2020, cash payments used to service our debt represented approximately 68% of our net cash flows from operating activities (before giving effect to the payment of interest).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high degree of leverage could have important consequences,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our indebtedness is at variable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debt service requirements, acquisitions and general corporate or other purposes;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and placing us at a disadvantage compared to our competitors that are less highly leveraged;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pay higher rates if we need to refinance our indebtedness at a time when prevailing market interest rates are unfavorable.</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and our subsidiaries may obtain substantial additional indebtedness in the future, subject to the restrictions contained in SHH’s senior secured credit facilities (the “Senior Secured Credit Facilities”) and the indenture governing SHH’s senior secured first-lien notes (the “First Lien Notes”). If new indebtedness is added to our current debt levels, the related risks that we now face could intensify.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(loss) and cash flows, including cash available for servicing our indebtedness, will correspondingly decrease. Based on our indebtedness outstanding as of December 31, 2020, and the interest rate under our Term Loan that went into effect on January 21, 2021, a 1% increase in the London Interbank Offering Rate (“LIBOR”) benchmark interest rate would result in an approximately $2.9 million increase in total annual interest expense under our outstanding debt obligations. Refer to Note 10. “Long-Term Debt” to our consolidated financial statements in Sotera Health’s 2020 10-K, which is incorporated herein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Senior Secured Credit Facilities and the indentures governing the First Lien Notes contain various covenants that limit our ability to engage in specified types of transactions. These covenants limit our ability and our restricted subsidiaries’ ability to, among other things:</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shares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we are required to satisfy and maintain specified financial ratios and other financial condition tests under certain covenants in our Senior Secured Credit Facilities and indenture governing the First Lien Notes. See Item 7. “Management’s Discussion and Analysis of Financial Condition and Results of Operations – Liquidity and Capital Resources” in Sotera Health’s 2020 10-K, which is incorporated herein by reference.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each of our Senior Secured Credit Facilities and/or the indenture governing the First Lien Notes. Upon the occurrence of an event of default, the lenders and/or noteholders, as applicable, could elect to declare all amounts outstanding under the Senior Secured Credit Facilities and the First Lien Notes to be immediately due and payable and terminate all commitments to extend further credit. If we were unable to repay those amounts, the lenders under the Senior Secured Credit Facilities or the indentures governing the First Lien Notes could foreclose on the collateral granted to them to secure each such indebtedness. We have pledged substantially all of our assets as collateral under the Senior Secured Credit Facilities and the indentures governing the First Lien Notes.</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ability to make timely payments of principal and interest on our debt obligations, including our obligations under the Senior Secured Credit Facilities and the First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our debt by rating agencies may increase our future borrowing costs and reduce our access to capital.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Because our Senior Secured Credit Facilities and First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However, the ICE Benchmark Administration, in its capacity as administrator of LIBOR, has published a consultation regarding its intention to continue publication of certain LIBOR tenors by 18 months to June 2023. Notwithstanding this possible extension, a joint statement by key regulatory authorities called on banks to cease entering into new contracts that use LIBOR as a reference rate by no later than December 31, 2021, and it is impossible to predict whether LIBOR rates will continue to be published or supported after the end of 2021. If LIBOR ceases to exist or if the methods of calculating LIBOR change from their current form, interest rates on our current or future debt obligations may be adversely affected.</w:t>
      </w:r>
    </w:p>
    <w:p>
      <w:pPr>
        <w:spacing w:after="0" w:line="188"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If a published U.S. dollar LIBOR rate is unavailable, we may be required to substitute an alternative reference rate, such as a different benchmark interest rate or the Secured Overnight Financing Rate (“SOFR”), in lieu of LIBOR under our Senior Secured Credit Facilities and First Lien Notes. The Alternative Reference Rates Committee has proposed SOFR as its recommended alternative to LIBOR, and the Federal Reserve Bank of New York began publishing SOFR rates in April 2018. SOFR is intended to be a broad measure of the cost of borrowing cash overnight that is collateralized by U.S. Treasury securities. However, because SOFR is a broad U.S. Treasury repo financing rate that represents overnight secured funding transactions, it differs fundamentally from LIBOR. For example, SOFR is a secured overnight rate, while LIBOR is an unsecured rate that represents interbank funding over different maturities. In addition, because SOFR is a transaction-based rate, it is backward-looking, whereas LIBOR is forward-looking. Because of these and other differences, there is no assurance that SOFR will perform in the same way as LIBOR would have performed at any time, and there is no guarantee that it is a comparable substitute for LIBOR. SOFR may fail to gain market acceptance. As of January 2021, we amended our Senior Secured Credit Facilities to provide that, under certain circumstances, our benchmark interest rate will automatically shift to be calculated based on SOFR. The interest rates on our First Lien Notes indexed to LIBOR will be determined in a manner that gives due consideration to the then prevailing market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convention for determining a rate of interest for high yield notes in the United States at such time. A change from LIBOR to any of the proposed alternative reference rates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5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SHH, the borrower under our Senior Secured Credit Facilities and the issuer of our First Lien Notes,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Senior Secured Credit Facilities and our First Lien Notes.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would be substantially impaired.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85" w:lineRule="exact"/>
        <w:rPr>
          <w:sz w:val="20"/>
          <w:szCs w:val="20"/>
          <w:color w:val="auto"/>
        </w:rPr>
      </w:pPr>
    </w:p>
    <w:p>
      <w:pPr>
        <w:ind w:left="1080" w:right="40" w:hanging="424"/>
        <w:spacing w:after="0" w:line="312"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45" w:lineRule="exact"/>
        <w:rPr>
          <w:rFonts w:ascii="Times New Roman" w:cs="Times New Roman" w:eastAsia="Times New Roman" w:hAnsi="Times New Roman"/>
          <w:sz w:val="17"/>
          <w:szCs w:val="17"/>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5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future issuance of additional common stock in connection with our incentive plans, acquisitions or otherwise will dilute all other stockholdings.</w:t>
      </w:r>
    </w:p>
    <w:p>
      <w:pPr>
        <w:spacing w:after="0" w:line="13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February 24, 2021, we had an aggregate of 886,109,800 shares of common stock authorized but unissued that are not currently reserved for issuance under our 2020 Omnibus Incentive Plan (“2020 Plan”), as well as 3,090,232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5"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after the lapse of the lock-up agreements and other legal or contractual restrictions on resale discussed herein,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our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however, may be waived at any time by a majority of the members of the compensation committee of the board of directors. See “Certain Relationships and Related Transactions, and Director Independence—Stockholders’ Agreement” in Part III, Item. 13 of Sotera Health’s 2020 10-K, which is incorporated herein by reference.</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of February 24, 2021, we had 282,899,968 shares of common stock outstanding. Of these shares the 53,590,000 shares sold in our IPO are freely tradable, without restriction, in the public market or further registration under the Securities Act, except for any shares held by our affiliates, as that term is defined under Rule 144 of the Securities Act (“Rule 144”), including our directors, executive officers and other affiliates (including the Sponsors).</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Sponsors, our directors, officers and the selling stockholders have entered into lock-up agreements with the underwriters in connection with this offering that restrict their ability to sell or transfer their shares. The lock-up agreements pertaining to this offering will expire 90 days from the date of this prospectus. J.P. Morgan Securities LLC, however, may, in its sole discretion, waive the contractual lock-up prior to the expiration of the lock-up agreements. In addition, holders of 223,005,772 shares of our common stock as of February 24, 2021, including each of our directors and officers, have entered into lock-up agreements with the underwriters of our IPO that restrict their ability to sell or transfer their shares until the expiration of the IPO lock-up agreements on May 18, 2021. J.P. Morgan Securities LLC, however, may, in its sole discretion, waive the contractual lock-up prior to the expiration of the IPO lock-up agreements. In connection with this offering, J.P. Morgan Securities LLC has waived certain lock-up restrictions applicable to the 25,000,000 shares being sold by the selling stockholders in this offering (or up to 28,750,000 shares to the extent the underwriters exercise their option to purchase additional shares). After giving effect to this offering and after the lock-up agreements in connection with the IPO and this offering expire, an additional 198,005,772 shares of common stock will be eligible for sale in the public market, of which approximately 22,000,000 shares are subject to vesting requirements and the transfer restrictions contained in the Stockholders’ Agreement, unless such transfer restrictions are waived by a majority of the members of the compensation committee of the board of directors, as described above. In addition to the approximately 22,000,000 shares, an additional approximately 6,000,000 shares of our outstanding common stock as of February 24, 2021, are not subject to lock-up agreements but are subject to vesting requirements and contractual restrictions on transfer under the terms of our Stockholders’ Agreement.</w:t>
      </w:r>
    </w:p>
    <w:p>
      <w:pPr>
        <w:spacing w:after="0" w:line="18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Further, upon completion of this offering, 183,698,804 shares of our outstanding common stock will be held by directors, executive officers and other affiliates and are subject to volume limitations under Rule 144 under the Securities Act. All of such holders have rights to require us to file registration statements covering their shares or to include their shares in registration statements that we may file for ourselves or our stockholders.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all of the shares of common stock issued or issuable under our 2020 Plan. The shares covered by this registration statement will be eligible for sale in the public markets, subject to Rule 144 limitations applicable to affiliates and any applicable contractual restrictions described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sale of shares of common stock being offered hereby and any future sales of securities by any of our stockholders described above could have a material adverse effect on the market price of our common stock.</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currently rely on the “controlled company” exemption, if we are a “controlled company” within the meaning of the Nasdaq corporate governance standards we would qualify for exemptions from certain corporate governance requirements.</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Because the Sponsors will own a majority of our outstanding common stock following the completion of this offering, we may be considered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conduct an annual performance evaluation of the nominating and corporate governance and compensation committees.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These requirements would not apply to us as long as we remain a “controlled company.” Although we may qualify as a “controlled company” upon completion of this offering, we are not currently relying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corporate governance requirements. The Sponsors’ significant ownership interest could adversely affect investors’ perceptions of our corporate governance. See “Description of Capital Stock—Anti-Takeover Effects of Provisions of Our Amended and Restated Certification of Incorporation, Our Amended and Restated Bylaws and Delaware Law.”</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Following the completion of this offering, the Sponsors will own approximately 62.10% of our outstanding common stock, or 60.91% if the underwriters’ option to purchase additional shares is fully exercised. As a result, the Sponsors will own shares sufficient for the majority vote over all matters requiring a stockholder vote. Our Stockholders’ Agreement contains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purchased their shares at prices substantially below the price at which shares are being sold in this offering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268"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and the requirements of the Sarbanes-Oxley Act have increased and are expected to continue to increase our costs and occupy management, and we may be unable to comply with these requirements in a timely or cost-effective manner.</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with shares listed on a U.S. exchange, we need to comply with new laws, regulations and requirements, certain corporate governance provisions of the Sarbanes-Oxley Act, the Dodd-Frank Act, related regulations of the SEC, the requirements of the Nasdaq and other applicable rules and regulations, with which we were not required to comply with as a private company. Complying with these statutes, regulations and requirements will occupy a significant amount of time of our board of directors and management and will significantly increase our legal and financial compliance costs and expenses. We have or are in the process of:</w:t>
      </w:r>
    </w:p>
    <w:p>
      <w:pPr>
        <w:spacing w:after="0" w:line="8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 more comprehensive compliance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rules promulgated by the Nasdaq;</w:t>
      </w:r>
    </w:p>
    <w:p>
      <w:pPr>
        <w:spacing w:after="0" w:line="130" w:lineRule="exact"/>
        <w:rPr>
          <w:rFonts w:ascii="Times New Roman" w:cs="Times New Roman" w:eastAsia="Times New Roman" w:hAnsi="Times New Roman"/>
          <w:sz w:val="18"/>
          <w:szCs w:val="18"/>
          <w:color w:val="auto"/>
        </w:rPr>
      </w:pPr>
    </w:p>
    <w:p>
      <w:pPr>
        <w:ind w:left="5540" w:right="1520" w:hanging="4884"/>
        <w:spacing w:after="0" w:line="454" w:lineRule="auto"/>
        <w:tabs>
          <w:tab w:leader="none" w:pos="10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distributing periodic public reports in compliance with our obligations under the federal securities laws; 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new internal policies, such as those relating to insider trading;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involving and retaining, to a greater degree, outside counsel and accountants in the above activities.</w:t>
      </w:r>
    </w:p>
    <w:p>
      <w:pPr>
        <w:spacing w:after="0" w:line="329"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w:t>
      </w:r>
    </w:p>
    <w:p>
      <w:pPr>
        <w:spacing w:after="0" w:line="2" w:lineRule="exact"/>
        <w:rPr>
          <w:sz w:val="20"/>
          <w:szCs w:val="20"/>
          <w:color w:val="auto"/>
        </w:rPr>
      </w:pPr>
    </w:p>
    <w:p>
      <w:pPr>
        <w:ind w:left="120" w:right="120" w:hanging="4"/>
        <w:spacing w:after="0" w:line="252" w:lineRule="auto"/>
        <w:tabs>
          <w:tab w:leader="none" w:pos="3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9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chose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8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entitled to cast in any annual election of directors or class of directors and with the consent of Warburg Pincus or GTCR, respectively;</w:t>
      </w:r>
    </w:p>
    <w:p>
      <w:pPr>
        <w:spacing w:after="0" w:line="131" w:lineRule="exact"/>
        <w:rPr>
          <w:sz w:val="20"/>
          <w:szCs w:val="20"/>
          <w:color w:val="auto"/>
        </w:rPr>
      </w:pPr>
    </w:p>
    <w:p>
      <w:pPr>
        <w:ind w:left="1080" w:right="30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8"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9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and bring business before special meetings; provided that for so long as investment funds and entities affiliated with either Warburg Pincus or GTCR, collectively,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beneficially own a majority of our outstanding capital stock, special meetings of our stockholders may be called by the affirmative vote of the holders of a majority of our outstanding voting stock; and</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Delaware or Federal Court for certain litigation against us.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own a majority of the voting power of our common stock upon the completion of this offering,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67" w:lineRule="auto"/>
        <w:tabs>
          <w:tab w:leader="none" w:pos="37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As a result, capital appreciation, if any, of our common stock will be the sole source of potential gain for the foreseeable future, and stockholders will have to sell some or all of their common stock holdings to generate cash flow from their investment. See “Dividend Policy.”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Some of the statements included or incorporated by reference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78" w:lineRule="exact"/>
        <w:rPr>
          <w:sz w:val="20"/>
          <w:szCs w:val="20"/>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environmental, health and safety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safety risks associated with the use and disposal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safety risks associated with the transportation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claims relating to health risks associated with the use of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legal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intensity of competition we face;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changes that impact our long-term supply contracts with variable price clauses;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our services and any potential product liability claims, recalls, penalties and reputational harm;</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requirements to which we are subject, and any failures to receive or maintain, or delays in receiving, required clearance or approvals;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and other risks associated with our operations, including our reliance on the use and sale of products and services from a single location;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and build new facilities in a timely and cost-effective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the long-term leases for our facilities at the end of their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and regional economic and political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retain key personnel and attract talent;</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regulatory oversight to which our import and export operations are subject, and any failure to comply with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breaches and data leaks as a result of our dependence on information technology systems;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pursuing strategic transactions, including acquisitions, and our ability to find suitable acquisition targets or integrate strategic acquisitions successfully into our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infringe or misappropriate their intellectual property rights;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privacy and security laws and regulations to which we are subject,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unionization efforts and labor regulations in certain countries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variety of laws involving the cannabis industry to which we are subject, and any failure to comply with those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government or private civil antitrust actions;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the interpretation and application of recent U.S. tax legislation or other changes in U.S. or non-U.S. taxation of our operations;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or access sufficient additional capital to meet our debt obligations or to fund our other liquidity needs;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the “Risk Factors” section of this prospectus and in Sotera Health’s 2020 10-K, which is incorporated herein by reference.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selling stockholders, the underwriters or any other person that the future plans, estimates or expectations contemplated by us will be achieved.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included or incorporated by reference herein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filing the registration statement of which this prospectus is a part to permit holders of the shares of our common stock included in the section entitled “Principal and Selling Stockholders” to resell such shares. The selling stockholders will receive all of the net proceeds from the sale of shares of common stock in this offering. We are not selling any shares of common stock under this prospectus and will not receive any proceeds from the sale of shares by the selling stockholders or if the underwriters exercise their option to purchase additional shares.</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40"/>
          </w:cols>
          <w:pgMar w:left="320" w:top="455" w:right="6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Tax Considerations for Non-U.S. 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60"/>
          </w:cols>
          <w:pgMar w:left="320" w:top="455" w:right="5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2020.</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table in conjunction with the sections titled “Prospectus Summary—Summary Consolidated Financial Data” and “Use of Proceeds” in this prospectus, as well as “Management’s Discussion and Analysis of Financial Condition and Results of Operations” and our financial statements and related notes included in Sotera Health’s 2020 10-K, which is incorporated herein by reference.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due 2026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Lien Notes, due 2026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long-term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 and debt discounts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(38,761)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5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5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with $0.01 par value per share, 1,200,000 shares authorized, 285,990 shares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issued and 283,248 shares outstanding</w:t>
            </w:r>
            <w:r>
              <w:rPr>
                <w:rFonts w:ascii="Times New Roman" w:cs="Times New Roman" w:eastAsia="Times New Roman" w:hAnsi="Times New Roman"/>
                <w:sz w:val="15"/>
                <w:szCs w:val="15"/>
                <w:color w:val="auto"/>
              </w:rPr>
              <w:t>(a)</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 at cost (2,742 shares)</w:t>
            </w:r>
            <w:r>
              <w:rPr>
                <w:rFonts w:ascii="Times New Roman" w:cs="Times New Roman" w:eastAsia="Times New Roman" w:hAnsi="Times New Roman"/>
                <w:sz w:val="15"/>
                <w:szCs w:val="15"/>
                <w:color w:val="auto"/>
              </w:rPr>
              <w:t>(a)</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(589,128)</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(93,842)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 attributable to the company</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5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2,279,363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Numbers in table may not foot, due to rounding.</w:t>
      </w:r>
    </w:p>
    <w:p>
      <w:pPr>
        <w:spacing w:after="0" w:line="131" w:lineRule="exact"/>
        <w:rPr>
          <w:sz w:val="20"/>
          <w:szCs w:val="20"/>
          <w:color w:val="auto"/>
        </w:rPr>
      </w:pPr>
    </w:p>
    <w:p>
      <w:pPr>
        <w:ind w:left="540" w:right="26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2021 and February 15, 2021, 323,785 and 24,197 shares of our common stock outstanding, respectively, were forfeited to the Company, resulting in a corresponding increase in treasury shares.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880"/>
          </w:cols>
          <w:pgMar w:left="320" w:top="455" w:right="6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February 24, 2021 by:</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us to own beneficially more than 5% of our outstanding shares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executive officers and directors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selling stockholders.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282,899,968 shares of common stock outstanding, as of February 24, 2021. For purposes of calculating each person’s percentage ownership, common stock issuable pursuant to options exercisable within 60 days of February 24, 2021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660" w:type="dxa"/>
            <w:vAlign w:val="bottom"/>
          </w:tcPr>
          <w:p>
            <w:pPr>
              <w:spacing w:after="0"/>
              <w:rPr>
                <w:sz w:val="13"/>
                <w:szCs w:val="13"/>
                <w:color w:val="auto"/>
              </w:rPr>
            </w:pPr>
          </w:p>
        </w:tc>
        <w:tc>
          <w:tcPr>
            <w:tcW w:w="13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Shares Beneficially</w:t>
            </w: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3"/>
                <w:szCs w:val="13"/>
                <w:b w:val="1"/>
                <w:bCs w:val="1"/>
                <w:color w:val="auto"/>
              </w:rPr>
              <w:t>Shares Beneficially Owned After the Offering</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38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Prior to</w:t>
            </w:r>
          </w:p>
        </w:tc>
        <w:tc>
          <w:tcPr>
            <w:tcW w:w="2480" w:type="dxa"/>
            <w:vAlign w:val="bottom"/>
            <w:gridSpan w:val="7"/>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Assuming No Exercise of Underwriters’</w:t>
            </w:r>
          </w:p>
        </w:tc>
        <w:tc>
          <w:tcPr>
            <w:tcW w:w="1960" w:type="dxa"/>
            <w:vAlign w:val="bottom"/>
            <w:gridSpan w:val="4"/>
          </w:tcPr>
          <w:p>
            <w:pPr>
              <w:jc w:val="center"/>
              <w:ind w:left="311"/>
              <w:spacing w:after="0" w:line="135" w:lineRule="exact"/>
              <w:rPr>
                <w:sz w:val="20"/>
                <w:szCs w:val="20"/>
                <w:color w:val="auto"/>
              </w:rPr>
            </w:pPr>
            <w:r>
              <w:rPr>
                <w:rFonts w:ascii="Times New Roman" w:cs="Times New Roman" w:eastAsia="Times New Roman" w:hAnsi="Times New Roman"/>
                <w:sz w:val="13"/>
                <w:szCs w:val="13"/>
                <w:b w:val="1"/>
                <w:bCs w:val="1"/>
                <w:color w:val="auto"/>
                <w:w w:val="96"/>
              </w:rPr>
              <w:t>Assuming Full Exercise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90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the Offering</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Borders>
              <w:bottom w:val="single" w:sz="8" w:color="auto"/>
            </w:tcBorders>
            <w:gridSpan w:val="4"/>
          </w:tcPr>
          <w:p>
            <w:pPr>
              <w:jc w:val="center"/>
              <w:ind w:left="311"/>
              <w:spacing w:after="0"/>
              <w:rPr>
                <w:sz w:val="20"/>
                <w:szCs w:val="20"/>
                <w:color w:val="auto"/>
              </w:rPr>
            </w:pPr>
            <w:r>
              <w:rPr>
                <w:rFonts w:ascii="Times New Roman" w:cs="Times New Roman" w:eastAsia="Times New Roman" w:hAnsi="Times New Roman"/>
                <w:sz w:val="13"/>
                <w:szCs w:val="13"/>
                <w:b w:val="1"/>
                <w:bCs w:val="1"/>
                <w:color w:val="auto"/>
                <w:w w:val="95"/>
              </w:rPr>
              <w:t>of Underwriters’ Option</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9"/>
                <w:szCs w:val="9"/>
                <w:color w:val="auto"/>
              </w:rPr>
            </w:pPr>
          </w:p>
        </w:tc>
        <w:tc>
          <w:tcPr>
            <w:tcW w:w="92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Shares</w:t>
            </w:r>
          </w:p>
        </w:tc>
        <w:tc>
          <w:tcPr>
            <w:tcW w:w="92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9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6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Shares</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r>
              <w:rPr>
                <w:rFonts w:ascii="Times New Roman" w:cs="Times New Roman" w:eastAsia="Times New Roman" w:hAnsi="Times New Roman"/>
                <w:sz w:val="8"/>
                <w:szCs w:val="8"/>
                <w:b w:val="1"/>
                <w:bCs w:val="1"/>
                <w:color w:val="auto"/>
              </w:rPr>
              <w:t>(1)</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Shares Held</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Hereby</w:t>
            </w:r>
          </w:p>
        </w:tc>
        <w:tc>
          <w:tcPr>
            <w:tcW w:w="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Hereby</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5% Stockholders:</w:t>
            </w: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funds and entities affiliated with Warburg Pincus</w:t>
            </w:r>
            <w:r>
              <w:rPr>
                <w:rFonts w:ascii="Times New Roman" w:cs="Times New Roman" w:eastAsia="Times New Roman" w:hAnsi="Times New Roman"/>
                <w:sz w:val="12"/>
                <w:szCs w:val="12"/>
                <w:color w:val="auto"/>
              </w:rPr>
              <w:t>(2)</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118,929,897</w:t>
            </w:r>
          </w:p>
        </w:tc>
        <w:tc>
          <w:tcPr>
            <w:tcW w:w="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42.0%</w:t>
            </w: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13,512,582</w:t>
            </w:r>
            <w:r>
              <w:rPr>
                <w:rFonts w:ascii="Times New Roman" w:cs="Times New Roman" w:eastAsia="Times New Roman" w:hAnsi="Times New Roman"/>
                <w:sz w:val="12"/>
                <w:szCs w:val="12"/>
                <w:color w:val="auto"/>
              </w:rPr>
              <w:t>(13)</w:t>
            </w:r>
          </w:p>
        </w:tc>
        <w:tc>
          <w:tcPr>
            <w:tcW w:w="9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105,417,315</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37.26%</w:t>
            </w:r>
          </w:p>
        </w:tc>
        <w:tc>
          <w:tcPr>
            <w:tcW w:w="196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15,539,471</w:t>
            </w:r>
            <w:r>
              <w:rPr>
                <w:rFonts w:ascii="Times New Roman" w:cs="Times New Roman" w:eastAsia="Times New Roman" w:hAnsi="Times New Roman"/>
                <w:sz w:val="12"/>
                <w:szCs w:val="12"/>
                <w:color w:val="auto"/>
              </w:rPr>
              <w:t>(13)</w:t>
            </w:r>
            <w:r>
              <w:rPr>
                <w:rFonts w:ascii="Times New Roman" w:cs="Times New Roman" w:eastAsia="Times New Roman" w:hAnsi="Times New Roman"/>
                <w:sz w:val="14"/>
                <w:szCs w:val="14"/>
                <w:color w:val="auto"/>
              </w:rPr>
              <w:t xml:space="preserve">   103,390,426</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36.55%</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funds and entities affiliated with GTCR</w:t>
            </w:r>
            <w:r>
              <w:rPr>
                <w:rFonts w:ascii="Times New Roman" w:cs="Times New Roman" w:eastAsia="Times New Roman" w:hAnsi="Times New Roman"/>
                <w:sz w:val="12"/>
                <w:szCs w:val="12"/>
                <w:color w:val="auto"/>
              </w:rPr>
              <w:t>(3)</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79,286,597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28.0%</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9,008,388</w:t>
            </w:r>
            <w:r>
              <w:rPr>
                <w:rFonts w:ascii="Times New Roman" w:cs="Times New Roman" w:eastAsia="Times New Roman" w:hAnsi="Times New Roman"/>
                <w:sz w:val="12"/>
                <w:szCs w:val="12"/>
                <w:color w:val="auto"/>
              </w:rPr>
              <w:t>(14)</w:t>
            </w:r>
          </w:p>
        </w:tc>
        <w:tc>
          <w:tcPr>
            <w:tcW w:w="9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70,278,209</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10,359,647</w:t>
            </w:r>
            <w:r>
              <w:rPr>
                <w:rFonts w:ascii="Times New Roman" w:cs="Times New Roman" w:eastAsia="Times New Roman" w:hAnsi="Times New Roman"/>
                <w:sz w:val="12"/>
                <w:szCs w:val="12"/>
                <w:color w:val="auto"/>
              </w:rPr>
              <w:t>(14)</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68,926,950</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Michael B. Petras, Jr.</w:t>
            </w:r>
            <w:r>
              <w:rPr>
                <w:rFonts w:ascii="Times New Roman" w:cs="Times New Roman" w:eastAsia="Times New Roman" w:hAnsi="Times New Roman"/>
                <w:sz w:val="12"/>
                <w:szCs w:val="12"/>
                <w:color w:val="auto"/>
              </w:rPr>
              <w:t>(4)</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7,194,624</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817,439</w:t>
            </w:r>
          </w:p>
        </w:tc>
        <w:tc>
          <w:tcPr>
            <w:tcW w:w="9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6,377,185</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940,055</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6,254,569</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9"/>
        </w:trPr>
        <w:tc>
          <w:tcPr>
            <w:tcW w:w="46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Scott J. Leffler</w:t>
            </w:r>
            <w:r>
              <w:rPr>
                <w:rFonts w:ascii="Times New Roman" w:cs="Times New Roman" w:eastAsia="Times New Roman" w:hAnsi="Times New Roman"/>
                <w:sz w:val="12"/>
                <w:szCs w:val="12"/>
                <w:color w:val="auto"/>
              </w:rPr>
              <w:t>(5)</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652,927</w:t>
            </w:r>
          </w:p>
        </w:tc>
        <w:tc>
          <w:tcPr>
            <w:tcW w:w="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652,927</w:t>
            </w: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652,927</w:t>
            </w:r>
          </w:p>
        </w:tc>
        <w:tc>
          <w:tcPr>
            <w:tcW w:w="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Michael P. Rutz</w:t>
            </w:r>
            <w:r>
              <w:rPr>
                <w:rFonts w:ascii="Times New Roman" w:cs="Times New Roman" w:eastAsia="Times New Roman" w:hAnsi="Times New Roman"/>
                <w:sz w:val="12"/>
                <w:szCs w:val="12"/>
                <w:color w:val="auto"/>
              </w:rPr>
              <w:t>(6)</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594,957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594,957</w:t>
            </w: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594,957</w:t>
            </w:r>
          </w:p>
        </w:tc>
        <w:tc>
          <w:tcPr>
            <w:tcW w:w="5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Ruoxi Chen</w:t>
            </w:r>
            <w:r>
              <w:rPr>
                <w:rFonts w:ascii="Times New Roman" w:cs="Times New Roman" w:eastAsia="Times New Roman" w:hAnsi="Times New Roman"/>
                <w:sz w:val="12"/>
                <w:szCs w:val="12"/>
                <w:color w:val="auto"/>
              </w:rPr>
              <w:t>(7)</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118,929,897</w:t>
            </w:r>
          </w:p>
        </w:tc>
        <w:tc>
          <w:tcPr>
            <w:tcW w:w="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42.0%</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13,512,582</w:t>
            </w:r>
          </w:p>
        </w:tc>
        <w:tc>
          <w:tcPr>
            <w:tcW w:w="9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105,417,315</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37.26%</w:t>
            </w:r>
          </w:p>
        </w:tc>
        <w:tc>
          <w:tcPr>
            <w:tcW w:w="10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15,539,471</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103,390,426</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36.55%</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Sean L. Cunningham</w:t>
            </w:r>
            <w:r>
              <w:rPr>
                <w:rFonts w:ascii="Times New Roman" w:cs="Times New Roman" w:eastAsia="Times New Roman" w:hAnsi="Times New Roman"/>
                <w:sz w:val="12"/>
                <w:szCs w:val="12"/>
                <w:color w:val="auto"/>
              </w:rPr>
              <w:t>(3)</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79,286,597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28.0%</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9,008,388</w:t>
            </w:r>
          </w:p>
        </w:tc>
        <w:tc>
          <w:tcPr>
            <w:tcW w:w="9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70,278,209</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10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10,359,647</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68,926,950</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48"/>
        </w:trPr>
        <w:tc>
          <w:tcPr>
            <w:tcW w:w="46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David A. Donnini</w:t>
            </w:r>
            <w:r>
              <w:rPr>
                <w:rFonts w:ascii="Times New Roman" w:cs="Times New Roman" w:eastAsia="Times New Roman" w:hAnsi="Times New Roman"/>
                <w:sz w:val="12"/>
                <w:szCs w:val="12"/>
                <w:color w:val="auto"/>
              </w:rPr>
              <w:t>(3)</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79,286,597</w:t>
            </w:r>
          </w:p>
        </w:tc>
        <w:tc>
          <w:tcPr>
            <w:tcW w:w="4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28.0%</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9,008,388</w:t>
            </w:r>
          </w:p>
        </w:tc>
        <w:tc>
          <w:tcPr>
            <w:tcW w:w="9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70,278,209</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10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10,359,647</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68,926,950</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Stephanie Geveda</w:t>
            </w:r>
            <w:r>
              <w:rPr>
                <w:rFonts w:ascii="Times New Roman" w:cs="Times New Roman" w:eastAsia="Times New Roman" w:hAnsi="Times New Roman"/>
                <w:sz w:val="12"/>
                <w:szCs w:val="12"/>
                <w:color w:val="auto"/>
              </w:rPr>
              <w:t>(7)</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118,929,897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42.0%</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13,512,582</w:t>
            </w:r>
          </w:p>
        </w:tc>
        <w:tc>
          <w:tcPr>
            <w:tcW w:w="9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105,417,315</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37.26%</w:t>
            </w:r>
          </w:p>
        </w:tc>
        <w:tc>
          <w:tcPr>
            <w:tcW w:w="10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15,539,471</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103,390,426</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36.55%</w:t>
            </w:r>
          </w:p>
        </w:tc>
        <w:tc>
          <w:tcPr>
            <w:tcW w:w="0" w:type="dxa"/>
            <w:vAlign w:val="bottom"/>
          </w:tcPr>
          <w:p>
            <w:pPr>
              <w:spacing w:after="0"/>
              <w:rPr>
                <w:sz w:val="1"/>
                <w:szCs w:val="1"/>
                <w:color w:val="auto"/>
              </w:rPr>
            </w:pPr>
          </w:p>
        </w:tc>
      </w:tr>
      <w:tr>
        <w:trPr>
          <w:trHeight w:val="148"/>
        </w:trPr>
        <w:tc>
          <w:tcPr>
            <w:tcW w:w="46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Ann R. Klee</w:t>
            </w:r>
            <w:r>
              <w:rPr>
                <w:rFonts w:ascii="Times New Roman" w:cs="Times New Roman" w:eastAsia="Times New Roman" w:hAnsi="Times New Roman"/>
                <w:sz w:val="12"/>
                <w:szCs w:val="12"/>
                <w:color w:val="auto"/>
              </w:rPr>
              <w:t>(8)</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50,925</w:t>
            </w:r>
          </w:p>
        </w:tc>
        <w:tc>
          <w:tcPr>
            <w:tcW w:w="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50,925</w:t>
            </w: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50,925</w:t>
            </w:r>
          </w:p>
        </w:tc>
        <w:tc>
          <w:tcPr>
            <w:tcW w:w="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Constantine S. Mihas</w:t>
            </w:r>
            <w:r>
              <w:rPr>
                <w:rFonts w:ascii="Times New Roman" w:cs="Times New Roman" w:eastAsia="Times New Roman" w:hAnsi="Times New Roman"/>
                <w:sz w:val="12"/>
                <w:szCs w:val="12"/>
                <w:color w:val="auto"/>
              </w:rPr>
              <w:t>(3)</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79,286,597</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28.0%</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9,008,388</w:t>
            </w:r>
          </w:p>
        </w:tc>
        <w:tc>
          <w:tcPr>
            <w:tcW w:w="9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70,278,209</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10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10,359,647</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68,926,950</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88"/>
        </w:trPr>
        <w:tc>
          <w:tcPr>
            <w:tcW w:w="4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James C. Neary</w:t>
            </w:r>
            <w:r>
              <w:rPr>
                <w:rFonts w:ascii="Times New Roman" w:cs="Times New Roman" w:eastAsia="Times New Roman" w:hAnsi="Times New Roman"/>
                <w:sz w:val="12"/>
                <w:szCs w:val="12"/>
                <w:color w:val="auto"/>
              </w:rPr>
              <w:t>(7)</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118,929,897</w:t>
            </w:r>
          </w:p>
        </w:tc>
        <w:tc>
          <w:tcPr>
            <w:tcW w:w="40" w:type="dxa"/>
            <w:vAlign w:val="bottom"/>
          </w:tcPr>
          <w:p>
            <w:pPr>
              <w:spacing w:after="0"/>
              <w:rPr>
                <w:sz w:val="16"/>
                <w:szCs w:val="16"/>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42.0%</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13,512,582</w:t>
            </w: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105,417,315</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37.26%</w:t>
            </w: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15,539,471</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103,390,426</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36.55%</w:t>
            </w:r>
          </w:p>
        </w:tc>
        <w:tc>
          <w:tcPr>
            <w:tcW w:w="0" w:type="dxa"/>
            <w:vAlign w:val="bottom"/>
          </w:tcPr>
          <w:p>
            <w:pPr>
              <w:spacing w:after="0"/>
              <w:rPr>
                <w:sz w:val="1"/>
                <w:szCs w:val="1"/>
                <w:color w:val="auto"/>
              </w:rPr>
            </w:pPr>
          </w:p>
        </w:tc>
      </w:tr>
      <w:tr>
        <w:trPr>
          <w:trHeight w:val="28"/>
        </w:trPr>
        <w:tc>
          <w:tcPr>
            <w:tcW w:w="4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Vincent K. Petrella</w:t>
            </w:r>
          </w:p>
        </w:tc>
        <w:tc>
          <w:tcPr>
            <w:tcW w:w="900" w:type="dxa"/>
            <w:vAlign w:val="bottom"/>
            <w:gridSpan w:val="3"/>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All Executive Officers and Directors as a group (12 Persons)</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207,079,165</w:t>
            </w:r>
          </w:p>
        </w:tc>
        <w:tc>
          <w:tcPr>
            <w:tcW w:w="40" w:type="dxa"/>
            <w:vAlign w:val="bottom"/>
          </w:tcPr>
          <w:p>
            <w:pPr>
              <w:spacing w:after="0"/>
              <w:rPr>
                <w:sz w:val="15"/>
                <w:szCs w:val="15"/>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73.2%</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23,380,361</w:t>
            </w: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183,698,804</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64.93%</w:t>
            </w: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26,887,419</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180,191,746</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63.69%</w:t>
            </w:r>
          </w:p>
        </w:tc>
        <w:tc>
          <w:tcPr>
            <w:tcW w:w="0" w:type="dxa"/>
            <w:vAlign w:val="bottom"/>
          </w:tcPr>
          <w:p>
            <w:pPr>
              <w:spacing w:after="0"/>
              <w:rPr>
                <w:sz w:val="1"/>
                <w:szCs w:val="1"/>
                <w:color w:val="auto"/>
              </w:rPr>
            </w:pPr>
          </w:p>
        </w:tc>
      </w:tr>
      <w:tr>
        <w:trPr>
          <w:trHeight w:val="44"/>
        </w:trPr>
        <w:tc>
          <w:tcPr>
            <w:tcW w:w="4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5620" w:type="dxa"/>
            <w:vAlign w:val="bottom"/>
          </w:tcPr>
          <w:p>
            <w:pPr>
              <w:spacing w:after="0"/>
              <w:rPr>
                <w:sz w:val="13"/>
                <w:szCs w:val="13"/>
                <w:color w:val="auto"/>
              </w:rPr>
            </w:pPr>
          </w:p>
        </w:tc>
        <w:tc>
          <w:tcPr>
            <w:tcW w:w="70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3"/>
                <w:szCs w:val="13"/>
                <w:b w:val="1"/>
                <w:bCs w:val="1"/>
                <w:color w:val="auto"/>
              </w:rPr>
              <w:t>Shares Beneficially Owned After the Offering</w:t>
            </w: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20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2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Prior to</w:t>
            </w:r>
          </w:p>
        </w:tc>
        <w:tc>
          <w:tcPr>
            <w:tcW w:w="1620" w:type="dxa"/>
            <w:vAlign w:val="bottom"/>
            <w:gridSpan w:val="5"/>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Assuming No Exercise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4"/>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Assuming Full Exercise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rPr>
                <w:sz w:val="13"/>
                <w:szCs w:val="13"/>
                <w:color w:val="auto"/>
              </w:rPr>
            </w:pPr>
          </w:p>
        </w:tc>
        <w:tc>
          <w:tcPr>
            <w:tcW w:w="120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the Offering</w:t>
            </w: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Underwriters’ Option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w w:val="95"/>
              </w:rPr>
              <w:t>of Underwriters’ Option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620" w:type="dxa"/>
            <w:vAlign w:val="bottom"/>
          </w:tcPr>
          <w:p>
            <w:pPr>
              <w:spacing w:after="0"/>
              <w:rPr>
                <w:sz w:val="9"/>
                <w:szCs w:val="9"/>
                <w:color w:val="auto"/>
              </w:rPr>
            </w:pPr>
          </w:p>
        </w:tc>
        <w:tc>
          <w:tcPr>
            <w:tcW w:w="700" w:type="dxa"/>
            <w:vAlign w:val="bottom"/>
            <w:tcBorders>
              <w:top w:val="single" w:sz="8" w:color="auto"/>
            </w:tcBorders>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top w:val="single" w:sz="8" w:color="auto"/>
            </w:tcBorders>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tcBorders>
              <w:top w:val="single" w:sz="8" w:color="auto"/>
            </w:tcBorders>
            <w:gridSpan w:val="3"/>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top w:val="single" w:sz="8" w:color="auto"/>
            </w:tcBorders>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Shares</w:t>
            </w:r>
          </w:p>
        </w:tc>
        <w:tc>
          <w:tcPr>
            <w:tcW w:w="780" w:type="dxa"/>
            <w:vAlign w:val="bottom"/>
            <w:tcBorders>
              <w:top w:val="single" w:sz="8" w:color="auto"/>
            </w:tcBorders>
            <w:gridSpan w:val="2"/>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Offered</w:t>
            </w:r>
          </w:p>
        </w:tc>
        <w:tc>
          <w:tcPr>
            <w:tcW w:w="90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Offered</w:t>
            </w:r>
          </w:p>
        </w:tc>
        <w:tc>
          <w:tcPr>
            <w:tcW w:w="7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r>
              <w:rPr>
                <w:rFonts w:ascii="Times New Roman" w:cs="Times New Roman" w:eastAsia="Times New Roman" w:hAnsi="Times New Roman"/>
                <w:sz w:val="8"/>
                <w:szCs w:val="8"/>
                <w:b w:val="1"/>
                <w:bCs w:val="1"/>
                <w:color w:val="auto"/>
              </w:rPr>
              <w:t>(1)</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Held</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Hereby</w:t>
            </w: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Held</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Hereby</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Held</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6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Other Selling Stockholders:</w:t>
            </w: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Philip W. Macnabb</w:t>
            </w:r>
            <w:r>
              <w:rPr>
                <w:rFonts w:ascii="Times New Roman" w:cs="Times New Roman" w:eastAsia="Times New Roman" w:hAnsi="Times New Roman"/>
                <w:sz w:val="12"/>
                <w:szCs w:val="12"/>
                <w:color w:val="auto"/>
              </w:rPr>
              <w:t>(9)</w:t>
            </w: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5,247,853</w:t>
            </w: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596,252</w:t>
            </w: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4,651,601</w:t>
            </w:r>
          </w:p>
        </w:tc>
        <w:tc>
          <w:tcPr>
            <w:tcW w:w="2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685,688</w:t>
            </w:r>
          </w:p>
        </w:tc>
        <w:tc>
          <w:tcPr>
            <w:tcW w:w="7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4,562,165</w:t>
            </w: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Michael J. Mulhern</w:t>
            </w:r>
            <w:r>
              <w:rPr>
                <w:rFonts w:ascii="Times New Roman" w:cs="Times New Roman" w:eastAsia="Times New Roman" w:hAnsi="Times New Roman"/>
                <w:sz w:val="12"/>
                <w:szCs w:val="12"/>
                <w:color w:val="auto"/>
              </w:rPr>
              <w:t>(10)</w:t>
            </w:r>
          </w:p>
        </w:tc>
        <w:tc>
          <w:tcPr>
            <w:tcW w:w="7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5,543,562</w:t>
            </w: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629,849</w:t>
            </w:r>
          </w:p>
        </w:tc>
        <w:tc>
          <w:tcPr>
            <w:tcW w:w="8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4,913,713</w:t>
            </w: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8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724,326</w:t>
            </w:r>
          </w:p>
        </w:tc>
        <w:tc>
          <w:tcPr>
            <w:tcW w:w="7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4,819,236</w:t>
            </w:r>
          </w:p>
        </w:tc>
        <w:tc>
          <w:tcPr>
            <w:tcW w:w="4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8"/>
        </w:trPr>
        <w:tc>
          <w:tcPr>
            <w:tcW w:w="56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Jeffery Nelson</w:t>
            </w:r>
            <w:r>
              <w:rPr>
                <w:rFonts w:ascii="Times New Roman" w:cs="Times New Roman" w:eastAsia="Times New Roman" w:hAnsi="Times New Roman"/>
                <w:sz w:val="12"/>
                <w:szCs w:val="12"/>
                <w:color w:val="auto"/>
              </w:rPr>
              <w:t>(11)</w:t>
            </w: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2,285,904</w:t>
            </w: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259,720</w:t>
            </w: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2,026,184</w:t>
            </w:r>
          </w:p>
        </w:tc>
        <w:tc>
          <w:tcPr>
            <w:tcW w:w="2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298,678</w:t>
            </w:r>
          </w:p>
        </w:tc>
        <w:tc>
          <w:tcPr>
            <w:tcW w:w="7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1,987,226</w:t>
            </w:r>
          </w:p>
        </w:tc>
        <w:tc>
          <w:tcPr>
            <w:tcW w:w="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employees as a group</w:t>
            </w:r>
            <w:r>
              <w:rPr>
                <w:rFonts w:ascii="Times New Roman" w:cs="Times New Roman" w:eastAsia="Times New Roman" w:hAnsi="Times New Roman"/>
                <w:sz w:val="12"/>
                <w:szCs w:val="12"/>
                <w:color w:val="auto"/>
              </w:rPr>
              <w:t>(12)</w:t>
            </w:r>
          </w:p>
        </w:tc>
        <w:tc>
          <w:tcPr>
            <w:tcW w:w="7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1,547,023</w:t>
            </w: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175,770</w:t>
            </w:r>
          </w:p>
        </w:tc>
        <w:tc>
          <w:tcPr>
            <w:tcW w:w="8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1,371,253</w:t>
            </w: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202,135</w:t>
            </w:r>
          </w:p>
        </w:tc>
        <w:tc>
          <w:tcPr>
            <w:tcW w:w="7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1,344,888</w:t>
            </w: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 w:lineRule="exact"/>
        <w:rPr>
          <w:sz w:val="20"/>
          <w:szCs w:val="20"/>
          <w:color w:val="auto"/>
        </w:rPr>
      </w:pPr>
    </w:p>
    <w:p>
      <w:pPr>
        <w:ind w:left="540" w:right="42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shown in the table above include shares held in the beneficial owner’s name or jointly with others, or in the name of a bank, nominee or trustee for the beneficial owner’s account.</w:t>
      </w:r>
    </w:p>
    <w:p>
      <w:pPr>
        <w:ind w:left="540" w:right="520" w:hanging="424"/>
        <w:spacing w:after="0" w:line="239"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74,276,334 shares held of record by Warburg Pincus Private Equity XI, L.P., a Delaware limited partnership (“WP XI”), (ii) 13,324,816 shares held of record by Warburg Pincus Private Equity XI-B, L.P., a Delaware limited partnership</w:t>
      </w:r>
    </w:p>
    <w:p>
      <w:pPr>
        <w:spacing w:after="0" w:line="68" w:lineRule="exact"/>
        <w:rPr>
          <w:rFonts w:ascii="Times New Roman" w:cs="Times New Roman" w:eastAsia="Times New Roman" w:hAnsi="Times New Roman"/>
          <w:sz w:val="14"/>
          <w:szCs w:val="14"/>
          <w:color w:val="auto"/>
        </w:rPr>
      </w:pPr>
    </w:p>
    <w:p>
      <w:pPr>
        <w:ind w:left="560" w:right="26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(“WP XI-B”), (iii) 304,567 shares held of record by Warburg Pincus Private Equity XI-C, L.P., a Cayman Islands exempted limited partnership (“WP XI-C”), (iv) 2,512,680 shares held of record by WP XI Partners, L.P., a Delaware limited partnership (“WP XIP”), (v) 4,758,863 shares held of record by Warburg Pincus XI Partners, L.P., a Delaware limited partnership (“WP XI Partners”) and (vi) 23,752,637 shares held of record by Bull Co-Invest L.P., a Delaware limited partnership (“WP Bull”).</w:t>
      </w:r>
    </w:p>
    <w:p>
      <w:pPr>
        <w:spacing w:after="0" w:line="68" w:lineRule="exact"/>
        <w:rPr>
          <w:rFonts w:ascii="Times New Roman" w:cs="Times New Roman" w:eastAsia="Times New Roman" w:hAnsi="Times New Roman"/>
          <w:sz w:val="14"/>
          <w:szCs w:val="14"/>
          <w:color w:val="auto"/>
        </w:rPr>
      </w:pPr>
    </w:p>
    <w:p>
      <w:pPr>
        <w:ind w:left="560" w:right="4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68" w:lineRule="exact"/>
        <w:rPr>
          <w:rFonts w:ascii="Times New Roman" w:cs="Times New Roman" w:eastAsia="Times New Roman" w:hAnsi="Times New Roman"/>
          <w:sz w:val="14"/>
          <w:szCs w:val="14"/>
          <w:color w:val="auto"/>
        </w:rPr>
      </w:pPr>
    </w:p>
    <w:p>
      <w:pPr>
        <w:ind w:left="560" w:right="16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68"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WP Bull Manager LLC, a Delaware limited Liability company (“WP Bull Manager”), is the general partner of WP Bull. WP is the managing member of WP Bull Manager.</w:t>
      </w:r>
    </w:p>
    <w:p>
      <w:pPr>
        <w:spacing w:after="0" w:line="95" w:lineRule="exact"/>
        <w:rPr>
          <w:rFonts w:ascii="Times New Roman" w:cs="Times New Roman" w:eastAsia="Times New Roman" w:hAnsi="Times New Roman"/>
          <w:sz w:val="14"/>
          <w:szCs w:val="14"/>
          <w:color w:val="auto"/>
        </w:rPr>
      </w:pPr>
    </w:p>
    <w:p>
      <w:pPr>
        <w:ind w:left="560" w:right="16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Warburg Pincus LLC, a New York limited liability company (“WP LLC”), is the manager of the WP XI Funds. The address of the Warburg Pincus entities is 450 Lexington Avenue, New York, New York 10017.</w:t>
      </w:r>
    </w:p>
    <w:p>
      <w:pPr>
        <w:spacing w:after="0" w:line="68" w:lineRule="exact"/>
        <w:rPr>
          <w:rFonts w:ascii="Times New Roman" w:cs="Times New Roman" w:eastAsia="Times New Roman" w:hAnsi="Times New Roman"/>
          <w:sz w:val="14"/>
          <w:szCs w:val="14"/>
          <w:color w:val="auto"/>
        </w:rPr>
      </w:pPr>
    </w:p>
    <w:p>
      <w:pPr>
        <w:ind w:left="540" w:right="40" w:hanging="424"/>
        <w:spacing w:after="0" w:line="224"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62,928,028 shares held of record by GTCR Fund XI/A LP, (ii) 15,854,227 shares held of record by GTCR Fund XI/C LP and (iii) 504,342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Petras is the grantor and trustee of an estate planning trust (the “Petras Trust”). As a result, Mr. Petras may have voting and investment control over, and may be deemed to be the beneficial owner of, an aggregate of 7,194,624 shares of common stock prior to the offering, 6,377,185 shares of common stock after the offering and 6,254,569 shares of common stock if the underwriters exercise their option to purchase additional shares.</w:t>
      </w:r>
    </w:p>
    <w:p>
      <w:pPr>
        <w:ind w:left="54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372,632 shares of common stock and 280,295 shares that will remain subject to vesting.</w:t>
      </w:r>
    </w:p>
    <w:p>
      <w:pPr>
        <w:ind w:left="54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16,199 shares of common stock and 578,758 shares that will remain subject to vesting.</w:t>
      </w:r>
    </w:p>
    <w:p>
      <w:pPr>
        <w:ind w:left="540" w:right="40" w:hanging="424"/>
        <w:spacing w:after="0" w:line="233"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118,929,897 shares of common stock beneficially owned by Warburg Pincus Entities before the offering, 105,417,315 shares of common stock beneficially owned by Warburg Pincus Entities after the offering and 103,390,426 shares of common stock beneficially owned by Warburg Pincus entities if the underwriters exercise their option to purchase additional shares because of the affiliations of</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360"/>
        <w:spacing w:after="0" w:line="233" w:lineRule="auto"/>
        <w:rPr>
          <w:sz w:val="20"/>
          <w:szCs w:val="20"/>
          <w:color w:val="auto"/>
        </w:rPr>
      </w:pPr>
      <w:r>
        <w:rPr>
          <w:rFonts w:ascii="Times New Roman" w:cs="Times New Roman" w:eastAsia="Times New Roman" w:hAnsi="Times New Roman"/>
          <w:sz w:val="14"/>
          <w:szCs w:val="14"/>
          <w:color w:val="auto"/>
        </w:rPr>
        <w:t>Mr. Chen, Ms. Geveda and Mr. Neary with the Warburg Pincus entities. Mr. Chen, Ms. Geveda and Mr. Neary each disclaim beneficial ownership of all shares of common stock owned by the Warburg Pincus entities except to the extent of any indirect pecuniary interests therein.</w:t>
      </w:r>
    </w:p>
    <w:p>
      <w:pPr>
        <w:ind w:left="540" w:hanging="424"/>
        <w:spacing w:after="0" w:line="222"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16,199 shares of common stock and 34,726 shares that will remain subject to vesting.</w:t>
      </w:r>
    </w:p>
    <w:p>
      <w:pPr>
        <w:jc w:val="both"/>
        <w:ind w:left="540" w:right="100" w:hanging="424"/>
        <w:spacing w:after="0" w:line="221"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Macnabb served as the President of Sterigenics until October 1, 2020. Mr. Macnabb is the grantor and trustee of three estate planning trusts (collectively, the “Macnabb Trusts”). As a result, Mr. Macnabb may have voting and investment control over, and may be deemed to be the beneficial owner of, an aggregate of 2,676,405 shares of common stock owned by the Macnabb Trusts. The Macnabb Trusts are not offering shares of common stock in this offering.</w:t>
      </w:r>
    </w:p>
    <w:p>
      <w:pPr>
        <w:ind w:left="540" w:right="60" w:hanging="424"/>
        <w:spacing w:after="0" w:line="221"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Mulhern served as chief executive officer of our subsidiary, Sotera Health LLC, and its predecessor from July 2011 to June 2016. Upon his retirement as our chief executive officer, Mr. Mulhern agreed to continue to serve as a member of Topco Parent’s board of managers and did not continue on to our board of directors following our IPO. Mr. Mulhern and his spouse are the grantors and trustees of two estate planning trusts (collectively, the “Mulhern Trusts”). As a result, Mr. Mulhern may have voting and investment control over, and may be deemed to be the beneficial owner of, an aggregate of 5,543,562 shares of common stock owned by the Mulhern Trusts prior to the offering, 4,913,713 shares of common stock after the offering and 4,819,236 shares of common stock if the underwriters exercise their option to purchase additional shares of common stock.</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Jeffery Nelson served as the president of Nelson Labs until October 1, 2020 and currently serves as the Chairman of Nelson Labs. Mr. Nelson is the grantor and Mr. Nelson’s spouse is the trustee of an estate planning trust (the “Nelson Nevada Dynasty Trust”). As a result, Mr. Nelson may have voting and investment control over, and may be deemed to be the beneficial owner of, an aggregate of 1,481,465 shares of common stock owned by the Nelson Nevada Dynasty Trust. The Nelson Nevada Dynasty Trust is not offering any shares of common stock in this offering.</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owned by an estate planning trust for which Matthew J. Klaben, our Senior Vice President, General Counsel and Corporate Secretary, is the grantor and trustee. As a result, Mr. Klaben may have voting and investment control over, and may deemed to be the beneficial owner of 130,905 shares that will remain subject to vesting and</w:t>
      </w:r>
    </w:p>
    <w:p>
      <w:pPr>
        <w:ind w:left="540" w:right="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238,333 shares of common stock prior to the offering, (ii) 196,381 shares of common stock after the offering and (iii) 190,088 shares of common stock if the underwriters exercise their option to purchase additional shares of common stock.</w:t>
      </w:r>
    </w:p>
    <w:p>
      <w:pPr>
        <w:ind w:left="540" w:hanging="424"/>
        <w:spacing w:after="0" w:line="221"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WP XI is offering 8,439,131 shares of common stock or 9,705,001 shares if the underwriters exercise their option. WP XI-B is offering 1,513,940 shares of common stock or 1,741,031 shares of common stock if the underwriters exercise their option. WP XI-C is offering 34,604 shares of common stock or 39,795 shares of common stock if the underwriters exercise their option. WP XIP is offering 285,486 shares of common stock or 328,309 shares of common stock if the underwriters exercise their option. WP XI Partners is offering 540,693 shares of common stock or 621,797 shares of common stock if the underwriters exercise their option. WP Bull is offering 2,698,728 shares of common stock or 3,103,538 shares of common stock if the underwriters exercise their option.</w:t>
      </w:r>
    </w:p>
    <w:p>
      <w:pPr>
        <w:spacing w:after="0" w:line="1" w:lineRule="exact"/>
        <w:rPr>
          <w:rFonts w:ascii="Times New Roman" w:cs="Times New Roman" w:eastAsia="Times New Roman" w:hAnsi="Times New Roman"/>
          <w:sz w:val="14"/>
          <w:szCs w:val="14"/>
          <w:color w:val="auto"/>
        </w:rPr>
      </w:pPr>
    </w:p>
    <w:p>
      <w:pPr>
        <w:ind w:left="540" w:right="80" w:hanging="424"/>
        <w:spacing w:after="0" w:line="233" w:lineRule="auto"/>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GTCR Fund XI/A LP if offering 7,149,760 shares of common stock or 8,222,224 shares of common stock if the underwriters exercise their option. GTCR Fund XI/C LP is offering 1,801,326 shares of common stock or 2,071,525 shares of common stock if the underwriters exercise their option. GTCR Co-Invest XI LP is offering 57,302 shares of common stock or 65,898 shares of common stock if the underwriters exercise their option.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copies of which are filed as exhibits to the registration statement of which this prospectus is a part, as well as the relevant portions of the DGCL.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capital structure consists of 1,200,000,000 authorized shares of common stock, par value $0.01 per share, and 120,000,000 authorized shares of preferred stock, par value $0.01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As of February 24, 2021, there were 282,899,968 shares of our common stock outstanding, held of record by 72 holders.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 See “Dividend Policy.”</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Dissolution, and Winding Up. </w:t>
      </w:r>
      <w:r>
        <w:rPr>
          <w:rFonts w:ascii="Times New Roman" w:cs="Times New Roman" w:eastAsia="Times New Roman" w:hAnsi="Times New Roman"/>
          <w:sz w:val="18"/>
          <w:szCs w:val="18"/>
          <w:color w:val="auto"/>
        </w:rPr>
        <w:t>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73"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Assessment. </w:t>
      </w:r>
      <w:r>
        <w:rPr>
          <w:rFonts w:ascii="Times New Roman" w:cs="Times New Roman" w:eastAsia="Times New Roman" w:hAnsi="Times New Roman"/>
          <w:sz w:val="18"/>
          <w:szCs w:val="18"/>
          <w:color w:val="auto"/>
        </w:rPr>
        <w:t>All outstanding shares of our common stock are fully paid and nonassessable.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IPO, we entered into a second amended and restated registration rights agreement, dated November 19, 2020. For a description of registration rights with respect to our common stock, see “Certain Relationships and Related Transactions, and Director Independence— Registration Rights Agreement” in Part III, Item. 13 of Sotera Health’s 2020 10-K, which is incorporated herein by reference.</w:t>
      </w:r>
    </w:p>
    <w:p>
      <w:pPr>
        <w:spacing w:after="0" w:line="28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removal of directors. </w:t>
      </w:r>
      <w:r>
        <w:rPr>
          <w:rFonts w:ascii="Times New Roman" w:cs="Times New Roman" w:eastAsia="Times New Roman" w:hAnsi="Times New Roman"/>
          <w:sz w:val="18"/>
          <w:szCs w:val="18"/>
          <w:color w:val="auto"/>
        </w:rPr>
        <w:t>Our amended and restated certificate of incorporation provides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60"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60"/>
          </w:cols>
          <w:pgMar w:left="320" w:top="455" w:right="5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of certificate of incorporation and bylaws provisions. </w:t>
      </w:r>
      <w:r>
        <w:rPr>
          <w:rFonts w:ascii="Times New Roman" w:cs="Times New Roman" w:eastAsia="Times New Roman" w:hAnsi="Times New Roman"/>
          <w:sz w:val="18"/>
          <w:szCs w:val="18"/>
          <w:color w:val="auto"/>
        </w:rPr>
        <w:t>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or undesignated capital stock. </w:t>
      </w:r>
      <w:r>
        <w:rPr>
          <w:rFonts w:ascii="Times New Roman" w:cs="Times New Roman" w:eastAsia="Times New Roman" w:hAnsi="Times New Roman"/>
          <w:sz w:val="18"/>
          <w:szCs w:val="18"/>
          <w:color w:val="auto"/>
        </w:rPr>
        <w:t>Our authorized capital stock consists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92"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 restated certificate of incorporation does not provide for cumulative voting. Without cumulative voting, a</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74"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Supermajority voting on board actions. </w:t>
      </w:r>
      <w:r>
        <w:rPr>
          <w:rFonts w:ascii="Times New Roman" w:cs="Times New Roman" w:eastAsia="Times New Roman" w:hAnsi="Times New Roman"/>
          <w:sz w:val="18"/>
          <w:szCs w:val="18"/>
          <w:color w:val="auto"/>
        </w:rPr>
        <w:t>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officers or any of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We are not subject to the provisions of Section 203 of the DGCL. In general, Section 203 prohibits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81" w:lineRule="exact"/>
        <w:rPr>
          <w:sz w:val="20"/>
          <w:szCs w:val="20"/>
          <w:color w:val="auto"/>
        </w:rPr>
      </w:pPr>
    </w:p>
    <w:p>
      <w:pPr>
        <w:ind w:left="1080" w:right="3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the section titled “Certain Relationships and Related Transactions, and Director Independence—Limitation of Liability and Indemnification of Officers and Directors” in Part III, Item. 13 of Sotera Health’s 2020 10-K, which is incorporated herein by reference.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20"/>
          </w:cols>
          <w:pgMar w:left="320" w:top="455" w:right="6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predict what effect, if any, market sales of shares of common stock or the availability of shares of common stock for sale will have on the market price of our common stock prevailing from time to time. Nevertheless, sales of substantial amounts of common stock in the public market, including shares issued upon the exercise of outstanding options, the vesting of RSUs or restricted shares of common stock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 A sale of a substantial number of shares of our common stock, or the perception that such sales might occur, may cause the price of our common stock to decline.”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Restricted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February 24, 2021, we had outstanding an aggregate of 282,899,968 shares of common stock (including shares of common stock to be sold in this offering). Of these shares, 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 Securities Act, which shares will be subject to the volume limitations and other restrictions of Rule 144 described below. Upon completion of this offering, approximately 72.22% of our outstanding common stock will be held by the Sponsors, our executive officers, directors and other pre-IPO stockholders and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lock-up agreements described below, our Stockholders’ Agreement and the provisions of Rule 144 and Rule 701 under the Securities Act, additional shares of our common stock will be available for sale in the public market as set forth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144 of the Securities Act, as currently in effect, a person (or persons whose shares are deemed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person who was one of our affiliates at any time during the three months preceding a sale is entitled to sell within any three-month period only a number of shares of common stock that does not exceed the greater of either of the following:</w:t>
      </w:r>
    </w:p>
    <w:p>
      <w:pPr>
        <w:spacing w:after="0" w:line="67" w:lineRule="exact"/>
        <w:rPr>
          <w:sz w:val="20"/>
          <w:szCs w:val="20"/>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common stock then outstanding, which will equal approximately 2,829,000 immediately after this offering;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common stock on the Nasdaq during the four calendar weeks preceding the filing of a notice on Form 144 with respect to the sale.</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All sales under Rule 144 are subject to the availability of current public information about us. In addition, sales under Rule 144 by affiliates or persons who have been affiliates within the previous 90 days are also subject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to manner of sale provisions and notice requirements. Upon completion of the 90-day lock-up period in connection with this offering and the IPO lock-up agreements that expire on May 18, 2021, approximately 204,309,968 shares of our outstanding restricted securities will be eligible for sale under Rule 144 subject to limitations on sales by affiliates and other contractual transfer restrictions.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IPO, or who purchased shares from us after that date upon the exercise of options granted before that date, are eligible to resell such shares in reliance upon Rule 144 beginning 90 days after the effective date of our IPO.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We, each of our officers, directors and the selling stockholders have agreed, subject to certain exceptions, with the underwriters not to dispose of or hedge any of the shares of common stock or securities convertible into or exchangeable for shares of common stock during the period from the date of this prospectus continuing through the date 90 days after the date of this prospectus. J.P. Morgan Securities LLC may, in its sole discretion, release any of these shares from these restrictions at any time without notice. For a discussion of these restrictions, see the section titled “Underwriting.”</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our IPO, we, each of our officers, directors and certain holders of our common stock agreed, subject to certain exceptions, with the underwriters not to dispose of or hedge any of the shares of common stock or securities convertible into or exchangeable for shares of common stock during the period from the date of the related prospectus continuing through May 18, 2021. J.P. Morgan Securities LLC may, in its sole discretion, release any of these shares from these restrictions at any time without notice. In connection with this offering, J.P. Morgan Securities LLC has waived certain lock-up restrictions applicable to the selling stockholders in this offering and certain restrictions applicable to us to permit the filing of the registration statement of which this prospectus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the stockholders’ agreement that we entered into with certain holders of our common stock, including investment funds and entities affiliated with the Sponsors in connection with our IPO, see “Certain Relationships and Related Transactions, and Director Independence— Stockholders’ Agreement” in Part III, Item. 13 of Sotera Health’s 2020 10-K, which is incorporated herein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the registration rights agreement that we entered into with certain holders of our common stock, including investment funds and entities affiliated with the Sponsors in connection with our IPO, see “Certain Relationships and Related Transactions, and Director Independence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Registration Rights” in Part III, Item. 13 of Sotera Health’s 2020 10-K, which is incorporated herein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statements on Form S-8 under the Securities Act to register all of the shares of common stock issued or issuable under our 2020 Plan. This registration statement permits the resale of shares offered pursuant to the 2020 Plan by non-affiliates in the public market without restriction under the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Act and the sale by affiliates in the public market, subject to compliance with the resale provisions of Rule 144 and any applicable lock-up agreements. See “Executive Compensation—2020 Omnibus Incentive Plan” in Part III, Item 11 of Sotera Health’s 2020 10-K, which is incorporated herein by reference, for a description of our 2020 Plan.</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320" w:top="455" w:right="5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19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320" w:top="455" w:right="5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Investors should consult their own tax advisors about how these information reporting and withholding tax rules may apply to their investment in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gain recognized on a sale, exchange or other taxable disposition of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are offering the shares of common stock described in this prospectus through a number of underwriters. J.P. Morgan Securities LLC, Credit Suisse Securities (USA) LLC, Goldman Sachs &amp; Co. LLC and Jefferies LLC are acting as representatives of the underwriters. We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340" w:type="dxa"/>
            <w:vAlign w:val="bottom"/>
            <w:gridSpan w:val="3"/>
            <w:vMerge w:val="continue"/>
          </w:tcPr>
          <w:p>
            <w:pPr>
              <w:spacing w:after="0"/>
              <w:rPr>
                <w:sz w:val="13"/>
                <w:szCs w:val="13"/>
                <w:color w:val="auto"/>
              </w:rPr>
            </w:pPr>
          </w:p>
        </w:tc>
        <w:tc>
          <w:tcPr>
            <w:tcW w:w="11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5,961,538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Capital Markets, Inc.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Penserra Securities LLC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Tigress Financial Partners LLC</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common shares offered by the selling stockholders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common shares directly to the public at the public offering price set forth on the cover page of this prospectus and to certain dealers at that price less a concession not in excess of $0.5265 per share. After the offering of the shares to the public, if all of the common shares are not sold at the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3,750,000 additional shares of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the selling stockholders per share of common stock. The underwriting fee is $0.8775 per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share. The following table shows the per share and total underwriting discounts and commissions to be paid by the selling stockholders to the underwriters assuming both no exercise and full exercise of the underwriters’ option to purchase additional shares.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With full</w:t>
            </w:r>
          </w:p>
        </w:tc>
      </w:tr>
      <w:tr>
        <w:trPr>
          <w:trHeight w:val="148"/>
        </w:trPr>
        <w:tc>
          <w:tcPr>
            <w:tcW w:w="3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r>
      <w:tr>
        <w:trPr>
          <w:trHeight w:val="148"/>
        </w:trPr>
        <w:tc>
          <w:tcPr>
            <w:tcW w:w="3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w:t>
            </w:r>
          </w:p>
        </w:tc>
      </w:tr>
      <w:tr>
        <w:trPr>
          <w:trHeight w:val="148"/>
        </w:trPr>
        <w:tc>
          <w:tcPr>
            <w:tcW w:w="3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6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c>
          <w:tcPr>
            <w:tcW w:w="11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r>
      <w:tr>
        <w:trPr>
          <w:trHeight w:val="173"/>
        </w:trPr>
        <w:tc>
          <w:tcPr>
            <w:tcW w:w="3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0.8775</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0.8775</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21,937,500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25,228,125</w:t>
            </w:r>
          </w:p>
        </w:tc>
      </w:tr>
    </w:tbl>
    <w:p>
      <w:pPr>
        <w:spacing w:after="0" w:line="17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$1.0 million. We have agreed to reimburse the underwriters for expenses up to $35,000, including expenses related to clearance of this offering with FINRA.</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without the prior written consent of J.P. Morgan Securities LLC for a period of 90 days after the date of this prospectus,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the selling stockholders have entered into lock-up agreements with the underwriters pursuant to which each of them, subject to certain exceptions, for a period of 90 days after the date of this prospectus,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w:t>
      </w:r>
    </w:p>
    <w:p>
      <w:pPr>
        <w:spacing w:after="0" w:line="27" w:lineRule="exact"/>
        <w:rPr>
          <w:sz w:val="20"/>
          <w:szCs w:val="20"/>
          <w:color w:val="auto"/>
        </w:rPr>
      </w:pPr>
    </w:p>
    <w:p>
      <w:pPr>
        <w:jc w:val="both"/>
        <w:ind w:left="120" w:right="80" w:hanging="4"/>
        <w:spacing w:after="0" w:line="265" w:lineRule="auto"/>
        <w:tabs>
          <w:tab w:leader="none" w:pos="3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as part of a sale of lock-up securities in open market transactions after the closing of this offering, (ii) transfers to us in connection with the vesting, settlement, or exercise of restricted stock units, shares of restricted stock, options, warrants or other rights to purchase shares of common stock,</w:t>
      </w:r>
    </w:p>
    <w:p>
      <w:pPr>
        <w:ind w:left="120" w:right="80" w:hanging="4"/>
        <w:spacing w:after="0" w:line="255" w:lineRule="auto"/>
        <w:tabs>
          <w:tab w:leader="none" w:pos="4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w:t>
      </w:r>
    </w:p>
    <w:p>
      <w:pPr>
        <w:spacing w:after="0" w:line="18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IPO, our executive officers, directors and certain holders of our common stock, entered into lock-up agreements with the underwriters pursuant to which each of them, subject to certain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exceptions, for a period of 180 days (which expires on May 18, 2021),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7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 (i) transfers as part of a sale of lock-up securities acquired in the IPO or in open market transactions after the closing of the IPO, (ii) transfers to us in connection with the vesting, settlement, or exercise of restricted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to such lending institution upon foreclosure, among others.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J.P. Morgan Securities LLC has given written consent to permit filing of this registration statement. Additionally, J.P. Morgan Securities LLC has agreed to release the restrictions under the lock-up agreements that were executed in connection with the IPO with respect to up to 25,000,000 shares (or up to 28,750,000 shares to the extent the underwriters exercise their option to purchase additional shares) of our common stock in this offering that are held by the selling stockholders, provided that the release of shares of our common stock held by the selling stockholders is limited to the shares actually sold in this offering.</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 of 1933.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common stock in the open market in stabilizing transactions or to cover short sales, the representatives can require the underwriters that sold those shares as part of this offering to repay the underwriting discount received by them.</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Neither we, the selling stockholders, nor the underwriters make any representation or prediction as to the direction or magnitude of any effect that the transactions described above may have on the price of our common stock.</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of the underwriters and/or certain of their affiliates are lenders, and/or act as agents or arrangers, under our Senior Secured Credit Facilities.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the selling stockholders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shares have been offered or will be offered pursuant to this offering to the public in that Relevant Member State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85"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any underwriter to publish a prospectus pursuant to Article 3 of the Prospectus Regulation or supplement a prospectus pursuant to Article 23 of the Prospectus Regulation.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67"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Issuer or any underwriter to publish a prospectus pursuant to section 85 of the FSMA or a supplemental prospectus pursuant to Article 23 of the UK</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Prospectus Regulation and each person who initially acquires any shares or to whom any offer is made will be deemed to have represented, acknowledged and agreed to the company and the underwriters that it is a qualified investor within the meaning of Article 2 of the UK Prospectus Regulation.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of Prospective Investors in Switzerland</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1080" w:right="4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Law of Japan. Accordingly, none of the shares nor any interest therein may be offered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89" w:lineRule="exact"/>
        <w:rPr>
          <w:sz w:val="20"/>
          <w:szCs w:val="20"/>
          <w:color w:val="auto"/>
        </w:rPr>
      </w:pPr>
    </w:p>
    <w:p>
      <w:pPr>
        <w:ind w:left="1540" w:right="28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540" w:right="260" w:hanging="439"/>
        <w:spacing w:after="0" w:line="312" w:lineRule="auto"/>
        <w:tabs>
          <w:tab w:leader="none" w:pos="1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5" w:lineRule="exact"/>
        <w:rPr>
          <w:rFonts w:ascii="Times New Roman" w:cs="Times New Roman" w:eastAsia="Times New Roman" w:hAnsi="Times New Roman"/>
          <w:sz w:val="17"/>
          <w:szCs w:val="17"/>
          <w:color w:val="auto"/>
        </w:rPr>
      </w:pPr>
    </w:p>
    <w:p>
      <w:pPr>
        <w:ind w:left="1540" w:right="80" w:hanging="439"/>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540" w:right="84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40"/>
          </w:cols>
          <w:pgMar w:left="320" w:top="455" w:right="5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fiscal year ended December 31, 2020, filed on March 9, 2021 (“Sotera Health’s 2020 10-K”);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15">
        <w:r>
          <w:rPr>
            <w:rFonts w:ascii="Times New Roman" w:cs="Times New Roman" w:eastAsia="Times New Roman" w:hAnsi="Times New Roman"/>
            <w:sz w:val="18"/>
            <w:szCs w:val="18"/>
            <w:u w:val="single" w:color="auto"/>
            <w:color w:val="0000EE"/>
          </w:rPr>
          <w:t>January 20,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6">
        <w:r>
          <w:rPr>
            <w:rFonts w:ascii="Times New Roman" w:cs="Times New Roman" w:eastAsia="Times New Roman" w:hAnsi="Times New Roman"/>
            <w:sz w:val="18"/>
            <w:szCs w:val="18"/>
            <w:u w:val="single" w:color="auto"/>
            <w:color w:val="0000EE"/>
          </w:rPr>
          <w:t>March 15, 2021</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76" w:lineRule="exact"/>
        <w:rPr>
          <w:rFonts w:ascii="Times New Roman" w:cs="Times New Roman" w:eastAsia="Times New Roman" w:hAnsi="Times New Roman"/>
          <w:sz w:val="18"/>
          <w:szCs w:val="18"/>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740"/>
          </w:cols>
          <w:pgMar w:left="320" w:top="455" w:right="839" w:bottom="1440" w:gutter="0" w:footer="0" w:header="0"/>
        </w:sectPr>
      </w:pPr>
    </w:p>
    <w:bookmarkStart w:id="83" w:name="page84"/>
    <w:bookmarkEnd w:id="8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9"/>
          <w:szCs w:val="29"/>
          <w:b w:val="1"/>
          <w:bCs w:val="1"/>
          <w:color w:val="auto"/>
        </w:rPr>
        <w:t>25,000,000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292735</wp:posOffset>
            </wp:positionV>
            <wp:extent cx="1560195"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361315</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March 17,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Credit Suisse</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1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KeyBanc Capital Markets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Citizens Capital Markets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ING</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Academy Securities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Loop Capital Markets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Penserra Securities LLC</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Siebert Williams Shank</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Tigress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739775</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800100</wp:posOffset>
            </wp:positionV>
            <wp:extent cx="699516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lowerRoman"/>
      <w:start w:val="3"/>
    </w:lvl>
  </w:abstractNum>
  <w:abstractNum w:abstractNumId="8">
    <w:nsid w:val="3A95F874"/>
    <w:multiLevelType w:val="hybridMultilevel"/>
    <w:lvl w:ilvl="0">
      <w:lvlJc w:val="left"/>
      <w:lvlText w:val="(%1)"/>
      <w:numFmt w:val="decimal"/>
      <w:start w:val="440"/>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7"/>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Roman"/>
      <w:start w:val="4"/>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lowerLetter"/>
      <w:start w:val="4"/>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3"/>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8"/>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3"/>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Roman"/>
      <w:start w:val="3"/>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jpe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14" Type="http://schemas.openxmlformats.org/officeDocument/2006/relationships/hyperlink" Target="http://www.sec.gov/Archives/edgar/data/1822479/000182247921000018/soterahealthcompany-10k2020.htm" TargetMode="External"/><Relationship Id="rId115" Type="http://schemas.openxmlformats.org/officeDocument/2006/relationships/hyperlink" Target="http://www.sec.gov/Archives/edgar/data/1822479/000182247921000007/january202021-8k.htm" TargetMode="External"/><Relationship Id="rId116" Type="http://schemas.openxmlformats.org/officeDocument/2006/relationships/hyperlink" Target="http://www.sec.gov/Archives/edgar/data/1822479/000119312521081365/d22785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2021-03-18T15:43:54Z</dcterms:created>
  <dcterms:modified xsi:type="dcterms:W3CDTF">2021-03-18T15:43:54Z</dcterms:modified>
</cp:coreProperties>
</file>