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Ruoxi</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320"/>
        <w:spacing w:after="0" w:line="395" w:lineRule="auto"/>
        <w:rPr>
          <w:sz w:val="20"/>
          <w:szCs w:val="20"/>
          <w:color w:val="auto"/>
        </w:rPr>
      </w:pPr>
      <w:r>
        <w:rPr>
          <w:rFonts w:ascii="Arial" w:cs="Arial" w:eastAsia="Arial" w:hAnsi="Arial"/>
          <w:sz w:val="16"/>
          <w:szCs w:val="16"/>
          <w:color w:val="0000FF"/>
        </w:rPr>
        <w:t>C/O WARBURG PINCUS &amp; CO 450 LEXINGTON AVENUE</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540" w:type="dxa"/>
            <w:vAlign w:val="bottom"/>
            <w:gridSpan w:val="3"/>
          </w:tcPr>
          <w:p>
            <w:pPr>
              <w:ind w:left="80"/>
              <w:spacing w:after="0"/>
              <w:rPr>
                <w:sz w:val="20"/>
                <w:szCs w:val="20"/>
                <w:color w:val="auto"/>
              </w:rPr>
            </w:pPr>
            <w:r>
              <w:rPr>
                <w:rFonts w:ascii="Arial" w:cs="Arial" w:eastAsia="Arial" w:hAnsi="Arial"/>
                <w:sz w:val="17"/>
                <w:szCs w:val="17"/>
                <w:color w:val="0000FF"/>
              </w:rPr>
              <w:t>05/28/2021</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22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15,205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RSUs and 5,869 shares of Common Stock.</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Chen is filed as an exhibit to the Form 3 filed with the Securities and Exchange Commission on November 20, 2020, which is hereby incorporated by reference.</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Jessica L. M. 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7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Ruoxi</w:t>
      </w:r>
      <w:r>
        <w:rPr>
          <w:sz w:val="20"/>
          <w:szCs w:val="20"/>
          <w:color w:val="auto"/>
        </w:rPr>
        <w:tab/>
      </w:r>
      <w:r>
        <w:rPr>
          <w:rFonts w:ascii="Arial" w:cs="Arial" w:eastAsia="Arial" w:hAnsi="Arial"/>
          <w:sz w:val="15"/>
          <w:szCs w:val="15"/>
          <w:color w:val="0000FF"/>
        </w:rPr>
        <w:t>06/01/2021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2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983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2021-06-01T17:49:57Z</dcterms:created>
  <dcterms:modified xsi:type="dcterms:W3CDTF">2021-06-01T17:49:57Z</dcterms:modified>
</cp:coreProperties>
</file>