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96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WARBURG PINCUS &amp; CO.</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11/20/2020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Sotera Health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SHC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960"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450 LEXINGTON AVENUE</w:t>
            </w:r>
          </w:p>
        </w:tc>
      </w:tr>
      <w:tr>
        <w:trPr>
          <w:trHeight w:val="300"/>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NEW YORK</w:t>
            </w:r>
          </w:p>
        </w:tc>
        <w:tc>
          <w:tcPr>
            <w:tcW w:w="134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NY</w:t>
            </w:r>
          </w:p>
        </w:tc>
        <w:tc>
          <w:tcPr>
            <w:tcW w:w="98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100173147</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172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5" w:lineRule="auto"/>
        <w:rPr>
          <w:sz w:val="20"/>
          <w:szCs w:val="20"/>
          <w:color w:val="auto"/>
        </w:rPr>
      </w:pPr>
      <w:r>
        <w:rPr>
          <w:rFonts w:ascii="Arial" w:cs="Arial" w:eastAsia="Arial" w:hAnsi="Arial"/>
          <w:sz w:val="15"/>
          <w:szCs w:val="15"/>
          <w:color w:val="auto"/>
        </w:rPr>
        <w:t>Form filed by One Reporting Person</w:t>
      </w:r>
    </w:p>
    <w:p>
      <w:pPr>
        <w:spacing w:after="0" w:line="24" w:lineRule="exact"/>
        <w:rPr>
          <w:sz w:val="24"/>
          <w:szCs w:val="24"/>
          <w:color w:val="auto"/>
        </w:rPr>
      </w:pPr>
    </w:p>
    <w:p>
      <w:pPr>
        <w:ind w:left="451" w:right="32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200" w:lineRule="exact"/>
        <w:rPr>
          <w:sz w:val="24"/>
          <w:szCs w:val="24"/>
          <w:color w:val="auto"/>
        </w:rPr>
      </w:pPr>
    </w:p>
    <w:p>
      <w:pPr>
        <w:sectPr>
          <w:pgSz w:w="11900" w:h="16960" w:orient="portrait"/>
          <w:cols w:equalWidth="0" w:num="3">
            <w:col w:w="4277" w:space="720"/>
            <w:col w:w="3003" w:space="269"/>
            <w:col w:w="2671"/>
          </w:cols>
          <w:pgMar w:left="480" w:top="230" w:right="479" w:bottom="0" w:gutter="0" w:footer="0" w:header="0"/>
          <w:type w:val="continuous"/>
        </w:sectPr>
      </w:pPr>
    </w:p>
    <w:p>
      <w:pPr>
        <w:spacing w:after="0" w:line="4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172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1722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20" w:type="dxa"/>
            <w:vAlign w:val="bottom"/>
          </w:tcPr>
          <w:p>
            <w:pPr>
              <w:spacing w:after="0"/>
              <w:rPr>
                <w:sz w:val="24"/>
                <w:szCs w:val="24"/>
                <w:color w:val="auto"/>
              </w:rPr>
            </w:pPr>
          </w:p>
        </w:tc>
        <w:tc>
          <w:tcPr>
            <w:tcW w:w="500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0000FF"/>
              </w:rPr>
              <w:t>Common Stock, $0.01 par value per share ("Common</w:t>
            </w:r>
          </w:p>
        </w:tc>
        <w:tc>
          <w:tcPr>
            <w:tcW w:w="158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0000FF"/>
              </w:rPr>
              <w:t>118,929,897</w:t>
            </w:r>
          </w:p>
        </w:tc>
        <w:tc>
          <w:tcPr>
            <w:tcW w:w="960" w:type="dxa"/>
            <w:vAlign w:val="bottom"/>
            <w:gridSpan w:val="2"/>
            <w:vMerge w:val="restart"/>
          </w:tcPr>
          <w:p>
            <w:pPr>
              <w:ind w:left="860"/>
              <w:spacing w:after="0"/>
              <w:rPr>
                <w:sz w:val="20"/>
                <w:szCs w:val="20"/>
                <w:color w:val="auto"/>
              </w:rPr>
            </w:pPr>
            <w:r>
              <w:rPr>
                <w:rFonts w:ascii="Times New Roman" w:cs="Times New Roman" w:eastAsia="Times New Roman" w:hAnsi="Times New Roman"/>
                <w:sz w:val="20"/>
                <w:szCs w:val="20"/>
                <w:color w:val="0000FF"/>
              </w:rPr>
              <w:t>I</w:t>
            </w:r>
          </w:p>
        </w:tc>
        <w:tc>
          <w:tcPr>
            <w:tcW w:w="3380" w:type="dxa"/>
            <w:vAlign w:val="bottom"/>
            <w:gridSpan w:val="4"/>
            <w:vMerge w:val="restart"/>
          </w:tcPr>
          <w:p>
            <w:pPr>
              <w:ind w:left="600"/>
              <w:spacing w:after="0"/>
              <w:rPr>
                <w:sz w:val="20"/>
                <w:szCs w:val="20"/>
                <w:color w:val="auto"/>
              </w:rPr>
            </w:pPr>
            <w:r>
              <w:rPr>
                <w:rFonts w:ascii="Times New Roman" w:cs="Times New Roman" w:eastAsia="Times New Roman" w:hAnsi="Times New Roman"/>
                <w:sz w:val="39"/>
                <w:szCs w:val="39"/>
                <w:color w:val="0000FF"/>
                <w:vertAlign w:val="subscript"/>
              </w:rPr>
              <w:t>See Footnote</w:t>
            </w:r>
            <w:r>
              <w:rPr>
                <w:rFonts w:ascii="Times New Roman" w:cs="Times New Roman" w:eastAsia="Times New Roman" w:hAnsi="Times New Roman"/>
                <w:sz w:val="13"/>
                <w:szCs w:val="13"/>
                <w:color w:val="008000"/>
              </w:rPr>
              <w:t>(1)(2)(3)(4)(5)(6)(7)(8)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Stock")</w:t>
            </w:r>
          </w:p>
        </w:tc>
        <w:tc>
          <w:tcPr>
            <w:tcW w:w="1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33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gridSpan w:val="2"/>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160" w:type="dxa"/>
            <w:vAlign w:val="bottom"/>
            <w:tcBorders>
              <w:bottom w:val="single" w:sz="8" w:color="2C2C2C"/>
            </w:tcBorders>
            <w:gridSpan w:val="3"/>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16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36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1"/>
                <w:szCs w:val="21"/>
                <w:color w:val="auto"/>
              </w:rPr>
            </w:pPr>
          </w:p>
        </w:tc>
        <w:tc>
          <w:tcPr>
            <w:tcW w:w="14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572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gridSpan w:val="3"/>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60" w:type="dxa"/>
            <w:vAlign w:val="bottom"/>
            <w:gridSpan w:val="2"/>
            <w:vMerge w:val="restart"/>
          </w:tcPr>
          <w:p>
            <w:pPr>
              <w:ind w:left="2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4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gridSpan w:val="3"/>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80" w:type="dxa"/>
            <w:vAlign w:val="bottom"/>
          </w:tcPr>
          <w:p>
            <w:pPr>
              <w:spacing w:after="0"/>
              <w:rPr>
                <w:sz w:val="13"/>
                <w:szCs w:val="13"/>
                <w:color w:val="auto"/>
              </w:rPr>
            </w:pPr>
          </w:p>
        </w:tc>
        <w:tc>
          <w:tcPr>
            <w:tcW w:w="960" w:type="dxa"/>
            <w:vAlign w:val="bottom"/>
            <w:gridSpan w:val="2"/>
          </w:tcPr>
          <w:p>
            <w:pPr>
              <w:ind w:left="280"/>
              <w:spacing w:after="0" w:line="159"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5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580" w:type="dxa"/>
            <w:vAlign w:val="bottom"/>
            <w:vMerge w:val="continue"/>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3"/>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5"/>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WARBURG PINCUS &amp; CO.</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gridSpan w:val="2"/>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5"/>
                <w:szCs w:val="15"/>
                <w:color w:val="auto"/>
              </w:rPr>
              <w:t>(Last)</w:t>
            </w:r>
          </w:p>
        </w:tc>
        <w:tc>
          <w:tcPr>
            <w:tcW w:w="1680" w:type="dxa"/>
            <w:vAlign w:val="bottom"/>
          </w:tcPr>
          <w:p>
            <w:pPr>
              <w:ind w:left="42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-2164715</wp:posOffset>
            </wp:positionV>
            <wp:extent cx="6946900" cy="565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5650865"/>
                    </a:xfrm>
                    <a:prstGeom prst="rect">
                      <a:avLst/>
                    </a:prstGeom>
                    <a:noFill/>
                  </pic:spPr>
                </pic:pic>
              </a:graphicData>
            </a:graphic>
          </wp:anchor>
        </w:drawing>
      </w:r>
    </w:p>
    <w:p>
      <w:pPr>
        <w:spacing w:after="0" w:line="3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450 LEXINGTON AVENUE</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NEW YORK</w:t>
      </w:r>
    </w:p>
    <w:p>
      <w:pPr>
        <w:spacing w:after="0" w:line="322"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41" w:lineRule="exact"/>
        <w:rPr>
          <w:sz w:val="24"/>
          <w:szCs w:val="24"/>
          <w:color w:val="auto"/>
        </w:rPr>
      </w:pPr>
    </w:p>
    <w:p>
      <w:pPr>
        <w:ind w:left="140"/>
        <w:spacing w:after="0"/>
        <w:tabs>
          <w:tab w:leader="none" w:pos="1500" w:val="left"/>
          <w:tab w:leader="none" w:pos="2880" w:val="left"/>
        </w:tabs>
        <w:rPr>
          <w:sz w:val="20"/>
          <w:szCs w:val="20"/>
          <w:color w:val="auto"/>
        </w:rPr>
      </w:pPr>
      <w:r>
        <w:rPr>
          <w:rFonts w:ascii="Times New Roman" w:cs="Times New Roman" w:eastAsia="Times New Roman" w:hAnsi="Times New Roman"/>
          <w:sz w:val="20"/>
          <w:szCs w:val="20"/>
          <w:color w:val="0000FF"/>
        </w:rPr>
        <w:t>NY</w:t>
      </w:r>
      <w:r>
        <w:rPr>
          <w:sz w:val="20"/>
          <w:szCs w:val="20"/>
          <w:color w:val="auto"/>
        </w:rPr>
        <w:tab/>
      </w:r>
      <w:r>
        <w:rPr>
          <w:rFonts w:ascii="Times New Roman" w:cs="Times New Roman" w:eastAsia="Times New Roman" w:hAnsi="Times New Roman"/>
          <w:sz w:val="20"/>
          <w:szCs w:val="20"/>
          <w:color w:val="0000FF"/>
        </w:rPr>
        <w:t>NY</w:t>
      </w:r>
      <w:r>
        <w:rPr>
          <w:sz w:val="20"/>
          <w:szCs w:val="20"/>
          <w:color w:val="auto"/>
        </w:rPr>
        <w:tab/>
      </w:r>
      <w:r>
        <w:rPr>
          <w:rFonts w:ascii="Times New Roman" w:cs="Times New Roman" w:eastAsia="Times New Roman" w:hAnsi="Times New Roman"/>
          <w:sz w:val="18"/>
          <w:szCs w:val="18"/>
          <w:color w:val="0000FF"/>
        </w:rPr>
        <w:t>100173147</w:t>
      </w:r>
    </w:p>
    <w:p>
      <w:pPr>
        <w:spacing w:after="0" w:line="367" w:lineRule="exact"/>
        <w:rPr>
          <w:sz w:val="24"/>
          <w:szCs w:val="24"/>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83185</wp:posOffset>
            </wp:positionV>
            <wp:extent cx="2753995" cy="2010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53995" cy="2010410"/>
                    </a:xfrm>
                    <a:prstGeom prst="rect">
                      <a:avLst/>
                    </a:prstGeom>
                    <a:noFill/>
                  </pic:spPr>
                </pic:pic>
              </a:graphicData>
            </a:graphic>
          </wp:anchor>
        </w:drawing>
      </w:r>
    </w:p>
    <w:p>
      <w:pPr>
        <w:spacing w:after="0" w:line="150" w:lineRule="exact"/>
        <w:rPr>
          <w:sz w:val="24"/>
          <w:szCs w:val="24"/>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Warburg Pincus (Cayman) XI, L.P.</w:t>
        </w:r>
      </w:hyperlink>
    </w:p>
    <w:p>
      <w:pPr>
        <w:spacing w:after="0" w:line="339"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180"/>
              <w:spacing w:after="0"/>
              <w:rPr>
                <w:sz w:val="20"/>
                <w:szCs w:val="20"/>
                <w:color w:val="auto"/>
              </w:rPr>
            </w:pPr>
            <w:r>
              <w:rPr>
                <w:rFonts w:ascii="Arial" w:cs="Arial" w:eastAsia="Arial" w:hAnsi="Arial"/>
                <w:sz w:val="15"/>
                <w:szCs w:val="15"/>
                <w:color w:val="auto"/>
              </w:rPr>
              <w:t>(First)</w:t>
            </w:r>
          </w:p>
        </w:tc>
        <w:tc>
          <w:tcPr>
            <w:tcW w:w="1460" w:type="dxa"/>
            <w:vAlign w:val="bottom"/>
          </w:tcPr>
          <w:p>
            <w:pPr>
              <w:ind w:left="12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C/O WARBURG PINCUS LLC</w:t>
            </w:r>
          </w:p>
        </w:tc>
        <w:tc>
          <w:tcPr>
            <w:tcW w:w="146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450 LEXINGTON AVENUE</w:t>
            </w:r>
          </w:p>
        </w:tc>
        <w:tc>
          <w:tcPr>
            <w:tcW w:w="146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r>
      <w:tr>
        <w:trPr>
          <w:trHeight w:val="303"/>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44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46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10017</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180"/>
              <w:spacing w:after="0"/>
              <w:rPr>
                <w:sz w:val="20"/>
                <w:szCs w:val="20"/>
                <w:color w:val="auto"/>
              </w:rPr>
            </w:pPr>
            <w:r>
              <w:rPr>
                <w:rFonts w:ascii="Arial" w:cs="Arial" w:eastAsia="Arial" w:hAnsi="Arial"/>
                <w:sz w:val="15"/>
                <w:szCs w:val="15"/>
                <w:color w:val="auto"/>
              </w:rPr>
              <w:t>(State)</w:t>
            </w:r>
          </w:p>
        </w:tc>
        <w:tc>
          <w:tcPr>
            <w:tcW w:w="1460" w:type="dxa"/>
            <w:vAlign w:val="bottom"/>
          </w:tcPr>
          <w:p>
            <w:pPr>
              <w:ind w:left="1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64770</wp:posOffset>
            </wp:positionV>
            <wp:extent cx="275399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53995" cy="9525"/>
                    </a:xfrm>
                    <a:prstGeom prst="rect">
                      <a:avLst/>
                    </a:prstGeom>
                    <a:noFill/>
                  </pic:spPr>
                </pic:pic>
              </a:graphicData>
            </a:graphic>
          </wp:anchor>
        </w:drawing>
      </w:r>
    </w:p>
    <w:p>
      <w:pPr>
        <w:spacing w:after="0" w:line="82" w:lineRule="exact"/>
        <w:rPr>
          <w:sz w:val="24"/>
          <w:szCs w:val="24"/>
          <w:color w:val="auto"/>
        </w:rPr>
      </w:pPr>
    </w:p>
    <w:p>
      <w:pPr>
        <w:ind w:left="20"/>
        <w:spacing w:after="0"/>
        <w:rPr>
          <w:sz w:val="20"/>
          <w:szCs w:val="20"/>
          <w:color w:val="auto"/>
        </w:rPr>
      </w:pPr>
      <w:r>
        <w:rPr>
          <w:sz w:val="1"/>
          <w:szCs w:val="1"/>
          <w:color w:val="auto"/>
        </w:rPr>
        <w:drawing>
          <wp:inline distT="0" distB="0" distL="0" distR="0">
            <wp:extent cx="9525" cy="190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9525" cy="190500"/>
                    </a:xfrm>
                    <a:prstGeom prst="rect">
                      <a:avLst/>
                    </a:prstGeom>
                    <a:noFill/>
                    <a:ln>
                      <a:noFill/>
                    </a:ln>
                  </pic:spPr>
                </pic:pic>
              </a:graphicData>
            </a:graphic>
          </wp:inline>
        </w:drawing>
      </w:r>
      <w:r>
        <w:rPr>
          <w:rFonts w:ascii="Arial" w:cs="Arial" w:eastAsia="Arial" w:hAnsi="Arial"/>
          <w:sz w:val="15"/>
          <w:szCs w:val="15"/>
          <w:color w:val="auto"/>
        </w:rPr>
        <w:t xml:space="preserve"> 1. Name and Address of Reporting Person</w:t>
      </w:r>
      <w:r>
        <w:rPr>
          <w:rFonts w:ascii="Arial" w:cs="Arial" w:eastAsia="Arial" w:hAnsi="Arial"/>
          <w:sz w:val="25"/>
          <w:szCs w:val="25"/>
          <w:color w:val="auto"/>
          <w:vertAlign w:val="superscript"/>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2753995</wp:posOffset>
            </wp:positionH>
            <wp:positionV relativeFrom="paragraph">
              <wp:posOffset>-213995</wp:posOffset>
            </wp:positionV>
            <wp:extent cx="9525" cy="1809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25" cy="180975"/>
                    </a:xfrm>
                    <a:prstGeom prst="rect">
                      <a:avLst/>
                    </a:prstGeom>
                    <a:noFill/>
                  </pic:spPr>
                </pic:pic>
              </a:graphicData>
            </a:graphic>
          </wp:anchor>
        </w:drawing>
      </w:r>
    </w:p>
    <w:p>
      <w:pPr>
        <w:sectPr>
          <w:pgSz w:w="11900" w:h="16960" w:orient="portrait"/>
          <w:cols w:equalWidth="0" w:num="1">
            <w:col w:w="10940"/>
          </w:cols>
          <w:pgMar w:left="480" w:top="230" w:right="479" w:bottom="0" w:gutter="0" w:footer="0" w:header="0"/>
          <w:type w:val="continuous"/>
        </w:sectPr>
      </w:pPr>
    </w:p>
    <w:bookmarkStart w:id="1" w:name="page2"/>
    <w:bookmarkEnd w:id="1"/>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2773045" cy="8052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773045" cy="8052435"/>
                    </a:xfrm>
                    <a:prstGeom prst="rect">
                      <a:avLst/>
                    </a:prstGeom>
                    <a:noFill/>
                  </pic:spPr>
                </pic:pic>
              </a:graphicData>
            </a:graphic>
          </wp:anchor>
        </w:drawing>
      </w:r>
    </w:p>
    <w:p>
      <w:pPr>
        <w:ind w:left="120"/>
        <w:spacing w:after="0"/>
        <w:rPr>
          <w:rFonts w:ascii="Times New Roman" w:cs="Times New Roman" w:eastAsia="Times New Roman" w:hAnsi="Times New Roman"/>
          <w:sz w:val="24"/>
          <w:szCs w:val="24"/>
          <w:u w:val="single" w:color="auto"/>
          <w:color w:val="0000EE"/>
        </w:rPr>
      </w:pPr>
      <w:hyperlink r:id="rId20">
        <w:r>
          <w:rPr>
            <w:rFonts w:ascii="Times New Roman" w:cs="Times New Roman" w:eastAsia="Times New Roman" w:hAnsi="Times New Roman"/>
            <w:sz w:val="24"/>
            <w:szCs w:val="24"/>
            <w:u w:val="single" w:color="auto"/>
            <w:color w:val="0000EE"/>
          </w:rPr>
          <w:t>Warburg Pincus XI-C, LLC</w:t>
        </w:r>
      </w:hyperlink>
    </w:p>
    <w:p>
      <w:pPr>
        <w:spacing w:after="0" w:line="365" w:lineRule="exact"/>
        <w:rPr>
          <w:sz w:val="20"/>
          <w:szCs w:val="20"/>
          <w:color w:val="auto"/>
        </w:rPr>
      </w:pPr>
    </w:p>
    <w:tbl>
      <w:tblPr>
        <w:tblLayout w:type="fixed"/>
        <w:tblInd w:w="8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180"/>
              <w:spacing w:after="0"/>
              <w:rPr>
                <w:sz w:val="20"/>
                <w:szCs w:val="20"/>
                <w:color w:val="auto"/>
              </w:rPr>
            </w:pPr>
            <w:r>
              <w:rPr>
                <w:rFonts w:ascii="Arial" w:cs="Arial" w:eastAsia="Arial" w:hAnsi="Arial"/>
                <w:sz w:val="15"/>
                <w:szCs w:val="15"/>
                <w:color w:val="auto"/>
              </w:rPr>
              <w:t>(First)</w:t>
            </w:r>
          </w:p>
        </w:tc>
        <w:tc>
          <w:tcPr>
            <w:tcW w:w="1460" w:type="dxa"/>
            <w:vAlign w:val="bottom"/>
          </w:tcPr>
          <w:p>
            <w:pPr>
              <w:ind w:left="12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C/O WARBURG PINCUS LLC</w:t>
            </w:r>
          </w:p>
        </w:tc>
        <w:tc>
          <w:tcPr>
            <w:tcW w:w="146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450 LEXINGTON AVENUE</w:t>
            </w:r>
          </w:p>
        </w:tc>
        <w:tc>
          <w:tcPr>
            <w:tcW w:w="146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r>
      <w:tr>
        <w:trPr>
          <w:trHeight w:val="303"/>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44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46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10017</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180"/>
              <w:spacing w:after="0"/>
              <w:rPr>
                <w:sz w:val="20"/>
                <w:szCs w:val="20"/>
                <w:color w:val="auto"/>
              </w:rPr>
            </w:pPr>
            <w:r>
              <w:rPr>
                <w:rFonts w:ascii="Arial" w:cs="Arial" w:eastAsia="Arial" w:hAnsi="Arial"/>
                <w:sz w:val="15"/>
                <w:szCs w:val="15"/>
                <w:color w:val="auto"/>
              </w:rPr>
              <w:t>(State)</w:t>
            </w:r>
          </w:p>
        </w:tc>
        <w:tc>
          <w:tcPr>
            <w:tcW w:w="1460" w:type="dxa"/>
            <w:vAlign w:val="bottom"/>
          </w:tcPr>
          <w:p>
            <w:pPr>
              <w:ind w:left="12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Times New Roman" w:cs="Times New Roman" w:eastAsia="Times New Roman" w:hAnsi="Times New Roman"/>
          <w:sz w:val="24"/>
          <w:szCs w:val="24"/>
          <w:u w:val="single" w:color="auto"/>
          <w:color w:val="0000EE"/>
        </w:rPr>
      </w:pPr>
      <w:hyperlink r:id="rId21">
        <w:r>
          <w:rPr>
            <w:rFonts w:ascii="Times New Roman" w:cs="Times New Roman" w:eastAsia="Times New Roman" w:hAnsi="Times New Roman"/>
            <w:sz w:val="24"/>
            <w:szCs w:val="24"/>
            <w:u w:val="single" w:color="auto"/>
            <w:color w:val="0000EE"/>
          </w:rPr>
          <w:t>Warburg Pincus Partners II (Cayman),</w:t>
        </w:r>
      </w:hyperlink>
    </w:p>
    <w:p>
      <w:pPr>
        <w:spacing w:after="0" w:line="1" w:lineRule="exact"/>
        <w:rPr>
          <w:sz w:val="20"/>
          <w:szCs w:val="20"/>
          <w:color w:val="auto"/>
        </w:rPr>
      </w:pPr>
    </w:p>
    <w:p>
      <w:pPr>
        <w:ind w:left="120"/>
        <w:spacing w:after="0"/>
        <w:rPr>
          <w:rFonts w:ascii="Times New Roman" w:cs="Times New Roman" w:eastAsia="Times New Roman" w:hAnsi="Times New Roman"/>
          <w:sz w:val="24"/>
          <w:szCs w:val="24"/>
          <w:u w:val="single" w:color="auto"/>
          <w:color w:val="0000EE"/>
        </w:rPr>
      </w:pPr>
      <w:hyperlink r:id="rId21">
        <w:r>
          <w:rPr>
            <w:rFonts w:ascii="Times New Roman" w:cs="Times New Roman" w:eastAsia="Times New Roman" w:hAnsi="Times New Roman"/>
            <w:sz w:val="24"/>
            <w:szCs w:val="24"/>
            <w:u w:val="single" w:color="auto"/>
            <w:color w:val="0000EE"/>
          </w:rPr>
          <w:t>L.P.</w:t>
        </w:r>
      </w:hyperlink>
    </w:p>
    <w:p>
      <w:pPr>
        <w:spacing w:after="0" w:line="339" w:lineRule="exact"/>
        <w:rPr>
          <w:sz w:val="20"/>
          <w:szCs w:val="20"/>
          <w:color w:val="auto"/>
        </w:rPr>
      </w:pPr>
    </w:p>
    <w:tbl>
      <w:tblPr>
        <w:tblLayout w:type="fixed"/>
        <w:tblInd w:w="8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440" w:type="dxa"/>
            <w:vAlign w:val="bottom"/>
          </w:tcPr>
          <w:p>
            <w:pPr>
              <w:ind w:left="180"/>
              <w:spacing w:after="0"/>
              <w:rPr>
                <w:sz w:val="20"/>
                <w:szCs w:val="20"/>
                <w:color w:val="auto"/>
              </w:rPr>
            </w:pPr>
            <w:r>
              <w:rPr>
                <w:rFonts w:ascii="Arial" w:cs="Arial" w:eastAsia="Arial" w:hAnsi="Arial"/>
                <w:sz w:val="15"/>
                <w:szCs w:val="15"/>
                <w:color w:val="auto"/>
              </w:rPr>
              <w:t>(First)</w:t>
            </w:r>
          </w:p>
        </w:tc>
        <w:tc>
          <w:tcPr>
            <w:tcW w:w="1460" w:type="dxa"/>
            <w:vAlign w:val="bottom"/>
          </w:tcPr>
          <w:p>
            <w:pPr>
              <w:ind w:left="12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450 LEXINGTON AVENUE</w:t>
            </w:r>
          </w:p>
        </w:tc>
        <w:tc>
          <w:tcPr>
            <w:tcW w:w="146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C/O WARBURG PINCUS LLC</w:t>
            </w:r>
          </w:p>
        </w:tc>
        <w:tc>
          <w:tcPr>
            <w:tcW w:w="146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r>
      <w:tr>
        <w:trPr>
          <w:trHeight w:val="303"/>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44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46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10017</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440" w:type="dxa"/>
            <w:vAlign w:val="bottom"/>
          </w:tcPr>
          <w:p>
            <w:pPr>
              <w:ind w:left="180"/>
              <w:spacing w:after="0"/>
              <w:rPr>
                <w:sz w:val="20"/>
                <w:szCs w:val="20"/>
                <w:color w:val="auto"/>
              </w:rPr>
            </w:pPr>
            <w:r>
              <w:rPr>
                <w:rFonts w:ascii="Arial" w:cs="Arial" w:eastAsia="Arial" w:hAnsi="Arial"/>
                <w:sz w:val="15"/>
                <w:szCs w:val="15"/>
                <w:color w:val="auto"/>
              </w:rPr>
              <w:t>(State)</w:t>
            </w:r>
          </w:p>
        </w:tc>
        <w:tc>
          <w:tcPr>
            <w:tcW w:w="1460" w:type="dxa"/>
            <w:vAlign w:val="bottom"/>
          </w:tcPr>
          <w:p>
            <w:pPr>
              <w:ind w:left="12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Times New Roman" w:cs="Times New Roman" w:eastAsia="Times New Roman" w:hAnsi="Times New Roman"/>
          <w:sz w:val="24"/>
          <w:szCs w:val="24"/>
          <w:u w:val="single" w:color="auto"/>
          <w:color w:val="0000EE"/>
        </w:rPr>
      </w:pPr>
      <w:hyperlink r:id="rId22">
        <w:r>
          <w:rPr>
            <w:rFonts w:ascii="Times New Roman" w:cs="Times New Roman" w:eastAsia="Times New Roman" w:hAnsi="Times New Roman"/>
            <w:sz w:val="24"/>
            <w:szCs w:val="24"/>
            <w:u w:val="single" w:color="auto"/>
            <w:color w:val="0000EE"/>
          </w:rPr>
          <w:t>Warburg Pincus (Bermuda) Private Equity</w:t>
        </w:r>
      </w:hyperlink>
    </w:p>
    <w:p>
      <w:pPr>
        <w:spacing w:after="0" w:line="1" w:lineRule="exact"/>
        <w:rPr>
          <w:sz w:val="20"/>
          <w:szCs w:val="20"/>
          <w:color w:val="auto"/>
        </w:rPr>
      </w:pPr>
    </w:p>
    <w:p>
      <w:pPr>
        <w:ind w:left="120"/>
        <w:spacing w:after="0"/>
        <w:rPr>
          <w:rFonts w:ascii="Times New Roman" w:cs="Times New Roman" w:eastAsia="Times New Roman" w:hAnsi="Times New Roman"/>
          <w:sz w:val="24"/>
          <w:szCs w:val="24"/>
          <w:u w:val="single" w:color="auto"/>
          <w:color w:val="0000EE"/>
        </w:rPr>
      </w:pPr>
      <w:hyperlink r:id="rId22">
        <w:r>
          <w:rPr>
            <w:rFonts w:ascii="Times New Roman" w:cs="Times New Roman" w:eastAsia="Times New Roman" w:hAnsi="Times New Roman"/>
            <w:sz w:val="24"/>
            <w:szCs w:val="24"/>
            <w:u w:val="single" w:color="auto"/>
            <w:color w:val="0000EE"/>
          </w:rPr>
          <w:t>GP Ltd.</w:t>
        </w:r>
      </w:hyperlink>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480" w:type="dxa"/>
            <w:vAlign w:val="bottom"/>
          </w:tcPr>
          <w:p>
            <w:pPr>
              <w:ind w:left="180"/>
              <w:spacing w:after="0"/>
              <w:rPr>
                <w:sz w:val="20"/>
                <w:szCs w:val="20"/>
                <w:color w:val="auto"/>
              </w:rPr>
            </w:pPr>
            <w:r>
              <w:rPr>
                <w:rFonts w:ascii="Arial" w:cs="Arial" w:eastAsia="Arial" w:hAnsi="Arial"/>
                <w:sz w:val="15"/>
                <w:szCs w:val="15"/>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C/O WARBURG PINCUS LLC</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450 LEXINGTON AVENUE</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48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10017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480" w:type="dxa"/>
            <w:vAlign w:val="bottom"/>
          </w:tcPr>
          <w:p>
            <w:pPr>
              <w:ind w:left="180"/>
              <w:spacing w:after="0"/>
              <w:rPr>
                <w:sz w:val="20"/>
                <w:szCs w:val="20"/>
                <w:color w:val="auto"/>
              </w:rPr>
            </w:pPr>
            <w:r>
              <w:rPr>
                <w:rFonts w:ascii="Arial" w:cs="Arial" w:eastAsia="Arial" w:hAnsi="Arial"/>
                <w:sz w:val="15"/>
                <w:szCs w:val="15"/>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12"/>
        </w:trPr>
        <w:tc>
          <w:tcPr>
            <w:tcW w:w="100" w:type="dxa"/>
            <w:vAlign w:val="bottom"/>
          </w:tcPr>
          <w:p>
            <w:pPr>
              <w:spacing w:after="0"/>
              <w:rPr>
                <w:sz w:val="24"/>
                <w:szCs w:val="24"/>
                <w:color w:val="auto"/>
              </w:rPr>
            </w:pPr>
          </w:p>
        </w:tc>
        <w:tc>
          <w:tcPr>
            <w:tcW w:w="270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23">
              <w:r>
                <w:rPr>
                  <w:rFonts w:ascii="Times New Roman" w:cs="Times New Roman" w:eastAsia="Times New Roman" w:hAnsi="Times New Roman"/>
                  <w:sz w:val="24"/>
                  <w:szCs w:val="24"/>
                  <w:u w:val="single" w:color="auto"/>
                  <w:color w:val="0000EE"/>
                </w:rPr>
                <w:t>WARBURG PINCUS LLC</w:t>
              </w:r>
            </w:hyperlink>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8"/>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480" w:type="dxa"/>
            <w:vAlign w:val="bottom"/>
          </w:tcPr>
          <w:p>
            <w:pPr>
              <w:ind w:left="180"/>
              <w:spacing w:after="0"/>
              <w:rPr>
                <w:sz w:val="20"/>
                <w:szCs w:val="20"/>
                <w:color w:val="auto"/>
              </w:rPr>
            </w:pPr>
            <w:r>
              <w:rPr>
                <w:rFonts w:ascii="Arial" w:cs="Arial" w:eastAsia="Arial" w:hAnsi="Arial"/>
                <w:sz w:val="15"/>
                <w:szCs w:val="15"/>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450 LEXINGTON AVENUE</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480" w:type="dxa"/>
            <w:vAlign w:val="bottom"/>
            <w:tcBorders>
              <w:bottom w:val="single" w:sz="8" w:color="9A9A9A"/>
            </w:tcBorders>
          </w:tcPr>
          <w:p>
            <w:pPr>
              <w:spacing w:after="0"/>
              <w:rPr>
                <w:sz w:val="20"/>
                <w:szCs w:val="20"/>
                <w:color w:val="auto"/>
              </w:rPr>
            </w:pPr>
          </w:p>
        </w:tc>
        <w:tc>
          <w:tcPr>
            <w:tcW w:w="14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48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10017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480" w:type="dxa"/>
            <w:vAlign w:val="bottom"/>
          </w:tcPr>
          <w:p>
            <w:pPr>
              <w:ind w:left="180"/>
              <w:spacing w:after="0"/>
              <w:rPr>
                <w:sz w:val="20"/>
                <w:szCs w:val="20"/>
                <w:color w:val="auto"/>
              </w:rPr>
            </w:pPr>
            <w:r>
              <w:rPr>
                <w:rFonts w:ascii="Arial" w:cs="Arial" w:eastAsia="Arial" w:hAnsi="Arial"/>
                <w:sz w:val="15"/>
                <w:szCs w:val="15"/>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0"/>
          <w:szCs w:val="20"/>
          <w:color w:val="auto"/>
        </w:rPr>
      </w:pPr>
    </w:p>
    <w:p>
      <w:pPr>
        <w:ind w:left="20" w:right="20" w:firstLine="5"/>
        <w:spacing w:after="0" w:line="25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Form 3 is being filed in connection with the effectiveness of the Registration Statement on Form 8-A relating to the registration under Section 12 of the Securities Exchange Act of 1934, as amended (the "Exchange Act") of Sotera Health Company (the "Issuer").</w:t>
      </w:r>
    </w:p>
    <w:p>
      <w:pPr>
        <w:spacing w:after="0" w:line="17"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118,929,897 shares of Common Stock received as a liquidating distribution from Sotera Health Topco Parent, L.P. ("Topco Parent").</w:t>
      </w:r>
    </w:p>
    <w:p>
      <w:pPr>
        <w:spacing w:after="0" w:line="52" w:lineRule="exact"/>
        <w:rPr>
          <w:rFonts w:ascii="Times New Roman" w:cs="Times New Roman" w:eastAsia="Times New Roman" w:hAnsi="Times New Roman"/>
          <w:sz w:val="15"/>
          <w:szCs w:val="15"/>
          <w:color w:val="008000"/>
        </w:rPr>
      </w:pPr>
    </w:p>
    <w:p>
      <w:pPr>
        <w:ind w:left="20" w:right="40" w:firstLine="5"/>
        <w:spacing w:after="0" w:line="25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Warburg Pincus Private Equity XI, L.P., Warburg Pincus XI Partners, L.P., WP XI Partners, L.P., Warburg Pincus Private Equity XI-B, L.P. (collectively, the "WP XI Funds") are the holders of 94,872,693 shares of Common Stock of the Issuer.</w:t>
      </w:r>
    </w:p>
    <w:p>
      <w:pPr>
        <w:spacing w:after="0" w:line="17"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Qarburg Pincus Private Equity XI-C, L.P. ("WP XI-C") is the holder of 304,567 shares of Common Stock of the Issuer.</w:t>
      </w:r>
    </w:p>
    <w:p>
      <w:pPr>
        <w:spacing w:after="0" w:line="52"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Bull Co-Invest L.P., a Delaware limited partnership ("Bull Co-Invest") is the holder of 23,752,637 shares of Common Stock of the Issuer.</w:t>
      </w:r>
    </w:p>
    <w:p>
      <w:pPr>
        <w:spacing w:after="0" w:line="52" w:lineRule="exact"/>
        <w:rPr>
          <w:rFonts w:ascii="Times New Roman" w:cs="Times New Roman" w:eastAsia="Times New Roman" w:hAnsi="Times New Roman"/>
          <w:sz w:val="15"/>
          <w:szCs w:val="15"/>
          <w:color w:val="008000"/>
        </w:rPr>
      </w:pPr>
    </w:p>
    <w:p>
      <w:pPr>
        <w:ind w:left="20" w:firstLine="5"/>
        <w:spacing w:after="0" w:line="236"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Warburg Pincus XI, L.P., a Delaware limited partnership ("WP XI LP"), is the general partner of the WP XI Funds. WP Global LLC ("WP Global"), is the general partner of WP XI LP. Warburg Pincus Partners II, L.P. ("WPP II") is the managing member of WP Global. Warburg Pincus Partners GP LLC ("WPP GP LLC") is the general partner of WPP II. Warburg Pincus &amp; Co. ("WP") is the managing member of WPP GP LLC. Warburg Pincus (Cayman) XI, L.P. ("WP Cayman") is the general partner of WP XI-C. Warburg Pincus XI-C, LLC ("Warburg Pincus XI-C") is the general partner of WP Cayman. Warburg Pincus Partners II (Cayman), L.P. ("WPP II Cayman") is the sole member of Warburg Pincus XI-C. Warburg Pincus (Bermuda) Private Equity GP Ltd. ("Warburg Pincus (Bermuda)") is the general partner of WPP II Cayman. WP Bull Manager, LLC ("WP Bull Manager") is the general partner of Bull Co-Invest. WP is the managing member of WP Bull Manager, LLC.</w:t>
      </w:r>
    </w:p>
    <w:p>
      <w:pPr>
        <w:spacing w:after="0" w:line="32" w:lineRule="exact"/>
        <w:rPr>
          <w:rFonts w:ascii="Times New Roman" w:cs="Times New Roman" w:eastAsia="Times New Roman" w:hAnsi="Times New Roman"/>
          <w:sz w:val="15"/>
          <w:szCs w:val="15"/>
          <w:color w:val="008000"/>
        </w:rPr>
      </w:pPr>
    </w:p>
    <w:p>
      <w:pPr>
        <w:jc w:val="both"/>
        <w:ind w:left="20" w:right="220" w:firstLine="5"/>
        <w:spacing w:after="0" w:line="244"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Warburg Pincus LLC ("WP LLC") is the manager of the WP XI Funds and WP XI-C. The WP XI Funds, Bull Co-Invest, WP XI-C, WP XI LP, WP Global, WPP II, WPP GP LLC, WP Cayman, Warburg Pincus XI-C, WPP II Cayman, Warburg Pincus (Bermuda), WP Bull Manager, WP LLC and WP are collectively referred to herein as the "Warburg Pincus Entities."</w:t>
      </w:r>
    </w:p>
    <w:p>
      <w:pPr>
        <w:spacing w:after="0" w:line="29" w:lineRule="exact"/>
        <w:rPr>
          <w:rFonts w:ascii="Times New Roman" w:cs="Times New Roman" w:eastAsia="Times New Roman" w:hAnsi="Times New Roman"/>
          <w:sz w:val="15"/>
          <w:szCs w:val="15"/>
          <w:color w:val="008000"/>
        </w:rPr>
      </w:pPr>
    </w:p>
    <w:p>
      <w:pPr>
        <w:ind w:left="20" w:right="20" w:firstLine="5"/>
        <w:spacing w:after="0" w:line="270" w:lineRule="auto"/>
        <w:tabs>
          <w:tab w:leader="none" w:pos="170"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Each Warburg Pincus Entity disclaims beneficial ownership with respect to any shares of Common Stock of the Issuer, except to the extent of its pecuniary interest in such shares of Common Stock, if any. The WP XI Funds, WP XI-C, Bull Co-Invest, WP XI LP, WP Global, WPP II, WPP GP LLC, WP, WP Cayman, WPP II Cayman, Warburg Pincus (Bermuda), Warburg Pincus XI-C and WP Bull Manager are directors-by-deputization solely for purposes of Section 16 of the Exchange Act. Information with respect to each of</w:t>
      </w:r>
    </w:p>
    <w:p>
      <w:pPr>
        <w:sectPr>
          <w:pgSz w:w="11900" w:h="16881" w:orient="portrait"/>
          <w:cols w:equalWidth="0" w:num="1">
            <w:col w:w="10860"/>
          </w:cols>
          <w:pgMar w:left="500" w:top="140" w:right="539" w:bottom="0" w:gutter="0" w:footer="0" w:header="0"/>
        </w:sectPr>
      </w:pPr>
    </w:p>
    <w:bookmarkStart w:id="2" w:name="page3"/>
    <w:bookmarkEnd w:id="2"/>
    <w:p>
      <w:pPr>
        <w:ind w:right="460"/>
        <w:spacing w:after="0" w:line="259" w:lineRule="auto"/>
        <w:rPr>
          <w:sz w:val="20"/>
          <w:szCs w:val="20"/>
          <w:color w:val="auto"/>
        </w:rPr>
      </w:pPr>
      <w:r>
        <w:rPr>
          <w:rFonts w:ascii="Times New Roman" w:cs="Times New Roman" w:eastAsia="Times New Roman" w:hAnsi="Times New Roman"/>
          <w:sz w:val="15"/>
          <w:szCs w:val="15"/>
          <w:color w:val="008000"/>
        </w:rPr>
        <w:t>the Warburg Pincus Entities is given solely by such Warburg Pincus Entity, and no Warburg Pincus Entity has responsibility for the accuracy or completeness of information supplied by another Warburg Pincus Entity.</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Form 1 of 2. Two reports are filed that relate to the same transactions. See Form 2 of 2 for additional reporting entities.</w:t>
      </w:r>
    </w:p>
    <w:p>
      <w:pPr>
        <w:sectPr>
          <w:pgSz w:w="11900" w:h="16838" w:orient="portrait"/>
          <w:cols w:equalWidth="0" w:num="1">
            <w:col w:w="10820"/>
          </w:cols>
          <w:pgMar w:left="520" w:top="125" w:right="559" w:bottom="1440" w:gutter="0" w:footer="0" w:header="0"/>
        </w:sectPr>
      </w:pPr>
    </w:p>
    <w:p>
      <w:pPr>
        <w:spacing w:after="0" w:line="8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Robert B. Knauss,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5664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203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0420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Warburg Pincus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2331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12331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Robert B. Knauss,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5664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203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0420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Warburg Pincus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8930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893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(Bermuda) Private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952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795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GP Ltd.,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0076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0007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partner of Warburg Pincus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492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30492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Partners II (Cayman),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096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3096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the sole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250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9525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Warburg Pincus XI-C,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553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1055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LLC,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2428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22428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of Warburg Pincus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329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92329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(Cayman)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68770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68770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Robert B. Knauss,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5664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203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0420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Warburg Pincus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8930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893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(Bermuda) Private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952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2795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GP Ltd.,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00760"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0007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partner of Warburg Pincus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492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30492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Partners II (Cayman),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3096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33096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the sole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5250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9525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Warburg Pincus XI-C,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553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1055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233680"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23368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Robert B. Knauss,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5664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203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0420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Warburg Pincus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8930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893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(Bermuda) Private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952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795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GP Ltd.,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00760"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0007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partner of Warburg Pincus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492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30492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Partners II (Cayman),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048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300480" cy="952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Robert B. Knauss,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56640"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203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0420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Warburg Pincus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8930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893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(Bermuda) Private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952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2795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392430"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39243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Robert B. Knauss,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56640"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2185"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97218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Warburg Pincus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4100"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105410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11/20/2020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59435"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322" w:lineRule="exact"/>
        <w:rPr>
          <w:sz w:val="20"/>
          <w:szCs w:val="20"/>
          <w:color w:val="auto"/>
        </w:rPr>
      </w:pPr>
    </w:p>
    <w:p>
      <w:pPr>
        <w:sectPr>
          <w:pgSz w:w="11900" w:h="16838" w:orient="portrait"/>
          <w:cols w:equalWidth="0" w:num="2">
            <w:col w:w="8620" w:space="100"/>
            <w:col w:w="2100"/>
          </w:cols>
          <w:pgMar w:left="520" w:top="125" w:right="5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5"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10" Type="http://schemas.openxmlformats.org/officeDocument/2006/relationships/hyperlink" Target="http://www.sec.gov/cgi-bin/browse-edgar?action=getcompany&amp;CIK=0000929408" TargetMode="External"/><Relationship Id="rId11" Type="http://schemas.openxmlformats.org/officeDocument/2006/relationships/hyperlink" Target="http://www.sec.gov/cgi-bin/browse-edgar?action=getcompany&amp;CIK=0001822479" TargetMode="External"/><Relationship Id="rId15" Type="http://schemas.openxmlformats.org/officeDocument/2006/relationships/hyperlink" Target="http://www.sec.gov/cgi-bin/browse-edgar?action=getcompany&amp;CIK=0001554853" TargetMode="External"/><Relationship Id="rId20" Type="http://schemas.openxmlformats.org/officeDocument/2006/relationships/hyperlink" Target="http://www.sec.gov/cgi-bin/browse-edgar?action=getcompany&amp;CIK=0001554852" TargetMode="External"/><Relationship Id="rId21" Type="http://schemas.openxmlformats.org/officeDocument/2006/relationships/hyperlink" Target="http://www.sec.gov/cgi-bin/browse-edgar?action=getcompany&amp;CIK=0001658820" TargetMode="External"/><Relationship Id="rId22" Type="http://schemas.openxmlformats.org/officeDocument/2006/relationships/hyperlink" Target="http://www.sec.gov/cgi-bin/browse-edgar?action=getcompany&amp;CIK=0001555729" TargetMode="External"/><Relationship Id="rId23" Type="http://schemas.openxmlformats.org/officeDocument/2006/relationships/hyperlink" Target="http://www.sec.gov/cgi-bin/browse-edgar?action=getcompany&amp;CIK=00011628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2020-11-20T20:56:20Z</dcterms:created>
  <dcterms:modified xsi:type="dcterms:W3CDTF">2020-11-20T20:56:20Z</dcterms:modified>
</cp:coreProperties>
</file>