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20, 2021</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402"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402"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402" w:right="339" w:bottom="1440" w:gutter="0" w:footer="0" w:header="0"/>
          <w:type w:val="continuous"/>
        </w:sectPr>
      </w:pPr>
    </w:p>
    <w:p>
      <w:pPr>
        <w:spacing w:after="0" w:line="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402"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57"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0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January 20, 2021, Sotera Health Company (the “Company”), Sotera Health Holdings, LLC (“SHH”), the Refinancing Lenders party thereto (the “Refinancing Lenders”), the Revolving Lenders party to the Credit Agreement (as defined below) and Jefferies Finance LLC, as First Lien Administrative Agent (solely in such capacity, the “Administrative Agent”) and as First Lien Collateral Agent (solely in such capacity, the “Collateral Agent”) entered into the Refinancing Amendment (the “Refinancing Amendment”) to the First Lien Credit Agreement dated as of December 13, 2019 by and among the Company, SHH, the Lenders from time to time party thereto, the Administrative Agent and the Collateral Agent (as amended, supplemented or otherwise modified and as in effect immediately prior to the effective date of the Refinancing Amendment, the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changes, the Refinancing Amendment provides that each Refinancing Lender will provide term loans (the “Refinancing Loans”) to SHH at an Applicable Rate (as defined in the Credit Agreement) per annum equal to (i) ABR plus 1.75% in the case of ABR Loans (as defined in the Credit Agreement) and (ii) the Adjusted LIBO Rate plus 2.75% in the case of Eurodollar Loans (as defined in the Credit Agreement). The Refinancing Amendment also provides that (i) the Refinancing Loans will be funded to SHH at par and (ii) SHH shall owe to the Refinancing Lenders a premium of</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1.00% of the principal amount of the Refinancing Loans prepaid in connection with a Repricing Transaction (as defined in the Credit Agreement), if any, entered into on or prior to the six month anniversary of the effective date of the Refinancing Amendment. On the effective date of the Refinancing Amendment, the Initial Term Loans (as defined in the Credit Agreement) were repaid with the proceeds of the Refinancing Loans (plus any accrued interest and other amounts owing with respect to the Initial Term Loans, which were paid with cash on hand). As of the effective date of the Refinancing Amendment, the aggregate amount of the Refinancing Loans is $1,763,100,000. The Refinancing Amendment does not change the maturity date of the Refinancing Loans, which is December 13, 2026.</w:t>
      </w:r>
    </w:p>
    <w:p>
      <w:pPr>
        <w:spacing w:after="0" w:line="131"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foregoing description of certain provisions of the Refinancing Amendment and the underlying Credit Agreement do not purport to be complete and is qualified in its entirety by the full text of the Credit Agreement and the Refinancing Amendment, which will be filed as an exhibit to the Company’s next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above is incorporated in this Item 2.03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20, 2021 the Company issued a press release (the “Press Release”) announcing entry into the Refinancing Amendment. A copy of the Press Release is filed as Exhibit 99.1 and is incorporated herein by reference.</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2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0"/>
                <w:szCs w:val="20"/>
                <w:color w:val="auto"/>
              </w:rPr>
            </w:pPr>
          </w:p>
        </w:tc>
        <w:tc>
          <w:tcPr>
            <w:tcW w:w="9820" w:type="dxa"/>
            <w:vAlign w:val="bottom"/>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issued by Sotera Health Company, dated January 20, 2021</w:t>
              </w:r>
            </w:hyperlink>
          </w:p>
        </w:tc>
      </w:tr>
    </w:tbl>
    <w:p>
      <w:pPr>
        <w:sectPr>
          <w:pgSz w:w="11900" w:h="16838" w:orient="portrait"/>
          <w:cols w:equalWidth="0" w:num="1">
            <w:col w:w="11240"/>
          </w:cols>
          <w:pgMar w:left="320" w:top="441"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20,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0720"/>
          </w:cols>
          <w:pgMar w:left="320" w:top="1008"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3703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Announces Successful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Repricing of its First Lien Term Loan Facility</w:t>
      </w:r>
    </w:p>
    <w:p>
      <w:pPr>
        <w:spacing w:after="0" w:line="214"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CLEVELAND, OH, Jan. 20, 2021 </w:t>
      </w:r>
      <w:r>
        <w:rPr>
          <w:rFonts w:ascii="Times New Roman" w:cs="Times New Roman" w:eastAsia="Times New Roman" w:hAnsi="Times New Roman"/>
          <w:sz w:val="18"/>
          <w:szCs w:val="18"/>
          <w:color w:val="auto"/>
        </w:rPr>
        <w:t>– Sotera Health Company (Nasdaq: SHC), a leading global provider of mission-critical end-to-end sterilization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lab testing and advisory services for the healthcare industry, today announced that it has closed on an amendment repricing its First Lien Term Loan facility. The interest rate spread over LIBOR on the facility was reduced from 450 basis points to 275 basis points, and the facility’s LIBOR floor was reduced from 100 basis points to 50 basis points. The changes result in an effective reduction in current interest rates of 2.25%.</w:t>
      </w:r>
    </w:p>
    <w:p>
      <w:pPr>
        <w:spacing w:after="0" w:line="1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pleased with the results of this repricing transaction, which we believe to be a reflection of the recently announced steps that the company has taken towards reducing leverage and enhancing the company’s liquidity position, combined with our continued solid operational performance,” said Scott J. Leffler, Chief Financial Officer of Sotera Health. “At current LIBOR and debt levels, we expect that the improved pricing will result in approximately $40 million of annual cash interest savings and provide us with additional flexibility for investment in key strategic priorities, such as growth initiatives and further deleveraging.”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expects interest savings will be partially offset by cash and non-cash charges associated with the repricing amendment.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Statements in this press release regarding the Company that are not historical facts are “forward-looking statements” that involve risks and uncertainties, including statements about the expected impact of the repricing of our debt and related charges, our financial condition, and our operational performance. The inclusion of these forward-looking statements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For additional discussion of these risks and uncertainties, please refer to our filings with the SEC. Forward-looking statements made in this release speak only as of the date of this release, and the Company undertakes no obligation to update the information contained in this press release to reflect subsequently occurring events or circumstances,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Sotera Health</w:t>
      </w:r>
    </w:p>
    <w:p>
      <w:pPr>
        <w:spacing w:after="0" w:line="12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The name Sotera Health was inspired by Soteria, the Greek goddess of safety, and reflects the Company’s unwavering commitment to its mission, Safeguarding Global Health®. Sotera Health Company is a leading global provider of mission-critical sterilization and lab testing and advisory services for the healthcare industry.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 including more than 40 of the top 50 medical device companies and 8 of the top 10 global pharmaceutical companies.</w:t>
      </w:r>
    </w:p>
    <w:p>
      <w:pPr>
        <w:spacing w:after="0" w:line="3"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Sotera Health goes to market through its three best-in-class businesses – Sterigenics®, Nordion® and Nelson Labs®. Sterigenics is a leading global provider of outsourced terminal sterilization and irradiation services for the medical device, pharmaceutical, food safety and advanced applications markets. Nordion is the leading global provider of Co-60 and gamma irradiators, which are key components to the gamma sterilization process. Nelson Labs is a global leader in outsourced microbiological and analytical chemistry testing and advisory services for the medical device and pharmaceutical industries. Learn more about Sotera Health at soterahealth.com.</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CONTACTS:</w:t>
      </w:r>
    </w:p>
    <w:p>
      <w:pPr>
        <w:sectPr>
          <w:pgSz w:w="11900" w:h="16838" w:orient="portrait"/>
          <w:cols w:equalWidth="0" w:num="1">
            <w:col w:w="11240"/>
          </w:cols>
          <w:pgMar w:left="320" w:top="117" w:right="339" w:bottom="1440" w:gutter="0" w:footer="0" w:header="0"/>
        </w:sectPr>
      </w:pP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Sally J. Curley, IRC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Jenny Kobin</w:t>
      </w:r>
    </w:p>
    <w:p>
      <w:pPr>
        <w:spacing w:after="0" w:line="39" w:lineRule="exact"/>
        <w:rPr>
          <w:sz w:val="20"/>
          <w:szCs w:val="20"/>
          <w:color w:val="auto"/>
        </w:rPr>
      </w:pPr>
    </w:p>
    <w:p>
      <w:pPr>
        <w:sectPr>
          <w:pgSz w:w="11900" w:h="16838" w:orient="portrait"/>
          <w:cols w:equalWidth="0" w:num="2">
            <w:col w:w="4860" w:space="720"/>
            <w:col w:w="566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Curley Global IR, LLC</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Times New Roman" w:cs="Times New Roman" w:eastAsia="Times New Roman" w:hAnsi="Times New Roman"/>
          <w:sz w:val="17"/>
          <w:szCs w:val="17"/>
          <w:color w:val="auto"/>
        </w:rPr>
        <w:t>IR Advisory Solutions</w:t>
      </w:r>
    </w:p>
    <w:p>
      <w:pPr>
        <w:spacing w:after="0" w:line="21" w:lineRule="exact"/>
        <w:rPr>
          <w:sz w:val="20"/>
          <w:szCs w:val="20"/>
          <w:color w:val="auto"/>
        </w:rPr>
      </w:pPr>
    </w:p>
    <w:p>
      <w:pPr>
        <w:sectPr>
          <w:pgSz w:w="11900" w:h="16838" w:orient="portrait"/>
          <w:cols w:equalWidth="0" w:num="2">
            <w:col w:w="4860" w:space="720"/>
            <w:col w:w="566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IR@soterahealth.com</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Times New Roman" w:cs="Times New Roman" w:eastAsia="Times New Roman" w:hAnsi="Times New Roman"/>
          <w:sz w:val="17"/>
          <w:szCs w:val="17"/>
          <w:color w:val="auto"/>
        </w:rPr>
        <w:t>IR@soterahealth.com</w:t>
      </w:r>
    </w:p>
    <w:p>
      <w:pPr>
        <w:spacing w:after="0" w:line="211" w:lineRule="exact"/>
        <w:rPr>
          <w:sz w:val="20"/>
          <w:szCs w:val="20"/>
          <w:color w:val="auto"/>
        </w:rPr>
      </w:pPr>
    </w:p>
    <w:p>
      <w:pPr>
        <w:sectPr>
          <w:pgSz w:w="11900" w:h="16838" w:orient="portrait"/>
          <w:cols w:equalWidth="0" w:num="2">
            <w:col w:w="4860" w:space="720"/>
            <w:col w:w="5660"/>
          </w:cols>
          <w:pgMar w:left="320" w:top="117"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Kristin Gibbs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Marketing Officer, Sotera Health</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kgibbs@soterahealth.com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Sotera Health Company</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2021-01-20T16:30:25Z</dcterms:created>
  <dcterms:modified xsi:type="dcterms:W3CDTF">2021-01-20T16:30:25Z</dcterms:modified>
</cp:coreProperties>
</file>