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3060" w:type="dxa"/>
            <w:vAlign w:val="bottom"/>
            <w:gridSpan w:val="2"/>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WARBURG PINCUS &amp; CO.</w:t>
              </w:r>
            </w:hyperlink>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060" w:type="dxa"/>
            <w:vAlign w:val="bottom"/>
            <w:gridSpan w:val="2"/>
            <w:vMerge w:val="continue"/>
          </w:tcPr>
          <w:p>
            <w:pPr>
              <w:spacing w:after="0"/>
              <w:rPr>
                <w:sz w:val="13"/>
                <w:szCs w:val="13"/>
                <w:color w:val="auto"/>
              </w:rPr>
            </w:pPr>
          </w:p>
        </w:tc>
        <w:tc>
          <w:tcPr>
            <w:tcW w:w="1560" w:type="dxa"/>
            <w:vAlign w:val="bottom"/>
          </w:tcPr>
          <w:p>
            <w:pPr>
              <w:ind w:left="20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9"/>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ind w:left="200"/>
              <w:spacing w:after="0" w:line="219" w:lineRule="exact"/>
              <w:rPr>
                <w:sz w:val="20"/>
                <w:szCs w:val="20"/>
                <w:color w:val="auto"/>
              </w:rPr>
            </w:pPr>
            <w:r>
              <w:rPr>
                <w:rFonts w:ascii="Arial" w:cs="Arial" w:eastAsia="Arial" w:hAnsi="Arial"/>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7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450 LEXINGTON AVENUE</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8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00" w:type="dxa"/>
            <w:vAlign w:val="bottom"/>
            <w:vMerge w:val="restart"/>
          </w:tcPr>
          <w:p>
            <w:pPr>
              <w:ind w:left="300"/>
              <w:spacing w:after="0"/>
              <w:rPr>
                <w:sz w:val="20"/>
                <w:szCs w:val="20"/>
                <w:color w:val="auto"/>
              </w:rPr>
            </w:pPr>
            <w:r>
              <w:rPr>
                <w:rFonts w:ascii="Arial" w:cs="Arial" w:eastAsia="Arial" w:hAnsi="Arial"/>
                <w:sz w:val="20"/>
                <w:szCs w:val="20"/>
                <w:color w:val="0000FF"/>
              </w:rPr>
              <w:t>10017</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777240</wp:posOffset>
            </wp:positionV>
            <wp:extent cx="6946900" cy="117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722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11/20/2020</w:t>
      </w:r>
    </w:p>
    <w:p>
      <w:pPr>
        <w:spacing w:after="0" w:line="318" w:lineRule="exact"/>
        <w:rPr>
          <w:sz w:val="24"/>
          <w:szCs w:val="24"/>
          <w:color w:val="auto"/>
        </w:rPr>
      </w:pPr>
    </w:p>
    <w:p>
      <w:pPr>
        <w:ind w:right="480" w:firstLine="9"/>
        <w:spacing w:after="0" w:line="239"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60"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60" w:right="320" w:hanging="304"/>
        <w:spacing w:after="0" w:line="184" w:lineRule="auto"/>
        <w:tabs>
          <w:tab w:leader="none" w:pos="460"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477" w:lineRule="exact"/>
        <w:rPr>
          <w:sz w:val="24"/>
          <w:szCs w:val="24"/>
          <w:color w:val="auto"/>
        </w:rPr>
      </w:pPr>
    </w:p>
    <w:p>
      <w:pPr>
        <w:sectPr>
          <w:pgSz w:w="11900" w:h="16838" w:orient="portrait"/>
          <w:cols w:equalWidth="0" w:num="3">
            <w:col w:w="4277" w:space="720"/>
            <w:col w:w="3003" w:space="260"/>
            <w:col w:w="2680"/>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20" w:type="dxa"/>
            <w:vAlign w:val="bottom"/>
          </w:tcPr>
          <w:p>
            <w:pPr>
              <w:spacing w:after="0"/>
              <w:rPr>
                <w:sz w:val="24"/>
                <w:szCs w:val="24"/>
                <w:color w:val="auto"/>
              </w:rPr>
            </w:pPr>
          </w:p>
        </w:tc>
        <w:tc>
          <w:tcPr>
            <w:tcW w:w="5000" w:type="dxa"/>
            <w:vAlign w:val="bottom"/>
            <w:gridSpan w:val="8"/>
          </w:tcPr>
          <w:p>
            <w:pPr>
              <w:ind w:left="80"/>
              <w:spacing w:after="0"/>
              <w:rPr>
                <w:sz w:val="20"/>
                <w:szCs w:val="20"/>
                <w:color w:val="auto"/>
              </w:rPr>
            </w:pPr>
            <w:r>
              <w:rPr>
                <w:rFonts w:ascii="Arial" w:cs="Arial" w:eastAsia="Arial" w:hAnsi="Arial"/>
                <w:sz w:val="20"/>
                <w:szCs w:val="20"/>
                <w:color w:val="0000FF"/>
              </w:rPr>
              <w:t>Common Stock, $0.01 par value per share ("Common</w:t>
            </w:r>
          </w:p>
        </w:tc>
        <w:tc>
          <w:tcPr>
            <w:tcW w:w="1580" w:type="dxa"/>
            <w:vAlign w:val="bottom"/>
            <w:vMerge w:val="restart"/>
          </w:tcPr>
          <w:p>
            <w:pPr>
              <w:ind w:left="360"/>
              <w:spacing w:after="0"/>
              <w:rPr>
                <w:sz w:val="20"/>
                <w:szCs w:val="20"/>
                <w:color w:val="auto"/>
              </w:rPr>
            </w:pPr>
            <w:r>
              <w:rPr>
                <w:rFonts w:ascii="Arial" w:cs="Arial" w:eastAsia="Arial" w:hAnsi="Arial"/>
                <w:sz w:val="20"/>
                <w:szCs w:val="20"/>
                <w:color w:val="0000FF"/>
              </w:rPr>
              <w:t>118,929,897</w:t>
            </w:r>
          </w:p>
        </w:tc>
        <w:tc>
          <w:tcPr>
            <w:tcW w:w="960" w:type="dxa"/>
            <w:vAlign w:val="bottom"/>
            <w:gridSpan w:val="2"/>
            <w:vMerge w:val="restart"/>
          </w:tcPr>
          <w:p>
            <w:pPr>
              <w:ind w:left="860"/>
              <w:spacing w:after="0"/>
              <w:rPr>
                <w:sz w:val="20"/>
                <w:szCs w:val="20"/>
                <w:color w:val="auto"/>
              </w:rPr>
            </w:pPr>
            <w:r>
              <w:rPr>
                <w:rFonts w:ascii="Arial" w:cs="Arial" w:eastAsia="Arial" w:hAnsi="Arial"/>
                <w:sz w:val="20"/>
                <w:szCs w:val="20"/>
                <w:color w:val="0000FF"/>
              </w:rPr>
              <w:t>I</w:t>
            </w:r>
          </w:p>
        </w:tc>
        <w:tc>
          <w:tcPr>
            <w:tcW w:w="3380" w:type="dxa"/>
            <w:vAlign w:val="bottom"/>
            <w:gridSpan w:val="4"/>
            <w:vMerge w:val="restart"/>
          </w:tcPr>
          <w:p>
            <w:pPr>
              <w:ind w:left="600"/>
              <w:spacing w:after="0"/>
              <w:rPr>
                <w:sz w:val="20"/>
                <w:szCs w:val="20"/>
                <w:color w:val="auto"/>
              </w:rPr>
            </w:pPr>
            <w:r>
              <w:rPr>
                <w:rFonts w:ascii="Arial" w:cs="Arial" w:eastAsia="Arial" w:hAnsi="Arial"/>
                <w:sz w:val="39"/>
                <w:szCs w:val="39"/>
                <w:color w:val="0000FF"/>
                <w:w w:val="97"/>
                <w:vertAlign w:val="subscript"/>
              </w:rPr>
              <w:t>See Footnote</w:t>
            </w:r>
            <w:r>
              <w:rPr>
                <w:rFonts w:ascii="Arial" w:cs="Arial" w:eastAsia="Arial" w:hAnsi="Arial"/>
                <w:sz w:val="13"/>
                <w:szCs w:val="13"/>
                <w:color w:val="008000"/>
                <w:w w:val="97"/>
              </w:rPr>
              <w:t>(1)(2)(3)(4)(5)(6)(7)(8)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3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6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gridSpan w:val="2"/>
          </w:tcPr>
          <w:p>
            <w:pPr>
              <w:ind w:left="2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6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WARBURG PINCUS &amp; CO.</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10017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Warburg Pincus (Cayman) XI, L.P.</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10017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-5087620</wp:posOffset>
            </wp:positionV>
            <wp:extent cx="6946900" cy="565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650865"/>
                    </a:xfrm>
                    <a:prstGeom prst="rect">
                      <a:avLst/>
                    </a:prstGeom>
                    <a:noFill/>
                  </pic:spPr>
                </pic:pic>
              </a:graphicData>
            </a:graphic>
          </wp:anchor>
        </w:drawing>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6" w:right="479" w:bottom="0" w:gutter="0" w:footer="0" w:header="0"/>
          <w:type w:val="continuous"/>
        </w:sectPr>
      </w:pPr>
    </w:p>
    <w:p>
      <w:pPr>
        <w:ind w:left="14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Warburg Pincus XI-C, LLC</w:t>
        </w:r>
      </w:hyperlink>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7118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73045" cy="711835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320" w:type="dxa"/>
            <w:vAlign w:val="bottom"/>
          </w:tcPr>
          <w:p>
            <w:pPr>
              <w:ind w:left="180"/>
              <w:spacing w:after="0"/>
              <w:rPr>
                <w:sz w:val="20"/>
                <w:szCs w:val="20"/>
                <w:color w:val="auto"/>
              </w:rPr>
            </w:pPr>
            <w:r>
              <w:rPr>
                <w:rFonts w:ascii="Arial" w:cs="Arial" w:eastAsia="Arial" w:hAnsi="Arial"/>
                <w:sz w:val="15"/>
                <w:szCs w:val="15"/>
                <w:color w:val="auto"/>
              </w:rPr>
              <w:t>(First)</w:t>
            </w:r>
          </w:p>
        </w:tc>
        <w:tc>
          <w:tcPr>
            <w:tcW w:w="158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4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158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20" w:type="dxa"/>
            <w:vAlign w:val="bottom"/>
          </w:tcPr>
          <w:p>
            <w:pPr>
              <w:ind w:left="180"/>
              <w:spacing w:after="0"/>
              <w:rPr>
                <w:sz w:val="20"/>
                <w:szCs w:val="20"/>
                <w:color w:val="auto"/>
              </w:rPr>
            </w:pPr>
            <w:r>
              <w:rPr>
                <w:rFonts w:ascii="Arial" w:cs="Arial" w:eastAsia="Arial" w:hAnsi="Arial"/>
                <w:sz w:val="20"/>
                <w:szCs w:val="20"/>
                <w:color w:val="0000FF"/>
              </w:rPr>
              <w:t>NY</w:t>
            </w:r>
          </w:p>
        </w:tc>
        <w:tc>
          <w:tcPr>
            <w:tcW w:w="1580" w:type="dxa"/>
            <w:vAlign w:val="bottom"/>
          </w:tcPr>
          <w:p>
            <w:pPr>
              <w:ind w:left="240"/>
              <w:spacing w:after="0"/>
              <w:rPr>
                <w:sz w:val="20"/>
                <w:szCs w:val="20"/>
                <w:color w:val="auto"/>
              </w:rPr>
            </w:pPr>
            <w:r>
              <w:rPr>
                <w:rFonts w:ascii="Arial" w:cs="Arial" w:eastAsia="Arial" w:hAnsi="Arial"/>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320" w:type="dxa"/>
            <w:vAlign w:val="bottom"/>
          </w:tcPr>
          <w:p>
            <w:pPr>
              <w:ind w:left="180"/>
              <w:spacing w:after="0"/>
              <w:rPr>
                <w:sz w:val="20"/>
                <w:szCs w:val="20"/>
                <w:color w:val="auto"/>
              </w:rPr>
            </w:pPr>
            <w:r>
              <w:rPr>
                <w:rFonts w:ascii="Arial" w:cs="Arial" w:eastAsia="Arial" w:hAnsi="Arial"/>
                <w:sz w:val="15"/>
                <w:szCs w:val="15"/>
                <w:color w:val="auto"/>
              </w:rPr>
              <w:t>(State)</w:t>
            </w:r>
          </w:p>
        </w:tc>
        <w:tc>
          <w:tcPr>
            <w:tcW w:w="158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Warburg Pincus Partners II, 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320" w:type="dxa"/>
            <w:vAlign w:val="bottom"/>
          </w:tcPr>
          <w:p>
            <w:pPr>
              <w:ind w:left="180"/>
              <w:spacing w:after="0"/>
              <w:rPr>
                <w:sz w:val="20"/>
                <w:szCs w:val="20"/>
                <w:color w:val="auto"/>
              </w:rPr>
            </w:pPr>
            <w:r>
              <w:rPr>
                <w:rFonts w:ascii="Arial" w:cs="Arial" w:eastAsia="Arial" w:hAnsi="Arial"/>
                <w:sz w:val="15"/>
                <w:szCs w:val="15"/>
                <w:color w:val="auto"/>
              </w:rPr>
              <w:t>(First)</w:t>
            </w:r>
          </w:p>
        </w:tc>
        <w:tc>
          <w:tcPr>
            <w:tcW w:w="158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4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158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20" w:type="dxa"/>
            <w:vAlign w:val="bottom"/>
          </w:tcPr>
          <w:p>
            <w:pPr>
              <w:ind w:left="180"/>
              <w:spacing w:after="0"/>
              <w:rPr>
                <w:sz w:val="20"/>
                <w:szCs w:val="20"/>
                <w:color w:val="auto"/>
              </w:rPr>
            </w:pPr>
            <w:r>
              <w:rPr>
                <w:rFonts w:ascii="Arial" w:cs="Arial" w:eastAsia="Arial" w:hAnsi="Arial"/>
                <w:sz w:val="20"/>
                <w:szCs w:val="20"/>
                <w:color w:val="0000FF"/>
              </w:rPr>
              <w:t>NY</w:t>
            </w:r>
          </w:p>
        </w:tc>
        <w:tc>
          <w:tcPr>
            <w:tcW w:w="1580" w:type="dxa"/>
            <w:vAlign w:val="bottom"/>
          </w:tcPr>
          <w:p>
            <w:pPr>
              <w:ind w:left="240"/>
              <w:spacing w:after="0"/>
              <w:rPr>
                <w:sz w:val="20"/>
                <w:szCs w:val="20"/>
                <w:color w:val="auto"/>
              </w:rPr>
            </w:pPr>
            <w:r>
              <w:rPr>
                <w:rFonts w:ascii="Arial" w:cs="Arial" w:eastAsia="Arial" w:hAnsi="Arial"/>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320" w:type="dxa"/>
            <w:vAlign w:val="bottom"/>
          </w:tcPr>
          <w:p>
            <w:pPr>
              <w:ind w:left="180"/>
              <w:spacing w:after="0"/>
              <w:rPr>
                <w:sz w:val="20"/>
                <w:szCs w:val="20"/>
                <w:color w:val="auto"/>
              </w:rPr>
            </w:pPr>
            <w:r>
              <w:rPr>
                <w:rFonts w:ascii="Arial" w:cs="Arial" w:eastAsia="Arial" w:hAnsi="Arial"/>
                <w:sz w:val="15"/>
                <w:szCs w:val="15"/>
                <w:color w:val="auto"/>
              </w:rPr>
              <w:t>(State)</w:t>
            </w:r>
          </w:p>
        </w:tc>
        <w:tc>
          <w:tcPr>
            <w:tcW w:w="158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Warburg Pincus (Bermuda) Private Equity</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GP Ltd.</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80" w:type="dxa"/>
            <w:vAlign w:val="bottom"/>
          </w:tcPr>
          <w:p>
            <w:pPr>
              <w:ind w:left="18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70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48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80" w:type="dxa"/>
            <w:vAlign w:val="bottom"/>
          </w:tcPr>
          <w:p>
            <w:pPr>
              <w:ind w:left="180"/>
              <w:spacing w:after="0"/>
              <w:rPr>
                <w:sz w:val="20"/>
                <w:szCs w:val="20"/>
                <w:color w:val="auto"/>
              </w:rPr>
            </w:pPr>
            <w:r>
              <w:rPr>
                <w:rFonts w:ascii="Arial" w:cs="Arial" w:eastAsia="Arial" w:hAnsi="Arial"/>
                <w:sz w:val="20"/>
                <w:szCs w:val="20"/>
                <w:color w:val="0000FF"/>
              </w:rPr>
              <w:t>NY</w:t>
            </w:r>
          </w:p>
        </w:tc>
        <w:tc>
          <w:tcPr>
            <w:tcW w:w="1420" w:type="dxa"/>
            <w:vAlign w:val="bottom"/>
          </w:tcPr>
          <w:p>
            <w:pPr>
              <w:ind w:left="80"/>
              <w:spacing w:after="0"/>
              <w:rPr>
                <w:sz w:val="20"/>
                <w:szCs w:val="20"/>
                <w:color w:val="auto"/>
              </w:rPr>
            </w:pPr>
            <w:r>
              <w:rPr>
                <w:rFonts w:ascii="Arial" w:cs="Arial" w:eastAsia="Arial" w:hAnsi="Arial"/>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80" w:type="dxa"/>
            <w:vAlign w:val="bottom"/>
          </w:tcPr>
          <w:p>
            <w:pPr>
              <w:ind w:left="18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700" w:type="dxa"/>
            <w:vAlign w:val="bottom"/>
            <w:gridSpan w:val="2"/>
          </w:tcPr>
          <w:p>
            <w:pPr>
              <w:ind w:left="20"/>
              <w:spacing w:after="0"/>
              <w:rPr>
                <w:rFonts w:ascii="Arial" w:cs="Arial" w:eastAsia="Arial" w:hAnsi="Arial"/>
                <w:sz w:val="24"/>
                <w:szCs w:val="24"/>
                <w:u w:val="single" w:color="auto"/>
                <w:color w:val="0000EE"/>
                <w:w w:val="97"/>
              </w:rPr>
            </w:pPr>
            <w:hyperlink r:id="rId19">
              <w:r>
                <w:rPr>
                  <w:rFonts w:ascii="Arial" w:cs="Arial" w:eastAsia="Arial" w:hAnsi="Arial"/>
                  <w:sz w:val="24"/>
                  <w:szCs w:val="24"/>
                  <w:u w:val="single" w:color="auto"/>
                  <w:color w:val="0000EE"/>
                  <w:w w:val="97"/>
                </w:rPr>
                <w:t>WARBURG PINCUS LLC</w:t>
              </w:r>
            </w:hyperlink>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80" w:type="dxa"/>
            <w:vAlign w:val="bottom"/>
          </w:tcPr>
          <w:p>
            <w:pPr>
              <w:ind w:left="18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70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48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80" w:type="dxa"/>
            <w:vAlign w:val="bottom"/>
          </w:tcPr>
          <w:p>
            <w:pPr>
              <w:ind w:left="180"/>
              <w:spacing w:after="0"/>
              <w:rPr>
                <w:sz w:val="20"/>
                <w:szCs w:val="20"/>
                <w:color w:val="auto"/>
              </w:rPr>
            </w:pPr>
            <w:r>
              <w:rPr>
                <w:rFonts w:ascii="Arial" w:cs="Arial" w:eastAsia="Arial" w:hAnsi="Arial"/>
                <w:sz w:val="20"/>
                <w:szCs w:val="20"/>
                <w:color w:val="0000FF"/>
              </w:rPr>
              <w:t>NY</w:t>
            </w:r>
          </w:p>
        </w:tc>
        <w:tc>
          <w:tcPr>
            <w:tcW w:w="1420" w:type="dxa"/>
            <w:vAlign w:val="bottom"/>
          </w:tcPr>
          <w:p>
            <w:pPr>
              <w:ind w:left="80"/>
              <w:spacing w:after="0"/>
              <w:rPr>
                <w:sz w:val="20"/>
                <w:szCs w:val="20"/>
                <w:color w:val="auto"/>
              </w:rPr>
            </w:pPr>
            <w:r>
              <w:rPr>
                <w:rFonts w:ascii="Arial" w:cs="Arial" w:eastAsia="Arial" w:hAnsi="Arial"/>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80" w:type="dxa"/>
            <w:vAlign w:val="bottom"/>
          </w:tcPr>
          <w:p>
            <w:pPr>
              <w:ind w:left="18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20" w:firstLine="5"/>
        <w:spacing w:after="0" w:line="253" w:lineRule="auto"/>
        <w:tabs>
          <w:tab w:leader="none" w:pos="17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This Form 3 is being filed in connection with the effectiveness of the Registration Statement on Form 8-A relating to the registration under Section 12 of the Securities Exchange Act of 1934, as amended (the "Exchange Act") of Sotera Health Company (the "Issuer").</w:t>
      </w:r>
    </w:p>
    <w:p>
      <w:pPr>
        <w:spacing w:after="0" w:line="26" w:lineRule="exact"/>
        <w:rPr>
          <w:rFonts w:ascii="Arial" w:cs="Arial" w:eastAsia="Arial" w:hAnsi="Arial"/>
          <w:sz w:val="15"/>
          <w:szCs w:val="15"/>
          <w:color w:val="008000"/>
        </w:rPr>
      </w:pPr>
    </w:p>
    <w:p>
      <w:pPr>
        <w:ind w:left="180" w:hanging="155"/>
        <w:spacing w:after="0"/>
        <w:tabs>
          <w:tab w:leader="none" w:pos="18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118,929,897 shares of Common Stock received as a liquidating distribution from Sotera Health Topco Parent, L.P. ("Topco Parent").</w:t>
      </w:r>
    </w:p>
    <w:p>
      <w:pPr>
        <w:spacing w:after="0" w:line="52" w:lineRule="exact"/>
        <w:rPr>
          <w:rFonts w:ascii="Arial" w:cs="Arial" w:eastAsia="Arial" w:hAnsi="Arial"/>
          <w:sz w:val="15"/>
          <w:szCs w:val="15"/>
          <w:color w:val="008000"/>
        </w:rPr>
      </w:pPr>
    </w:p>
    <w:p>
      <w:pPr>
        <w:ind w:left="20" w:right="40" w:firstLine="5"/>
        <w:spacing w:after="0" w:line="253" w:lineRule="auto"/>
        <w:tabs>
          <w:tab w:leader="none" w:pos="17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Warburg Pincus Private Equity XI, L.P., Warburg Pincus XI Partners, L.P., WP XI Partners, L.P., Warburg Pincus Private Equity XI-B, L.P. (collectively, the "WP XI Funds") are the holders of 94,872,693 shares of Common Stock of the Issuer.</w:t>
      </w:r>
    </w:p>
    <w:p>
      <w:pPr>
        <w:spacing w:after="0" w:line="26" w:lineRule="exact"/>
        <w:rPr>
          <w:rFonts w:ascii="Arial" w:cs="Arial" w:eastAsia="Arial" w:hAnsi="Arial"/>
          <w:sz w:val="15"/>
          <w:szCs w:val="15"/>
          <w:color w:val="008000"/>
        </w:rPr>
      </w:pPr>
    </w:p>
    <w:p>
      <w:pPr>
        <w:ind w:left="180" w:hanging="155"/>
        <w:spacing w:after="0"/>
        <w:tabs>
          <w:tab w:leader="none" w:pos="18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Warburg Pincus Private Equity XI-C, L.P. ("WP XI-C") is the holder of 304,567 shares of Common Stock of the Issuer.</w:t>
      </w:r>
    </w:p>
    <w:p>
      <w:pPr>
        <w:spacing w:after="0" w:line="52" w:lineRule="exact"/>
        <w:rPr>
          <w:rFonts w:ascii="Arial" w:cs="Arial" w:eastAsia="Arial" w:hAnsi="Arial"/>
          <w:sz w:val="15"/>
          <w:szCs w:val="15"/>
          <w:color w:val="008000"/>
        </w:rPr>
      </w:pPr>
    </w:p>
    <w:p>
      <w:pPr>
        <w:ind w:left="180" w:hanging="155"/>
        <w:spacing w:after="0"/>
        <w:tabs>
          <w:tab w:leader="none" w:pos="18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Bull Co-Invest L.P., a Delaware limited partnership ("Bull Co-Invest") is the holder of 23,752,637 shares of Common Stock of the Issuer.</w:t>
      </w:r>
    </w:p>
    <w:p>
      <w:pPr>
        <w:spacing w:after="0" w:line="52" w:lineRule="exact"/>
        <w:rPr>
          <w:rFonts w:ascii="Arial" w:cs="Arial" w:eastAsia="Arial" w:hAnsi="Arial"/>
          <w:sz w:val="15"/>
          <w:szCs w:val="15"/>
          <w:color w:val="008000"/>
        </w:rPr>
      </w:pPr>
    </w:p>
    <w:p>
      <w:pPr>
        <w:ind w:left="20" w:firstLine="5"/>
        <w:spacing w:after="0" w:line="254" w:lineRule="auto"/>
        <w:tabs>
          <w:tab w:leader="none" w:pos="17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Warburg Pincus XI, L.P., a Delaware limited partnership ("WP XI LP"), is the general partner of the WP XI Funds. WP Global LLC ("WP Global"), is the general partner of WP XI LP. Warburg Pincus Partners II, L.P. ("WPP II") is the managing member of WP Global. Warburg Pincus Partners GP LLC ("WPP GP LLC") is the general partner of WPP II. Warburg Pincus &amp; Co. ("WP") is the managing member of WPP GP LLC. Warburg Pincus (Cayman) XI, L.P. ("WP Cayman") is the general partner of WP XI-C. Warburg Pincus XI-C, LLC ("Warburg Pincus XI-C") is the general partner of WP Cayman. Warburg Pincus Partners II (Cayman), L.P. ("WPP II Cayman") is the sole member of Warburg Pincus XI-C. Warburg Pincus (Bermuda) Private Equity GP Ltd. ("Warburg Pincus (Bermuda)") is the general partner of WPP II Cayman. WP Bull Manager, LLC ("WP Bull Manager") is the general partner of Bull Co-Invest. WP is the managing member of WP Bull Manager, LLC.</w:t>
      </w:r>
    </w:p>
    <w:p>
      <w:pPr>
        <w:spacing w:after="0" w:line="28" w:lineRule="exact"/>
        <w:rPr>
          <w:rFonts w:ascii="Arial" w:cs="Arial" w:eastAsia="Arial" w:hAnsi="Arial"/>
          <w:sz w:val="14"/>
          <w:szCs w:val="14"/>
          <w:color w:val="008000"/>
        </w:rPr>
      </w:pPr>
    </w:p>
    <w:p>
      <w:pPr>
        <w:jc w:val="both"/>
        <w:ind w:left="20" w:right="220" w:firstLine="5"/>
        <w:spacing w:after="0" w:line="241" w:lineRule="auto"/>
        <w:tabs>
          <w:tab w:leader="none" w:pos="17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Warburg Pincus LLC ("WP LLC") is the manager of the WP XI Funds and WP XI-C. The WP XI Funds, Bull Co-Invest, WP XI-C, WP XI LP, WP Global, WPP II, WPP GP LLC, WP Cayman, Warburg Pincus XI-C, WPP II Cayman, Warburg Pincus (Bermuda), WP Bull Manager, WP LLC and WP are collectively referred to herein as the "Warburg Pincus Entities."</w:t>
      </w:r>
    </w:p>
    <w:p>
      <w:pPr>
        <w:spacing w:after="0" w:line="35" w:lineRule="exact"/>
        <w:rPr>
          <w:rFonts w:ascii="Arial" w:cs="Arial" w:eastAsia="Arial" w:hAnsi="Arial"/>
          <w:sz w:val="15"/>
          <w:szCs w:val="15"/>
          <w:color w:val="008000"/>
        </w:rPr>
      </w:pPr>
    </w:p>
    <w:p>
      <w:pPr>
        <w:ind w:left="20" w:right="20" w:firstLine="5"/>
        <w:spacing w:after="0" w:line="236" w:lineRule="auto"/>
        <w:tabs>
          <w:tab w:leader="none" w:pos="17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Each Warburg Pincus Entity disclaims beneficial ownership with respect to any shares of Common Stock of the Issuer, except to the extent of its pecuniary interest in such shares of Common Stock, if any. The WP XI Funds, WP XI-C, Bull Co-Invest, WP XI LP, WP Global, WPP II, WPP GP LLC, WP, WP Cayman, WPP II Cayman, Warburg Pincus (Bermuda), Warburg Pincus XI-C and WP Bull Manager are directors-by-deputization solely for purposes of Section 16 of the Exchange Act.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right="260"/>
        <w:spacing w:after="0" w:line="267" w:lineRule="auto"/>
        <w:rPr>
          <w:sz w:val="20"/>
          <w:szCs w:val="20"/>
          <w:color w:val="auto"/>
        </w:rPr>
      </w:pPr>
      <w:r>
        <w:rPr>
          <w:rFonts w:ascii="Arial" w:cs="Arial" w:eastAsia="Arial" w:hAnsi="Arial"/>
          <w:sz w:val="14"/>
          <w:szCs w:val="14"/>
          <w:color w:val="008000"/>
        </w:rPr>
        <w:t>This amendment on Form 3/A to the Form 3 originally filed on November 20, 2020 (the "Original Form 3") is being filed solely to correct the reporting name of the entity "Warburg Pincus Partners II, L.P." and to correct the reference to Form 2 of 2 below. This amendment does not impact the quantity of the Reporting Person's Table I holdings as reported in the Original Form 3. Form 2 of 2. Two reports are filed that relate to the same transactions. See Form 1 of 2 for additional reporting entities.</w:t>
      </w:r>
    </w:p>
    <w:p>
      <w:pPr>
        <w:sectPr>
          <w:pgSz w:w="11900" w:h="16858" w:orient="portrait"/>
          <w:cols w:equalWidth="0" w:num="1">
            <w:col w:w="10860"/>
          </w:cols>
          <w:pgMar w:left="500" w:top="319" w:right="539" w:bottom="0" w:gutter="0" w:footer="0" w:header="0"/>
        </w:sectPr>
      </w:pPr>
    </w:p>
    <w:p>
      <w:pPr>
        <w:spacing w:after="0" w:line="49" w:lineRule="exact"/>
        <w:rPr>
          <w:sz w:val="20"/>
          <w:szCs w:val="20"/>
          <w:color w:val="auto"/>
        </w:rPr>
      </w:pPr>
    </w:p>
    <w:p>
      <w:pPr>
        <w:ind w:left="6560"/>
        <w:spacing w:after="0"/>
        <w:tabs>
          <w:tab w:leader="none" w:pos="8720" w:val="left"/>
        </w:tabs>
        <w:rPr>
          <w:sz w:val="20"/>
          <w:szCs w:val="20"/>
          <w:color w:val="auto"/>
        </w:rPr>
      </w:pPr>
      <w:r>
        <w:rPr>
          <w:rFonts w:ascii="Arial" w:cs="Arial" w:eastAsia="Arial" w:hAnsi="Arial"/>
          <w:sz w:val="20"/>
          <w:szCs w:val="20"/>
          <w:color w:val="0000FF"/>
        </w:rPr>
        <w:t>/s/ Robert B. Knauss,</w:t>
      </w:r>
      <w:r>
        <w:rPr>
          <w:sz w:val="20"/>
          <w:szCs w:val="20"/>
          <w:color w:val="auto"/>
        </w:rPr>
        <w:tab/>
      </w: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9507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sectPr>
          <w:pgSz w:w="11900" w:h="16858" w:orient="portrait"/>
          <w:cols w:equalWidth="0" w:num="1">
            <w:col w:w="10860"/>
          </w:cols>
          <w:pgMar w:left="500" w:top="319" w:right="53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420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Warburg Pincus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331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2331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8930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893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(Bermuda)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952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076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0007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 of WPP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392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8839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Cayman, the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9349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 Warburg Pincus XI-C,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015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LLC,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428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242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of 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329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9232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(Cayman)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186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91186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8930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893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(Bermuda)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952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076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007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0492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0492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Partners II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3096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the sole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250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9525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Warburg Pincus XI-C,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553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055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3368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23368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Warburg Pincus &amp; Co.,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3667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18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0591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Warburg Pincus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618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261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187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0318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0492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492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7406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740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8930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893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(Bermuda)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952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9243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39243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218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9721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Warburg Pincus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410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05410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8640" w:space="80"/>
            <w:col w:w="2100"/>
          </w:cols>
          <w:pgMar w:left="520" w:top="130"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6"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0" Type="http://schemas.openxmlformats.org/officeDocument/2006/relationships/hyperlink" Target="http://www.sec.gov/cgi-bin/browse-edgar?action=getcompany&amp;CIK=0000929408" TargetMode="External"/><Relationship Id="rId11" Type="http://schemas.openxmlformats.org/officeDocument/2006/relationships/hyperlink" Target="http://www.sec.gov/cgi-bin/browse-edgar?action=getcompany&amp;CIK=0001822479" TargetMode="External"/><Relationship Id="rId13" Type="http://schemas.openxmlformats.org/officeDocument/2006/relationships/hyperlink" Target="http://www.sec.gov/cgi-bin/browse-edgar?action=getcompany&amp;CIK=0001554853" TargetMode="External"/><Relationship Id="rId15" Type="http://schemas.openxmlformats.org/officeDocument/2006/relationships/hyperlink" Target="http://www.sec.gov/cgi-bin/browse-edgar?action=getcompany&amp;CIK=0001554852" TargetMode="External"/><Relationship Id="rId17" Type="http://schemas.openxmlformats.org/officeDocument/2006/relationships/hyperlink" Target="http://www.sec.gov/cgi-bin/browse-edgar?action=getcompany&amp;CIK=0001658787" TargetMode="External"/><Relationship Id="rId18" Type="http://schemas.openxmlformats.org/officeDocument/2006/relationships/hyperlink" Target="http://www.sec.gov/cgi-bin/browse-edgar?action=getcompany&amp;CIK=0001555729" TargetMode="External"/><Relationship Id="rId19" Type="http://schemas.openxmlformats.org/officeDocument/2006/relationships/hyperlink" Target="http://www.sec.gov/cgi-bin/browse-edgar?action=getcompany&amp;CIK=00011628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2020-11-23T20:53:33Z</dcterms:created>
  <dcterms:modified xsi:type="dcterms:W3CDTF">2020-11-23T20:53:33Z</dcterms:modified>
</cp:coreProperties>
</file>