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Sotera Health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83601L102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71" w:orient="portrait"/>
          <w:cols w:equalWidth="0" w:num="2">
            <w:col w:w="1100" w:space="60"/>
            <w:col w:w="9740"/>
          </w:cols>
          <w:pgMar w:left="320" w:top="166" w:right="679" w:bottom="0" w:gutter="0" w:footer="0" w:header="0"/>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LP ("Sculptor"), a Delaware limited partnership, is the principal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manager to a number of private funds and discretionary accounts (collectively, the "Accounts").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II LP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21,000,000.00</w:t>
      </w:r>
    </w:p>
    <w:p>
      <w:pPr>
        <w:sectPr>
          <w:pgSz w:w="11900" w:h="16871" w:orient="portrait"/>
          <w:cols w:equalWidth="0" w:num="1">
            <w:col w:w="10900"/>
          </w:cols>
          <w:pgMar w:left="320" w:top="166" w:right="679" w:bottom="0" w:gutter="0" w:footer="0" w:header="0"/>
          <w:type w:val="continuous"/>
        </w:sectPr>
      </w:pPr>
    </w:p>
    <w:bookmarkStart w:id="2" w:name="page3"/>
    <w:bookmarkEnd w:id="2"/>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10</w:t>
      </w:r>
      <w:r>
        <w:rPr>
          <w:sz w:val="20"/>
          <w:szCs w:val="20"/>
          <w:color w:val="auto"/>
        </w:rPr>
        <w:tab/>
      </w:r>
      <w:r>
        <w:rPr>
          <w:rFonts w:ascii="Times New Roman" w:cs="Times New Roman" w:eastAsia="Times New Roman" w:hAnsi="Times New Roman"/>
          <w:sz w:val="22"/>
          <w:szCs w:val="22"/>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165735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II LP ("Sculptor-II"), a Delaware limited partnership that is wholly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owned by Sculptor, also serves as the investment manager to certain of the Accounts. The Ordinary Shares reported in this Schedule 13G are held in the Account(s) managed by Sculptor and Sculptor-II.</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Holding Corp</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140"/>
          </w:cols>
          <w:pgMar w:left="320" w:top="111" w:right="439" w:bottom="507" w:gutter="0" w:footer="0" w:header="0"/>
        </w:sectPr>
      </w:pP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80"/>
          </w:cols>
          <w:pgMar w:left="320" w:top="111" w:right="439" w:bottom="507" w:gutter="0" w:footer="0" w:header="0"/>
          <w:type w:val="continuous"/>
        </w:sectPr>
      </w:pPr>
    </w:p>
    <w:p>
      <w:pPr>
        <w:spacing w:after="0" w:line="70"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Holding Corporation ("SCHC"), a Delaware corporation, serves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general partner of Sculptor.</w:t>
      </w:r>
    </w:p>
    <w:p>
      <w:pPr>
        <w:sectPr>
          <w:pgSz w:w="11900" w:h="16838" w:orient="portrait"/>
          <w:cols w:equalWidth="0" w:num="1">
            <w:col w:w="11140"/>
          </w:cols>
          <w:pgMar w:left="320" w:top="111" w:right="439" w:bottom="507"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Holding II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220"/>
          </w:cols>
          <w:pgMar w:left="320" w:top="110" w:right="359" w:bottom="46"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10060"/>
          </w:cols>
          <w:pgMar w:left="320" w:top="110" w:right="359" w:bottom="46" w:gutter="0" w:footer="0" w:header="0"/>
          <w:type w:val="continuous"/>
        </w:sectPr>
      </w:pPr>
    </w:p>
    <w:p>
      <w:pPr>
        <w:spacing w:after="0" w:line="7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Capital Holding II LLC ("SCHC-II"), a Delaware limited liability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is wholly owned by Sculptor, serves as the general partner of Sculptor-II.</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Capital Management, Inc.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hanging="1112"/>
        <w:spacing w:after="0"/>
        <w:tabs>
          <w:tab w:leader="none" w:pos="116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20"/>
          </w:cols>
          <w:pgMar w:left="320" w:top="110" w:right="359" w:bottom="46"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21,000,000.00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100" w:space="60"/>
            <w:col w:w="9920"/>
          </w:cols>
          <w:pgMar w:left="320" w:top="112" w:right="499" w:bottom="0" w:gutter="0" w:footer="0" w:header="0"/>
        </w:sectPr>
      </w:pPr>
    </w:p>
    <w:p>
      <w:pPr>
        <w:spacing w:after="0" w:line="7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Sculptor Capital Management, Inc. ("SCU"), a Delaware limited liability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 holding company that is the sole shareholder of SCHC and the ultimate parent company of Sculptor and Sculptor-II.</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83601L102</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Sculptor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9"/>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CAYMAN ISLANDS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21,000,000.00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21,000,000.00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080"/>
          </w:cols>
          <w:pgMar w:left="320" w:top="112" w:right="499" w:bottom="0" w:gutter="0" w:footer="0" w:header="0"/>
          <w:type w:val="continuous"/>
        </w:sectPr>
      </w:pPr>
    </w:p>
    <w:bookmarkStart w:id="5" w:name="page6"/>
    <w:bookmarkEnd w:id="5"/>
    <w:p>
      <w:pPr>
        <w:spacing w:after="0" w:line="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21,000,000.00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7.39 %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CO</w:t>
      </w:r>
    </w:p>
    <w:p>
      <w:pPr>
        <w:spacing w:after="0" w:line="24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Sculptor Master Fund, Ltd. ("SCMF") is a Cayman Islands company. Sculptor is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investment adviser to SCMF.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Sotera Health Company</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9100 South Hills Blvd, Suite 300 Broadview Heights, Ohio 44147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9 West 57th Street, 40th Floor, New York, NY 10019</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$0.01 per share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83601L102</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680" w:hanging="912"/>
        <w:spacing w:after="0" w:line="185" w:lineRule="auto"/>
        <w:tabs>
          <w:tab w:leader="none" w:pos="960" w:val="left"/>
        </w:tabs>
        <w:numPr>
          <w:ilvl w:val="0"/>
          <w:numId w:val="12"/>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21,000,000</w:t>
      </w:r>
    </w:p>
    <w:p>
      <w:pPr>
        <w:sectPr>
          <w:pgSz w:w="11900" w:h="16844" w:orient="portrait"/>
          <w:cols w:equalWidth="0" w:num="1">
            <w:col w:w="11180"/>
          </w:cols>
          <w:pgMar w:left="320" w:top="111" w:right="399" w:bottom="0" w:gutter="0" w:footer="0" w:header="0"/>
        </w:sectPr>
      </w:pPr>
    </w:p>
    <w:bookmarkStart w:id="6" w:name="page7"/>
    <w:bookmarkEnd w:id="6"/>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7.39% %</w:t>
      </w:r>
    </w:p>
    <w:p>
      <w:pPr>
        <w:spacing w:after="0" w:line="44"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40"/>
          </w:cols>
          <w:pgMar w:left="360" w:top="111"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left="260" w:hanging="254"/>
        <w:spacing w:after="0"/>
        <w:tabs>
          <w:tab w:leader="none" w:pos="2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21,000,000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21,000,000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33" w:lineRule="auto"/>
        <w:rPr>
          <w:sz w:val="20"/>
          <w:szCs w:val="20"/>
          <w:color w:val="auto"/>
        </w:rPr>
      </w:pPr>
      <w:r>
        <w:rPr>
          <w:rFonts w:ascii="Times New Roman" w:cs="Times New Roman" w:eastAsia="Times New Roman" w:hAnsi="Times New Roman"/>
          <w:sz w:val="22"/>
          <w:szCs w:val="22"/>
          <w:color w:val="auto"/>
        </w:rPr>
        <w:t>Sculptor and Sculptor-II serve as the principal investment managers to the Accounts and thus may be deemed beneficial owners of the Units/Ordinary Shares in the Accounts managed by Sculptor and Sculptor-II. SCHC-II serves as the sole general partner of Sculptor-II and is wholly owned by Sculptor. SCHC serves as the sole general partner of Sculptor. As such, SCHC and SCHC-II may be deemed to control Sculptor as well as Sculptor-II and, therefore, may be deemed to be the beneficial owners of the Ordinary Shares reported in this Schedule 13G. SCU is the sole shareholder of SCHC, and, for purposes of this Schedule 13G, may be deemed a beneficial owner of the Ordinary Shares reported herein. In accordance with SEC Release No. 34-39538 (January 12, 1998) (the "Release"), this Schedule 13G reflects the securities beneficially owned, or deemed to be beneficially owned, by certain business units (collectively, the "Reporting Business Units") of Sculptor Capital LP and its subsidiaries and affiliates. It does not include securities, if any, beneficially owned by other business units whose beneficial ownership of securities are disaggregated from that of the Reporting Business Units in accordance with the Release. The percentages reported in this Schedule 13G have been calculated based on 284,093,929 Common Shares outstanding, as set forth in the Issuer's 10-Q filed November 4, 2025.</w:t>
      </w:r>
    </w:p>
    <w:p>
      <w:pPr>
        <w:spacing w:after="0" w:line="20"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1"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Item 6</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22"/>
          <w:szCs w:val="22"/>
          <w:color w:val="auto"/>
        </w:rPr>
        <w:t>Sculptor Capital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Sculptor Capital II LP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Sculptor Capital Holding Corp</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22"/>
          <w:szCs w:val="22"/>
          <w:color w:val="auto"/>
        </w:rPr>
        <w:t>Sculptor Capital Holding II LLC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2"/>
          <w:szCs w:val="22"/>
          <w:color w:val="auto"/>
        </w:rPr>
        <w:t>Sculptor Capital Management, Inc.</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Sculptor Master Fund, Ltd.</w:t>
      </w:r>
    </w:p>
    <w:p>
      <w:pPr>
        <w:spacing w:after="0" w:line="152"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Ellen Conti</w:t>
      </w:r>
    </w:p>
    <w:p>
      <w:pPr>
        <w:spacing w:after="0" w:line="44"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color w:val="auto"/>
        </w:rPr>
        <w:t>Name/Title: Ellen Conti / Chief Financial Officer</w:t>
      </w:r>
    </w:p>
    <w:p>
      <w:pPr>
        <w:spacing w:after="0" w:line="44" w:lineRule="exact"/>
        <w:rPr>
          <w:sz w:val="20"/>
          <w:szCs w:val="20"/>
          <w:color w:val="auto"/>
        </w:rPr>
      </w:pPr>
    </w:p>
    <w:p>
      <w:pPr>
        <w:ind w:left="3380"/>
        <w:spacing w:after="0"/>
        <w:tabs>
          <w:tab w:leader="none" w:pos="44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02/13/2026</w:t>
      </w:r>
    </w:p>
    <w:sectPr>
      <w:pgSz w:w="11900" w:h="16838" w:orient="portrait"/>
      <w:cols w:equalWidth="0" w:num="1">
        <w:col w:w="10060"/>
      </w:cols>
      <w:pgMar w:left="1440" w:top="11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545E146"/>
    <w:multiLevelType w:val="hybridMultilevel"/>
    <w:lvl w:ilvl="0">
      <w:lvlJc w:val="left"/>
      <w:lvlText w:val="2"/>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2"/>
      <w:numFmt w:val="bullet"/>
      <w:start w:val="1"/>
    </w:lvl>
  </w:abstractNum>
  <w:abstractNum w:abstractNumId="3">
    <w:nsid w:val="12200854"/>
    <w:multiLevelType w:val="hybridMultilevel"/>
    <w:lvl w:ilvl="0">
      <w:lvlJc w:val="left"/>
      <w:lvlText w:val="3"/>
      <w:numFmt w:val="bullet"/>
      <w:start w:val="1"/>
    </w:lvl>
  </w:abstractNum>
  <w:abstractNum w:abstractNumId="4">
    <w:nsid w:val="4DB127F8"/>
    <w:multiLevelType w:val="hybridMultilevel"/>
    <w:lvl w:ilvl="0">
      <w:lvlJc w:val="left"/>
      <w:lvlText w:val="2"/>
      <w:numFmt w:val="bullet"/>
      <w:start w:val="1"/>
    </w:lvl>
  </w:abstractNum>
  <w:abstractNum w:abstractNumId="5">
    <w:nsid w:val="216231B"/>
    <w:multiLevelType w:val="hybridMultilevel"/>
    <w:lvl w:ilvl="0">
      <w:lvlJc w:val="left"/>
      <w:lvlText w:val="2"/>
      <w:numFmt w:val="bullet"/>
      <w:start w:val="1"/>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4"/>
      <w:numFmt w:val="bullet"/>
      <w:start w:val="1"/>
    </w:lvl>
  </w:abstractNum>
  <w:abstractNum w:abstractNumId="8">
    <w:nsid w:val="66EF438D"/>
    <w:multiLevelType w:val="hybridMultilevel"/>
    <w:lvl w:ilvl="0">
      <w:lvlJc w:val="left"/>
      <w:lvlText w:val="2"/>
      <w:numFmt w:val="bullet"/>
      <w:start w:val="1"/>
    </w:lvl>
  </w:abstractNum>
  <w:abstractNum w:abstractNumId="9">
    <w:nsid w:val="140E0F76"/>
    <w:multiLevelType w:val="hybridMultilevel"/>
    <w:lvl w:ilvl="0">
      <w:lvlJc w:val="left"/>
      <w:lvlText w:val="3"/>
      <w:numFmt w:val="bullet"/>
      <w:start w:val="1"/>
    </w:lvl>
  </w:abstractNum>
  <w:abstractNum w:abstractNumId="10">
    <w:nsid w:val="3352255A"/>
    <w:multiLevelType w:val="hybridMultilevel"/>
    <w:lvl w:ilvl="0">
      <w:lvlJc w:val="left"/>
      <w:lvlText w:val="9"/>
      <w:numFmt w:val="bullet"/>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11"/>
    </w:lvl>
  </w:abstractNum>
  <w:abstractNum w:abstractNumId="13">
    <w:nsid w:val="7FDCC233"/>
    <w:multiLevelType w:val="hybridMultilevel"/>
    <w:lvl w:ilvl="0">
      <w:lvlJc w:val="left"/>
      <w:lvlText w:val="(%1)"/>
      <w:numFmt w:val="lowerLetter"/>
      <w:start w:val="2"/>
    </w:lvl>
  </w:abstractNum>
  <w:abstractNum w:abstractNumId="14">
    <w:nsid w:val="1BEFD79F"/>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2026-02-13T17:45:55Z</dcterms:created>
  <dcterms:modified xsi:type="dcterms:W3CDTF">2026-02-13T17:45:55Z</dcterms:modified>
</cp:coreProperties>
</file>