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815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815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3620"/>
        <w:spacing w:after="0"/>
        <w:rPr>
          <w:sz w:val="20"/>
          <w:szCs w:val="20"/>
          <w:color w:val="auto"/>
        </w:rPr>
      </w:pPr>
      <w:r>
        <w:rPr>
          <w:rFonts w:ascii="Arial" w:cs="Arial" w:eastAsia="Arial" w:hAnsi="Arial"/>
          <w:sz w:val="36"/>
          <w:szCs w:val="36"/>
          <w:color w:val="FFFFFF"/>
        </w:rPr>
        <w:t>2025 Annual Report</w:t>
      </w:r>
    </w:p>
    <w:p>
      <w:pPr>
        <w:sectPr>
          <w:pgSz w:w="11880" w:h="15480" w:orient="portrait"/>
          <w:cols w:equalWidth="0" w:num="1">
            <w:col w:w="9640"/>
          </w:cols>
          <w:pgMar w:left="1440" w:top="1440" w:right="800" w:bottom="384" w:gutter="0" w:footer="0" w:header="0"/>
        </w:sectPr>
      </w:pPr>
    </w:p>
    <w:p>
      <w:pPr>
        <w:spacing w:after="0" w:line="45" w:lineRule="exact"/>
        <w:rPr>
          <w:sz w:val="24"/>
          <w:szCs w:val="24"/>
          <w:color w:val="auto"/>
        </w:rPr>
      </w:pPr>
    </w:p>
    <w:p>
      <w:pPr>
        <w:ind w:left="3560"/>
        <w:spacing w:after="0" w:line="333" w:lineRule="auto"/>
        <w:rPr>
          <w:sz w:val="20"/>
          <w:szCs w:val="20"/>
          <w:color w:val="auto"/>
        </w:rPr>
      </w:pPr>
      <w:r>
        <w:rPr>
          <w:rFonts w:ascii="Arial" w:cs="Arial" w:eastAsia="Arial" w:hAnsi="Arial"/>
          <w:sz w:val="96"/>
          <w:szCs w:val="96"/>
          <w:color w:val="00074E"/>
        </w:rPr>
        <w:t>Safeguarding Global Health</w:t>
      </w:r>
      <w:r>
        <w:rPr>
          <w:rFonts w:ascii="Arial" w:cs="Arial" w:eastAsia="Arial" w:hAnsi="Arial"/>
          <w:sz w:val="29"/>
          <w:szCs w:val="29"/>
          <w:color w:val="00074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-901065</wp:posOffset>
            </wp:positionV>
            <wp:extent cx="7543800" cy="1504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1504315"/>
                    </a:xfrm>
                    <a:prstGeom prst="rect">
                      <a:avLst/>
                    </a:prstGeom>
                    <a:noFill/>
                  </pic:spPr>
                </pic:pic>
              </a:graphicData>
            </a:graphic>
          </wp:anchor>
        </w:drawing>
      </w:r>
    </w:p>
    <w:p>
      <w:pPr>
        <w:sectPr>
          <w:pgSz w:w="11880" w:h="15480" w:orient="portrait"/>
          <w:cols w:equalWidth="0" w:num="1">
            <w:col w:w="9640"/>
          </w:cols>
          <w:pgMar w:left="1440" w:top="1440" w:right="800" w:bottom="384" w:gutter="0" w:footer="0" w:header="0"/>
          <w:type w:val="continuous"/>
        </w:sectPr>
      </w:pPr>
    </w:p>
    <w:bookmarkStart w:id="1" w:name="page2"/>
    <w:bookmarkEnd w:id="1"/>
    <w:p>
      <w:pPr>
        <w:ind w:left="1080" w:right="3420"/>
        <w:spacing w:after="0" w:line="312" w:lineRule="auto"/>
        <w:rPr>
          <w:sz w:val="20"/>
          <w:szCs w:val="20"/>
          <w:color w:val="auto"/>
        </w:rPr>
      </w:pPr>
      <w:r>
        <w:rPr>
          <w:rFonts w:ascii="Arial" w:cs="Arial" w:eastAsia="Arial" w:hAnsi="Arial"/>
          <w:sz w:val="58"/>
          <w:szCs w:val="58"/>
          <w:color w:val="00074E"/>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Our Commitment to Safeguarding Global Health</w:t>
      </w:r>
      <w:r>
        <w:rPr>
          <w:rFonts w:ascii="Arial" w:cs="Arial" w:eastAsia="Arial" w:hAnsi="Arial"/>
          <w:sz w:val="22"/>
          <w:szCs w:val="22"/>
          <w:color w:val="00074E"/>
        </w:rPr>
        <w:t>®</w:t>
      </w:r>
    </w:p>
    <w:p>
      <w:pPr>
        <w:spacing w:after="0" w:line="200" w:lineRule="exact"/>
        <w:rPr>
          <w:sz w:val="20"/>
          <w:szCs w:val="20"/>
          <w:color w:val="auto"/>
        </w:rPr>
      </w:pPr>
    </w:p>
    <w:p>
      <w:pPr>
        <w:spacing w:after="0" w:line="374" w:lineRule="exact"/>
        <w:rPr>
          <w:sz w:val="20"/>
          <w:szCs w:val="20"/>
          <w:color w:val="auto"/>
        </w:rPr>
      </w:pPr>
    </w:p>
    <w:p>
      <w:pPr>
        <w:ind w:left="1080" w:right="1820"/>
        <w:spacing w:after="0" w:line="334" w:lineRule="auto"/>
        <w:rPr>
          <w:sz w:val="20"/>
          <w:szCs w:val="20"/>
          <w:color w:val="auto"/>
        </w:rPr>
      </w:pPr>
      <w:r>
        <w:rPr>
          <w:rFonts w:ascii="Arial" w:cs="Arial" w:eastAsia="Arial" w:hAnsi="Arial"/>
          <w:sz w:val="21"/>
          <w:szCs w:val="21"/>
          <w:b w:val="1"/>
          <w:bCs w:val="1"/>
          <w:color w:val="00074E"/>
        </w:rPr>
        <w:t xml:space="preserve">Sotera Health Company (Nasdaq: SHC) is a leading global provider </w:t>
      </w:r>
      <w:r>
        <w:rPr>
          <w:rFonts w:ascii="Arial" w:cs="Arial" w:eastAsia="Arial" w:hAnsi="Arial"/>
          <w:sz w:val="21"/>
          <w:szCs w:val="21"/>
          <w:color w:val="00074E"/>
        </w:rPr>
        <w:t>of mission-critical end-to-end</w:t>
      </w:r>
      <w:r>
        <w:rPr>
          <w:rFonts w:ascii="Arial" w:cs="Arial" w:eastAsia="Arial" w:hAnsi="Arial"/>
          <w:sz w:val="21"/>
          <w:szCs w:val="21"/>
          <w:b w:val="1"/>
          <w:bCs w:val="1"/>
          <w:color w:val="00074E"/>
        </w:rPr>
        <w:t xml:space="preserve"> </w:t>
      </w:r>
      <w:r>
        <w:rPr>
          <w:rFonts w:ascii="Arial" w:cs="Arial" w:eastAsia="Arial" w:hAnsi="Arial"/>
          <w:sz w:val="21"/>
          <w:szCs w:val="21"/>
          <w:color w:val="00074E"/>
        </w:rPr>
        <w:t>sterilization solutions, lab testing and advisory services for the healthcare industry. The name, Sotera Health, was inspired by Soteria, the Greek goddess of safety, and reflects the Company’s unwavering commitment to its mission, Safeguarding Global Health</w:t>
      </w:r>
      <w:r>
        <w:rPr>
          <w:rFonts w:ascii="Arial" w:cs="Arial" w:eastAsia="Arial" w:hAnsi="Arial"/>
          <w:sz w:val="12"/>
          <w:szCs w:val="12"/>
          <w:color w:val="00074E"/>
        </w:rPr>
        <w:t>®</w:t>
      </w:r>
      <w:r>
        <w:rPr>
          <w:rFonts w:ascii="Arial" w:cs="Arial" w:eastAsia="Arial" w:hAnsi="Arial"/>
          <w:sz w:val="21"/>
          <w:szCs w:val="21"/>
          <w:color w:val="00074E"/>
        </w:rPr>
        <w:t>.</w:t>
      </w:r>
    </w:p>
    <w:p>
      <w:pPr>
        <w:spacing w:after="0" w:line="200" w:lineRule="exact"/>
        <w:rPr>
          <w:sz w:val="20"/>
          <w:szCs w:val="20"/>
          <w:color w:val="auto"/>
        </w:rPr>
      </w:pPr>
    </w:p>
    <w:p>
      <w:pPr>
        <w:spacing w:after="0" w:line="362" w:lineRule="exact"/>
        <w:rPr>
          <w:sz w:val="20"/>
          <w:szCs w:val="20"/>
          <w:color w:val="auto"/>
        </w:rPr>
      </w:pPr>
    </w:p>
    <w:p>
      <w:pPr>
        <w:ind w:left="1080"/>
        <w:spacing w:after="0"/>
        <w:rPr>
          <w:sz w:val="20"/>
          <w:szCs w:val="20"/>
          <w:color w:val="auto"/>
        </w:rPr>
      </w:pPr>
      <w:r>
        <w:rPr>
          <w:rFonts w:ascii="Arial" w:cs="Arial" w:eastAsia="Arial" w:hAnsi="Arial"/>
          <w:sz w:val="25"/>
          <w:szCs w:val="25"/>
          <w:color w:val="FFFFFF"/>
        </w:rPr>
        <w:t>Company Highlights</w:t>
      </w:r>
    </w:p>
    <w:p>
      <w:pPr>
        <w:spacing w:after="0" w:line="329" w:lineRule="exact"/>
        <w:rPr>
          <w:sz w:val="20"/>
          <w:szCs w:val="20"/>
          <w:color w:val="auto"/>
        </w:rPr>
      </w:pPr>
    </w:p>
    <w:tbl>
      <w:tblPr>
        <w:tblLayout w:type="fixed"/>
        <w:tblInd w:w="1320" w:type="dxa"/>
        <w:tblCellMar>
          <w:top w:w="0" w:type="dxa"/>
          <w:left w:w="0" w:type="dxa"/>
          <w:bottom w:w="0" w:type="dxa"/>
          <w:right w:w="0" w:type="dxa"/>
        </w:tblCellMar>
      </w:tblPr>
      <w:tr>
        <w:trPr>
          <w:trHeight w:val="210"/>
        </w:trPr>
        <w:tc>
          <w:tcPr>
            <w:tcW w:w="34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900" w:type="dxa"/>
            <w:vAlign w:val="bottom"/>
            <w:shd w:val="clear" w:color="auto" w:fill="000000"/>
          </w:tcPr>
          <w:p>
            <w:pPr>
              <w:spacing w:after="0"/>
              <w:rPr>
                <w:sz w:val="18"/>
                <w:szCs w:val="18"/>
                <w:color w:val="auto"/>
              </w:rPr>
            </w:pPr>
          </w:p>
        </w:tc>
        <w:tc>
          <w:tcPr>
            <w:tcW w:w="400" w:type="dxa"/>
            <w:vAlign w:val="bottom"/>
            <w:shd w:val="clear" w:color="auto" w:fill="000000"/>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shd w:val="clear" w:color="auto" w:fill="000000"/>
          </w:tcPr>
          <w:p>
            <w:pPr>
              <w:spacing w:after="0"/>
              <w:rPr>
                <w:sz w:val="18"/>
                <w:szCs w:val="18"/>
                <w:color w:val="auto"/>
              </w:rPr>
            </w:pPr>
          </w:p>
        </w:tc>
        <w:tc>
          <w:tcPr>
            <w:tcW w:w="1380" w:type="dxa"/>
            <w:vAlign w:val="bottom"/>
            <w:shd w:val="clear" w:color="auto" w:fill="000000"/>
          </w:tcPr>
          <w:p>
            <w:pPr>
              <w:spacing w:after="0"/>
              <w:rPr>
                <w:sz w:val="18"/>
                <w:szCs w:val="18"/>
                <w:color w:val="auto"/>
              </w:rPr>
            </w:pPr>
          </w:p>
        </w:tc>
        <w:tc>
          <w:tcPr>
            <w:tcW w:w="3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shd w:val="clear" w:color="auto" w:fill="000000"/>
          </w:tcPr>
          <w:p>
            <w:pPr>
              <w:spacing w:after="0"/>
              <w:rPr>
                <w:sz w:val="18"/>
                <w:szCs w:val="18"/>
                <w:color w:val="auto"/>
              </w:rPr>
            </w:pPr>
          </w:p>
        </w:tc>
        <w:tc>
          <w:tcPr>
            <w:tcW w:w="1260" w:type="dxa"/>
            <w:vAlign w:val="bottom"/>
            <w:shd w:val="clear" w:color="auto" w:fill="000000"/>
          </w:tcPr>
          <w:p>
            <w:pPr>
              <w:spacing w:after="0"/>
              <w:rPr>
                <w:sz w:val="18"/>
                <w:szCs w:val="18"/>
                <w:color w:val="auto"/>
              </w:rPr>
            </w:pPr>
          </w:p>
        </w:tc>
        <w:tc>
          <w:tcPr>
            <w:tcW w:w="380" w:type="dxa"/>
            <w:vAlign w:val="bottom"/>
            <w:shd w:val="clear" w:color="auto" w:fill="000000"/>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shd w:val="clear" w:color="auto" w:fill="000000"/>
          </w:tcPr>
          <w:p>
            <w:pPr>
              <w:spacing w:after="0"/>
              <w:rPr>
                <w:sz w:val="18"/>
                <w:szCs w:val="18"/>
                <w:color w:val="auto"/>
              </w:rPr>
            </w:pPr>
          </w:p>
        </w:tc>
        <w:tc>
          <w:tcPr>
            <w:tcW w:w="1040" w:type="dxa"/>
            <w:vAlign w:val="bottom"/>
            <w:shd w:val="clear" w:color="auto" w:fill="000000"/>
          </w:tcPr>
          <w:p>
            <w:pPr>
              <w:spacing w:after="0"/>
              <w:rPr>
                <w:sz w:val="18"/>
                <w:szCs w:val="18"/>
                <w:color w:val="auto"/>
              </w:rPr>
            </w:pPr>
          </w:p>
        </w:tc>
        <w:tc>
          <w:tcPr>
            <w:tcW w:w="480" w:type="dxa"/>
            <w:vAlign w:val="bottom"/>
            <w:shd w:val="clear" w:color="auto" w:fill="000000"/>
          </w:tcPr>
          <w:p>
            <w:pPr>
              <w:spacing w:after="0"/>
              <w:rPr>
                <w:sz w:val="18"/>
                <w:szCs w:val="18"/>
                <w:color w:val="auto"/>
              </w:rPr>
            </w:pPr>
          </w:p>
        </w:tc>
      </w:tr>
      <w:tr>
        <w:trPr>
          <w:trHeight w:val="74"/>
        </w:trPr>
        <w:tc>
          <w:tcPr>
            <w:tcW w:w="340" w:type="dxa"/>
            <w:vAlign w:val="bottom"/>
            <w:tcBorders>
              <w:bottom w:val="single" w:sz="8" w:color="auto"/>
            </w:tcBorders>
            <w:shd w:val="clear" w:color="auto" w:fill="000000"/>
          </w:tcPr>
          <w:p>
            <w:pPr>
              <w:spacing w:after="0"/>
              <w:rPr>
                <w:sz w:val="6"/>
                <w:szCs w:val="6"/>
                <w:color w:val="auto"/>
              </w:rPr>
            </w:pPr>
          </w:p>
        </w:tc>
        <w:tc>
          <w:tcPr>
            <w:tcW w:w="200" w:type="dxa"/>
            <w:vAlign w:val="bottom"/>
            <w:tcBorders>
              <w:bottom w:val="single" w:sz="8" w:color="auto"/>
            </w:tcBorders>
            <w:shd w:val="clear" w:color="auto" w:fill="000000"/>
          </w:tcPr>
          <w:p>
            <w:pPr>
              <w:spacing w:after="0"/>
              <w:rPr>
                <w:sz w:val="6"/>
                <w:szCs w:val="6"/>
                <w:color w:val="auto"/>
              </w:rPr>
            </w:pPr>
          </w:p>
        </w:tc>
        <w:tc>
          <w:tcPr>
            <w:tcW w:w="100" w:type="dxa"/>
            <w:vAlign w:val="bottom"/>
            <w:tcBorders>
              <w:bottom w:val="single" w:sz="8" w:color="auto"/>
            </w:tcBorders>
            <w:shd w:val="clear" w:color="auto" w:fill="000000"/>
          </w:tcPr>
          <w:p>
            <w:pPr>
              <w:spacing w:after="0"/>
              <w:rPr>
                <w:sz w:val="6"/>
                <w:szCs w:val="6"/>
                <w:color w:val="auto"/>
              </w:rPr>
            </w:pPr>
          </w:p>
        </w:tc>
        <w:tc>
          <w:tcPr>
            <w:tcW w:w="900" w:type="dxa"/>
            <w:vAlign w:val="bottom"/>
            <w:tcBorders>
              <w:bottom w:val="single" w:sz="8" w:color="auto"/>
            </w:tcBorders>
            <w:shd w:val="clear" w:color="auto" w:fill="000000"/>
          </w:tcPr>
          <w:p>
            <w:pPr>
              <w:spacing w:after="0"/>
              <w:rPr>
                <w:sz w:val="6"/>
                <w:szCs w:val="6"/>
                <w:color w:val="auto"/>
              </w:rPr>
            </w:pPr>
          </w:p>
        </w:tc>
        <w:tc>
          <w:tcPr>
            <w:tcW w:w="400" w:type="dxa"/>
            <w:vAlign w:val="bottom"/>
            <w:tcBorders>
              <w:bottom w:val="single" w:sz="8" w:color="auto"/>
            </w:tcBorders>
            <w:shd w:val="clear" w:color="auto" w:fill="000000"/>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Borders>
              <w:bottom w:val="single" w:sz="8" w:color="auto"/>
            </w:tcBorders>
            <w:shd w:val="clear" w:color="auto" w:fill="000000"/>
          </w:tcPr>
          <w:p>
            <w:pPr>
              <w:spacing w:after="0"/>
              <w:rPr>
                <w:sz w:val="6"/>
                <w:szCs w:val="6"/>
                <w:color w:val="auto"/>
              </w:rPr>
            </w:pPr>
          </w:p>
        </w:tc>
        <w:tc>
          <w:tcPr>
            <w:tcW w:w="1380" w:type="dxa"/>
            <w:vAlign w:val="bottom"/>
          </w:tcPr>
          <w:p>
            <w:pPr>
              <w:spacing w:after="0"/>
              <w:rPr>
                <w:sz w:val="6"/>
                <w:szCs w:val="6"/>
                <w:color w:val="auto"/>
              </w:rPr>
            </w:pPr>
          </w:p>
        </w:tc>
        <w:tc>
          <w:tcPr>
            <w:tcW w:w="320" w:type="dxa"/>
            <w:vAlign w:val="bottom"/>
            <w:tcBorders>
              <w:bottom w:val="single" w:sz="8" w:color="auto"/>
            </w:tcBorders>
            <w:shd w:val="clear" w:color="auto" w:fill="000000"/>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Borders>
              <w:bottom w:val="single" w:sz="8" w:color="auto"/>
            </w:tcBorders>
            <w:shd w:val="clear" w:color="auto" w:fill="000000"/>
          </w:tcPr>
          <w:p>
            <w:pPr>
              <w:spacing w:after="0"/>
              <w:rPr>
                <w:sz w:val="6"/>
                <w:szCs w:val="6"/>
                <w:color w:val="auto"/>
              </w:rPr>
            </w:pPr>
          </w:p>
        </w:tc>
        <w:tc>
          <w:tcPr>
            <w:tcW w:w="1260" w:type="dxa"/>
            <w:vAlign w:val="bottom"/>
            <w:tcBorders>
              <w:bottom w:val="single" w:sz="8" w:color="auto"/>
            </w:tcBorders>
            <w:shd w:val="clear" w:color="auto" w:fill="000000"/>
          </w:tcPr>
          <w:p>
            <w:pPr>
              <w:spacing w:after="0"/>
              <w:rPr>
                <w:sz w:val="6"/>
                <w:szCs w:val="6"/>
                <w:color w:val="auto"/>
              </w:rPr>
            </w:pPr>
          </w:p>
        </w:tc>
        <w:tc>
          <w:tcPr>
            <w:tcW w:w="380" w:type="dxa"/>
            <w:vAlign w:val="bottom"/>
            <w:tcBorders>
              <w:bottom w:val="single" w:sz="8" w:color="auto"/>
            </w:tcBorders>
            <w:shd w:val="clear" w:color="auto" w:fill="000000"/>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Borders>
              <w:bottom w:val="single" w:sz="8" w:color="auto"/>
            </w:tcBorders>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480" w:type="dxa"/>
            <w:vAlign w:val="bottom"/>
            <w:tcBorders>
              <w:bottom w:val="single" w:sz="8" w:color="auto"/>
            </w:tcBorders>
            <w:shd w:val="clear" w:color="auto" w:fill="000000"/>
          </w:tcPr>
          <w:p>
            <w:pPr>
              <w:spacing w:after="0"/>
              <w:rPr>
                <w:sz w:val="6"/>
                <w:szCs w:val="6"/>
                <w:color w:val="auto"/>
              </w:rPr>
            </w:pPr>
          </w:p>
        </w:tc>
      </w:tr>
      <w:tr>
        <w:trPr>
          <w:trHeight w:val="630"/>
        </w:trPr>
        <w:tc>
          <w:tcPr>
            <w:tcW w:w="340" w:type="dxa"/>
            <w:vAlign w:val="bottom"/>
            <w:shd w:val="clear" w:color="auto" w:fill="000000"/>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shd w:val="clear" w:color="auto" w:fill="000000"/>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shd w:val="clear" w:color="auto" w:fill="000000"/>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shd w:val="clear" w:color="auto" w:fill="000000"/>
          </w:tcPr>
          <w:p>
            <w:pPr>
              <w:spacing w:after="0"/>
              <w:rPr>
                <w:sz w:val="24"/>
                <w:szCs w:val="24"/>
                <w:color w:val="auto"/>
              </w:rPr>
            </w:pPr>
          </w:p>
        </w:tc>
      </w:tr>
      <w:tr>
        <w:trPr>
          <w:trHeight w:val="232"/>
        </w:trPr>
        <w:tc>
          <w:tcPr>
            <w:tcW w:w="34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shd w:val="clear" w:color="auto" w:fill="00074E"/>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shd w:val="clear" w:color="auto" w:fill="000000"/>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shd w:val="clear" w:color="auto" w:fill="000000"/>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shd w:val="clear" w:color="auto" w:fill="000000"/>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shd w:val="clear" w:color="auto" w:fill="000000"/>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shd w:val="clear" w:color="auto" w:fill="000000"/>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shd w:val="clear" w:color="auto" w:fill="000000"/>
          </w:tcPr>
          <w:p>
            <w:pPr>
              <w:spacing w:after="0"/>
              <w:rPr>
                <w:sz w:val="20"/>
                <w:szCs w:val="20"/>
                <w:color w:val="auto"/>
              </w:rPr>
            </w:pPr>
          </w:p>
        </w:tc>
      </w:tr>
      <w:tr>
        <w:trPr>
          <w:trHeight w:val="316"/>
        </w:trPr>
        <w:tc>
          <w:tcPr>
            <w:tcW w:w="340" w:type="dxa"/>
            <w:vAlign w:val="bottom"/>
            <w:shd w:val="clear" w:color="auto" w:fill="000000"/>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shd w:val="clear" w:color="auto" w:fill="000000"/>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shd w:val="clear" w:color="auto" w:fill="000000"/>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shd w:val="clear" w:color="auto" w:fill="000000"/>
          </w:tcPr>
          <w:p>
            <w:pPr>
              <w:spacing w:after="0"/>
              <w:rPr>
                <w:sz w:val="24"/>
                <w:szCs w:val="24"/>
                <w:color w:val="auto"/>
              </w:rPr>
            </w:pPr>
          </w:p>
        </w:tc>
      </w:tr>
      <w:tr>
        <w:trPr>
          <w:trHeight w:val="83"/>
        </w:trPr>
        <w:tc>
          <w:tcPr>
            <w:tcW w:w="3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1380" w:type="dxa"/>
            <w:vAlign w:val="bottom"/>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1260" w:type="dxa"/>
            <w:vAlign w:val="bottom"/>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shd w:val="clear" w:color="auto" w:fill="000000"/>
          </w:tcPr>
          <w:p>
            <w:pPr>
              <w:spacing w:after="0"/>
              <w:rPr>
                <w:sz w:val="7"/>
                <w:szCs w:val="7"/>
                <w:color w:val="auto"/>
              </w:rPr>
            </w:pPr>
          </w:p>
        </w:tc>
      </w:tr>
      <w:tr>
        <w:trPr>
          <w:trHeight w:val="363"/>
        </w:trPr>
        <w:tc>
          <w:tcPr>
            <w:tcW w:w="340" w:type="dxa"/>
            <w:vAlign w:val="bottom"/>
            <w:tcBorders>
              <w:bottom w:val="single" w:sz="8" w:color="auto"/>
            </w:tcBorders>
            <w:shd w:val="clear" w:color="auto" w:fill="000000"/>
          </w:tcPr>
          <w:p>
            <w:pPr>
              <w:spacing w:after="0"/>
              <w:rPr>
                <w:sz w:val="24"/>
                <w:szCs w:val="24"/>
                <w:color w:val="auto"/>
              </w:rPr>
            </w:pPr>
          </w:p>
        </w:tc>
        <w:tc>
          <w:tcPr>
            <w:tcW w:w="200" w:type="dxa"/>
            <w:vAlign w:val="bottom"/>
            <w:tcBorders>
              <w:bottom w:val="single" w:sz="8" w:color="auto"/>
            </w:tcBorders>
            <w:shd w:val="clear" w:color="auto" w:fill="000000"/>
          </w:tcPr>
          <w:p>
            <w:pPr>
              <w:spacing w:after="0"/>
              <w:rPr>
                <w:sz w:val="24"/>
                <w:szCs w:val="24"/>
                <w:color w:val="auto"/>
              </w:rPr>
            </w:pPr>
          </w:p>
        </w:tc>
        <w:tc>
          <w:tcPr>
            <w:tcW w:w="100" w:type="dxa"/>
            <w:vAlign w:val="bottom"/>
            <w:tcBorders>
              <w:bottom w:val="single" w:sz="8" w:color="auto"/>
            </w:tcBorders>
            <w:shd w:val="clear" w:color="auto" w:fill="000000"/>
          </w:tcPr>
          <w:p>
            <w:pPr>
              <w:spacing w:after="0"/>
              <w:rPr>
                <w:sz w:val="24"/>
                <w:szCs w:val="24"/>
                <w:color w:val="auto"/>
              </w:rPr>
            </w:pPr>
          </w:p>
        </w:tc>
        <w:tc>
          <w:tcPr>
            <w:tcW w:w="900" w:type="dxa"/>
            <w:vAlign w:val="bottom"/>
            <w:tcBorders>
              <w:bottom w:val="single" w:sz="8" w:color="auto"/>
            </w:tcBorders>
            <w:shd w:val="clear" w:color="auto" w:fill="000000"/>
          </w:tcPr>
          <w:p>
            <w:pPr>
              <w:spacing w:after="0"/>
              <w:rPr>
                <w:sz w:val="24"/>
                <w:szCs w:val="24"/>
                <w:color w:val="auto"/>
              </w:rPr>
            </w:pPr>
          </w:p>
        </w:tc>
        <w:tc>
          <w:tcPr>
            <w:tcW w:w="400" w:type="dxa"/>
            <w:vAlign w:val="bottom"/>
            <w:tcBorders>
              <w:bottom w:val="single" w:sz="8" w:color="auto"/>
            </w:tcBorders>
            <w:shd w:val="clear" w:color="auto" w:fill="000000"/>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bottom w:val="single" w:sz="8" w:color="auto"/>
            </w:tcBorders>
            <w:shd w:val="clear" w:color="auto" w:fill="000000"/>
          </w:tcPr>
          <w:p>
            <w:pPr>
              <w:spacing w:after="0"/>
              <w:rPr>
                <w:sz w:val="24"/>
                <w:szCs w:val="24"/>
                <w:color w:val="auto"/>
              </w:rPr>
            </w:pPr>
          </w:p>
        </w:tc>
        <w:tc>
          <w:tcPr>
            <w:tcW w:w="1380" w:type="dxa"/>
            <w:vAlign w:val="bottom"/>
            <w:tcBorders>
              <w:bottom w:val="single" w:sz="8" w:color="auto"/>
            </w:tcBorders>
            <w:shd w:val="clear" w:color="auto" w:fill="000000"/>
          </w:tcPr>
          <w:p>
            <w:pPr>
              <w:spacing w:after="0"/>
              <w:rPr>
                <w:sz w:val="24"/>
                <w:szCs w:val="24"/>
                <w:color w:val="auto"/>
              </w:rPr>
            </w:pPr>
          </w:p>
        </w:tc>
        <w:tc>
          <w:tcPr>
            <w:tcW w:w="320" w:type="dxa"/>
            <w:vAlign w:val="bottom"/>
            <w:tcBorders>
              <w:bottom w:val="single" w:sz="8" w:color="auto"/>
            </w:tcBorders>
            <w:shd w:val="clear" w:color="auto" w:fill="000000"/>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Borders>
              <w:bottom w:val="single" w:sz="8" w:color="auto"/>
            </w:tcBorders>
            <w:shd w:val="clear" w:color="auto" w:fill="000000"/>
          </w:tcPr>
          <w:p>
            <w:pPr>
              <w:spacing w:after="0"/>
              <w:rPr>
                <w:sz w:val="24"/>
                <w:szCs w:val="24"/>
                <w:color w:val="auto"/>
              </w:rPr>
            </w:pPr>
          </w:p>
        </w:tc>
        <w:tc>
          <w:tcPr>
            <w:tcW w:w="1260" w:type="dxa"/>
            <w:vAlign w:val="bottom"/>
            <w:tcBorders>
              <w:bottom w:val="single" w:sz="8" w:color="auto"/>
            </w:tcBorders>
            <w:shd w:val="clear" w:color="auto" w:fill="000000"/>
          </w:tcPr>
          <w:p>
            <w:pPr>
              <w:spacing w:after="0"/>
              <w:rPr>
                <w:sz w:val="24"/>
                <w:szCs w:val="24"/>
                <w:color w:val="auto"/>
              </w:rPr>
            </w:pPr>
          </w:p>
        </w:tc>
        <w:tc>
          <w:tcPr>
            <w:tcW w:w="380" w:type="dxa"/>
            <w:vAlign w:val="bottom"/>
            <w:tcBorders>
              <w:bottom w:val="single" w:sz="8" w:color="auto"/>
            </w:tcBorders>
            <w:shd w:val="clear" w:color="auto" w:fill="000000"/>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1040" w:type="dxa"/>
            <w:vAlign w:val="bottom"/>
            <w:shd w:val="clear" w:color="auto" w:fill="000000"/>
          </w:tcPr>
          <w:p>
            <w:pPr>
              <w:spacing w:after="0"/>
              <w:rPr>
                <w:sz w:val="24"/>
                <w:szCs w:val="24"/>
                <w:color w:val="auto"/>
              </w:rPr>
            </w:pPr>
          </w:p>
        </w:tc>
        <w:tc>
          <w:tcPr>
            <w:tcW w:w="480" w:type="dxa"/>
            <w:vAlign w:val="bottom"/>
            <w:shd w:val="clear" w:color="auto" w:fill="000000"/>
          </w:tcPr>
          <w:p>
            <w:pPr>
              <w:spacing w:after="0"/>
              <w:rPr>
                <w:sz w:val="24"/>
                <w:szCs w:val="24"/>
                <w:color w:val="auto"/>
              </w:rPr>
            </w:pPr>
          </w:p>
        </w:tc>
      </w:tr>
      <w:tr>
        <w:trPr>
          <w:trHeight w:val="447"/>
        </w:trPr>
        <w:tc>
          <w:tcPr>
            <w:tcW w:w="1540" w:type="dxa"/>
            <w:vAlign w:val="bottom"/>
            <w:gridSpan w:val="4"/>
          </w:tcPr>
          <w:p>
            <w:pPr>
              <w:jc w:val="center"/>
              <w:ind w:left="173"/>
              <w:spacing w:after="0" w:line="447" w:lineRule="exact"/>
              <w:rPr>
                <w:sz w:val="20"/>
                <w:szCs w:val="20"/>
                <w:color w:val="auto"/>
              </w:rPr>
            </w:pPr>
            <w:r>
              <w:rPr>
                <w:rFonts w:ascii="Arial" w:cs="Arial" w:eastAsia="Arial" w:hAnsi="Arial"/>
                <w:sz w:val="48"/>
                <w:szCs w:val="48"/>
                <w:color w:val="00074E"/>
                <w:w w:val="90"/>
              </w:rPr>
              <w:t>90+</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gridSpan w:val="3"/>
          </w:tcPr>
          <w:p>
            <w:pPr>
              <w:jc w:val="center"/>
              <w:ind w:right="80"/>
              <w:spacing w:after="0" w:line="447" w:lineRule="exact"/>
              <w:rPr>
                <w:sz w:val="20"/>
                <w:szCs w:val="20"/>
                <w:color w:val="auto"/>
              </w:rPr>
            </w:pPr>
            <w:r>
              <w:rPr>
                <w:rFonts w:ascii="Arial" w:cs="Arial" w:eastAsia="Arial" w:hAnsi="Arial"/>
                <w:sz w:val="22"/>
                <w:szCs w:val="22"/>
                <w:color w:val="00074E"/>
                <w:w w:val="86"/>
              </w:rPr>
              <w:t xml:space="preserve">Over </w:t>
            </w:r>
            <w:r>
              <w:rPr>
                <w:rFonts w:ascii="Arial" w:cs="Arial" w:eastAsia="Arial" w:hAnsi="Arial"/>
                <w:sz w:val="48"/>
                <w:szCs w:val="48"/>
                <w:color w:val="00074E"/>
                <w:w w:val="86"/>
              </w:rPr>
              <w:t>3,000</w:t>
            </w:r>
          </w:p>
        </w:tc>
        <w:tc>
          <w:tcPr>
            <w:tcW w:w="820" w:type="dxa"/>
            <w:vAlign w:val="bottom"/>
          </w:tcPr>
          <w:p>
            <w:pPr>
              <w:spacing w:after="0"/>
              <w:rPr>
                <w:sz w:val="24"/>
                <w:szCs w:val="24"/>
                <w:color w:val="auto"/>
              </w:rPr>
            </w:pPr>
          </w:p>
        </w:tc>
        <w:tc>
          <w:tcPr>
            <w:tcW w:w="1940" w:type="dxa"/>
            <w:vAlign w:val="bottom"/>
            <w:gridSpan w:val="3"/>
          </w:tcPr>
          <w:p>
            <w:pPr>
              <w:jc w:val="center"/>
              <w:ind w:right="80"/>
              <w:spacing w:after="0" w:line="447" w:lineRule="exact"/>
              <w:rPr>
                <w:sz w:val="20"/>
                <w:szCs w:val="20"/>
                <w:color w:val="auto"/>
              </w:rPr>
            </w:pPr>
            <w:r>
              <w:rPr>
                <w:rFonts w:ascii="Arial" w:cs="Arial" w:eastAsia="Arial" w:hAnsi="Arial"/>
                <w:sz w:val="22"/>
                <w:szCs w:val="22"/>
                <w:color w:val="00074E"/>
                <w:w w:val="91"/>
              </w:rPr>
              <w:t xml:space="preserve">Network of </w:t>
            </w:r>
            <w:r>
              <w:rPr>
                <w:rFonts w:ascii="Arial" w:cs="Arial" w:eastAsia="Arial" w:hAnsi="Arial"/>
                <w:sz w:val="48"/>
                <w:szCs w:val="48"/>
                <w:color w:val="00074E"/>
                <w:w w:val="91"/>
              </w:rPr>
              <w:t>63</w:t>
            </w:r>
          </w:p>
        </w:tc>
        <w:tc>
          <w:tcPr>
            <w:tcW w:w="740" w:type="dxa"/>
            <w:vAlign w:val="bottom"/>
          </w:tcPr>
          <w:p>
            <w:pPr>
              <w:spacing w:after="0"/>
              <w:rPr>
                <w:sz w:val="24"/>
                <w:szCs w:val="24"/>
                <w:color w:val="auto"/>
              </w:rPr>
            </w:pPr>
          </w:p>
        </w:tc>
        <w:tc>
          <w:tcPr>
            <w:tcW w:w="1940" w:type="dxa"/>
            <w:vAlign w:val="bottom"/>
            <w:gridSpan w:val="3"/>
          </w:tcPr>
          <w:p>
            <w:pPr>
              <w:jc w:val="center"/>
              <w:ind w:right="80"/>
              <w:spacing w:after="0" w:line="447" w:lineRule="exact"/>
              <w:rPr>
                <w:sz w:val="20"/>
                <w:szCs w:val="20"/>
                <w:color w:val="auto"/>
              </w:rPr>
            </w:pPr>
            <w:r>
              <w:rPr>
                <w:rFonts w:ascii="Arial" w:cs="Arial" w:eastAsia="Arial" w:hAnsi="Arial"/>
                <w:sz w:val="48"/>
                <w:szCs w:val="48"/>
                <w:color w:val="00074E"/>
                <w:w w:val="82"/>
              </w:rPr>
              <w:t>Global</w:t>
            </w:r>
          </w:p>
        </w:tc>
      </w:tr>
      <w:tr>
        <w:trPr>
          <w:trHeight w:val="262"/>
        </w:trPr>
        <w:tc>
          <w:tcPr>
            <w:tcW w:w="1940" w:type="dxa"/>
            <w:vAlign w:val="bottom"/>
            <w:gridSpan w:val="5"/>
          </w:tcPr>
          <w:p>
            <w:pPr>
              <w:jc w:val="center"/>
              <w:ind w:right="80"/>
              <w:spacing w:after="0"/>
              <w:rPr>
                <w:sz w:val="20"/>
                <w:szCs w:val="20"/>
                <w:color w:val="auto"/>
              </w:rPr>
            </w:pPr>
            <w:r>
              <w:rPr>
                <w:rFonts w:ascii="Arial" w:cs="Arial" w:eastAsia="Arial" w:hAnsi="Arial"/>
                <w:sz w:val="20"/>
                <w:szCs w:val="20"/>
                <w:color w:val="00074E"/>
                <w:w w:val="96"/>
              </w:rPr>
              <w:t>years of sterilization</w:t>
            </w:r>
          </w:p>
        </w:tc>
        <w:tc>
          <w:tcPr>
            <w:tcW w:w="700" w:type="dxa"/>
            <w:vAlign w:val="bottom"/>
          </w:tcPr>
          <w:p>
            <w:pPr>
              <w:spacing w:after="0"/>
              <w:rPr>
                <w:sz w:val="22"/>
                <w:szCs w:val="22"/>
                <w:color w:val="auto"/>
              </w:rPr>
            </w:pPr>
          </w:p>
        </w:tc>
        <w:tc>
          <w:tcPr>
            <w:tcW w:w="2760" w:type="dxa"/>
            <w:vAlign w:val="bottom"/>
            <w:gridSpan w:val="4"/>
          </w:tcPr>
          <w:p>
            <w:pPr>
              <w:jc w:val="center"/>
              <w:ind w:right="880"/>
              <w:spacing w:after="0"/>
              <w:rPr>
                <w:sz w:val="20"/>
                <w:szCs w:val="20"/>
                <w:color w:val="auto"/>
              </w:rPr>
            </w:pPr>
            <w:r>
              <w:rPr>
                <w:rFonts w:ascii="Arial" w:cs="Arial" w:eastAsia="Arial" w:hAnsi="Arial"/>
                <w:sz w:val="20"/>
                <w:szCs w:val="20"/>
                <w:color w:val="00074E"/>
                <w:w w:val="91"/>
              </w:rPr>
              <w:t>employees across</w:t>
            </w:r>
          </w:p>
        </w:tc>
        <w:tc>
          <w:tcPr>
            <w:tcW w:w="300" w:type="dxa"/>
            <w:vAlign w:val="bottom"/>
          </w:tcPr>
          <w:p>
            <w:pPr>
              <w:spacing w:after="0"/>
              <w:rPr>
                <w:sz w:val="22"/>
                <w:szCs w:val="22"/>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20"/>
                <w:szCs w:val="20"/>
                <w:color w:val="00074E"/>
                <w:w w:val="96"/>
              </w:rPr>
              <w:t>global facilities</w:t>
            </w:r>
          </w:p>
        </w:tc>
        <w:tc>
          <w:tcPr>
            <w:tcW w:w="740" w:type="dxa"/>
            <w:vAlign w:val="bottom"/>
          </w:tcPr>
          <w:p>
            <w:pPr>
              <w:spacing w:after="0"/>
              <w:rPr>
                <w:sz w:val="22"/>
                <w:szCs w:val="22"/>
                <w:color w:val="auto"/>
              </w:rPr>
            </w:pPr>
          </w:p>
        </w:tc>
        <w:tc>
          <w:tcPr>
            <w:tcW w:w="1940" w:type="dxa"/>
            <w:vAlign w:val="bottom"/>
            <w:gridSpan w:val="3"/>
          </w:tcPr>
          <w:p>
            <w:pPr>
              <w:jc w:val="center"/>
              <w:ind w:right="60"/>
              <w:spacing w:after="0"/>
              <w:rPr>
                <w:sz w:val="20"/>
                <w:szCs w:val="20"/>
                <w:color w:val="auto"/>
              </w:rPr>
            </w:pPr>
            <w:r>
              <w:rPr>
                <w:rFonts w:ascii="Arial" w:cs="Arial" w:eastAsia="Arial" w:hAnsi="Arial"/>
                <w:sz w:val="22"/>
                <w:szCs w:val="22"/>
                <w:color w:val="00074E"/>
                <w:w w:val="93"/>
              </w:rPr>
              <w:t>c</w:t>
            </w:r>
            <w:r>
              <w:rPr>
                <w:rFonts w:ascii="Arial" w:cs="Arial" w:eastAsia="Arial" w:hAnsi="Arial"/>
                <w:sz w:val="20"/>
                <w:szCs w:val="20"/>
                <w:color w:val="00074E"/>
                <w:w w:val="93"/>
              </w:rPr>
              <w:t>ustomer base in</w:t>
            </w:r>
          </w:p>
        </w:tc>
      </w:tr>
      <w:tr>
        <w:trPr>
          <w:trHeight w:val="268"/>
        </w:trPr>
        <w:tc>
          <w:tcPr>
            <w:tcW w:w="1940" w:type="dxa"/>
            <w:vAlign w:val="bottom"/>
            <w:gridSpan w:val="5"/>
          </w:tcPr>
          <w:p>
            <w:pPr>
              <w:jc w:val="center"/>
              <w:ind w:right="80"/>
              <w:spacing w:after="0"/>
              <w:rPr>
                <w:sz w:val="20"/>
                <w:szCs w:val="20"/>
                <w:color w:val="auto"/>
              </w:rPr>
            </w:pPr>
            <w:r>
              <w:rPr>
                <w:rFonts w:ascii="Arial" w:cs="Arial" w:eastAsia="Arial" w:hAnsi="Arial"/>
                <w:sz w:val="20"/>
                <w:szCs w:val="20"/>
                <w:color w:val="00074E"/>
                <w:w w:val="92"/>
              </w:rPr>
              <w:t>and lab services</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20" w:type="dxa"/>
            <w:vAlign w:val="bottom"/>
            <w:gridSpan w:val="3"/>
          </w:tcPr>
          <w:p>
            <w:pPr>
              <w:jc w:val="center"/>
              <w:ind w:right="1140"/>
              <w:spacing w:after="0"/>
              <w:rPr>
                <w:sz w:val="20"/>
                <w:szCs w:val="20"/>
                <w:color w:val="auto"/>
              </w:rPr>
            </w:pPr>
            <w:r>
              <w:rPr>
                <w:rFonts w:ascii="Arial" w:cs="Arial" w:eastAsia="Arial" w:hAnsi="Arial"/>
                <w:sz w:val="20"/>
                <w:szCs w:val="20"/>
                <w:color w:val="00074E"/>
                <w:w w:val="94"/>
              </w:rPr>
              <w:t>the globe</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40" w:type="dxa"/>
            <w:vAlign w:val="bottom"/>
            <w:gridSpan w:val="3"/>
          </w:tcPr>
          <w:p>
            <w:pPr>
              <w:jc w:val="center"/>
              <w:ind w:right="80"/>
              <w:spacing w:after="0"/>
              <w:rPr>
                <w:sz w:val="20"/>
                <w:szCs w:val="20"/>
                <w:color w:val="auto"/>
              </w:rPr>
            </w:pPr>
            <w:r>
              <w:rPr>
                <w:rFonts w:ascii="Arial" w:cs="Arial" w:eastAsia="Arial" w:hAnsi="Arial"/>
                <w:sz w:val="20"/>
                <w:szCs w:val="20"/>
                <w:color w:val="00074E"/>
                <w:w w:val="94"/>
              </w:rPr>
              <w:t>50+ countries</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80"/>
        <w:spacing w:after="0"/>
        <w:rPr>
          <w:sz w:val="20"/>
          <w:szCs w:val="20"/>
          <w:color w:val="auto"/>
        </w:rPr>
      </w:pPr>
      <w:r>
        <w:rPr>
          <w:rFonts w:ascii="Arial" w:cs="Arial" w:eastAsia="Arial" w:hAnsi="Arial"/>
          <w:sz w:val="25"/>
          <w:szCs w:val="25"/>
          <w:color w:val="FFFFFF"/>
        </w:rPr>
        <w:t>Our Three Businesses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387"/>
        </w:trPr>
        <w:tc>
          <w:tcPr>
            <w:tcW w:w="7680" w:type="dxa"/>
            <w:vAlign w:val="bottom"/>
            <w:shd w:val="clear" w:color="auto" w:fill="00074E"/>
          </w:tcPr>
          <w:p>
            <w:pPr>
              <w:jc w:val="center"/>
              <w:spacing w:after="0"/>
              <w:rPr>
                <w:sz w:val="20"/>
                <w:szCs w:val="20"/>
                <w:color w:val="auto"/>
              </w:rPr>
            </w:pPr>
            <w:r>
              <w:rPr>
                <w:rFonts w:ascii="Arial" w:cs="Arial" w:eastAsia="Arial" w:hAnsi="Arial"/>
                <w:sz w:val="22"/>
                <w:szCs w:val="22"/>
                <w:b w:val="1"/>
                <w:bCs w:val="1"/>
                <w:color w:val="FFFFFF"/>
                <w:w w:val="94"/>
              </w:rPr>
              <w:t>STERILIZATION SERVICES</w:t>
            </w:r>
          </w:p>
        </w:tc>
        <w:tc>
          <w:tcPr>
            <w:tcW w:w="4200" w:type="dxa"/>
            <w:vAlign w:val="bottom"/>
            <w:shd w:val="clear" w:color="auto" w:fill="84C524"/>
          </w:tcPr>
          <w:p>
            <w:pPr>
              <w:jc w:val="center"/>
              <w:spacing w:after="0"/>
              <w:rPr>
                <w:sz w:val="20"/>
                <w:szCs w:val="20"/>
                <w:color w:val="auto"/>
              </w:rPr>
            </w:pPr>
            <w:r>
              <w:rPr>
                <w:rFonts w:ascii="Arial" w:cs="Arial" w:eastAsia="Arial" w:hAnsi="Arial"/>
                <w:sz w:val="22"/>
                <w:szCs w:val="22"/>
                <w:b w:val="1"/>
                <w:bCs w:val="1"/>
                <w:color w:val="FFFFFF"/>
                <w:w w:val="91"/>
              </w:rPr>
              <w:t>LAB SERVICES</w:t>
            </w:r>
          </w:p>
        </w:tc>
      </w:tr>
      <w:tr>
        <w:trPr>
          <w:trHeight w:val="248"/>
        </w:trPr>
        <w:tc>
          <w:tcPr>
            <w:tcW w:w="7680" w:type="dxa"/>
            <w:vAlign w:val="bottom"/>
            <w:shd w:val="clear" w:color="auto" w:fill="00074E"/>
          </w:tcPr>
          <w:p>
            <w:pPr>
              <w:jc w:val="center"/>
              <w:spacing w:after="0"/>
              <w:rPr>
                <w:sz w:val="20"/>
                <w:szCs w:val="20"/>
                <w:color w:val="auto"/>
              </w:rPr>
            </w:pPr>
            <w:r>
              <w:rPr>
                <w:rFonts w:ascii="Arial" w:cs="Arial" w:eastAsia="Arial" w:hAnsi="Arial"/>
                <w:sz w:val="18"/>
                <w:szCs w:val="18"/>
                <w:i w:val="1"/>
                <w:iCs w:val="1"/>
                <w:color w:val="FFFFFF"/>
                <w:w w:val="89"/>
              </w:rPr>
              <w:t>Leader in sterilization services</w:t>
            </w:r>
          </w:p>
        </w:tc>
        <w:tc>
          <w:tcPr>
            <w:tcW w:w="4200" w:type="dxa"/>
            <w:vAlign w:val="bottom"/>
            <w:shd w:val="clear" w:color="auto" w:fill="84C524"/>
          </w:tcPr>
          <w:p>
            <w:pPr>
              <w:jc w:val="center"/>
              <w:spacing w:after="0"/>
              <w:rPr>
                <w:sz w:val="20"/>
                <w:szCs w:val="20"/>
                <w:color w:val="auto"/>
              </w:rPr>
            </w:pPr>
            <w:r>
              <w:rPr>
                <w:rFonts w:ascii="Arial" w:cs="Arial" w:eastAsia="Arial" w:hAnsi="Arial"/>
                <w:sz w:val="18"/>
                <w:szCs w:val="18"/>
                <w:i w:val="1"/>
                <w:iCs w:val="1"/>
                <w:color w:val="FFFFFF"/>
                <w:w w:val="89"/>
              </w:rPr>
              <w:t>Leader in lab testing &amp; advisory services</w:t>
            </w:r>
          </w:p>
        </w:tc>
      </w:tr>
      <w:tr>
        <w:trPr>
          <w:trHeight w:val="95"/>
        </w:trPr>
        <w:tc>
          <w:tcPr>
            <w:tcW w:w="7680" w:type="dxa"/>
            <w:vAlign w:val="bottom"/>
            <w:shd w:val="clear" w:color="auto" w:fill="00074E"/>
          </w:tcPr>
          <w:p>
            <w:pPr>
              <w:spacing w:after="0"/>
              <w:rPr>
                <w:sz w:val="8"/>
                <w:szCs w:val="8"/>
                <w:color w:val="auto"/>
              </w:rPr>
            </w:pPr>
          </w:p>
        </w:tc>
        <w:tc>
          <w:tcPr>
            <w:tcW w:w="4200" w:type="dxa"/>
            <w:vAlign w:val="bottom"/>
            <w:shd w:val="clear" w:color="auto" w:fill="84C524"/>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620" w:type="dxa"/>
        <w:tblCellMar>
          <w:top w:w="0" w:type="dxa"/>
          <w:left w:w="0" w:type="dxa"/>
          <w:bottom w:w="0" w:type="dxa"/>
          <w:right w:w="0" w:type="dxa"/>
        </w:tblCellMar>
      </w:tblPr>
      <w:tr>
        <w:trPr>
          <w:trHeight w:val="242"/>
        </w:trPr>
        <w:tc>
          <w:tcPr>
            <w:tcW w:w="3300" w:type="dxa"/>
            <w:vAlign w:val="bottom"/>
            <w:gridSpan w:val="2"/>
          </w:tcPr>
          <w:p>
            <w:pPr>
              <w:jc w:val="center"/>
              <w:ind w:right="340"/>
              <w:spacing w:after="0"/>
              <w:rPr>
                <w:sz w:val="20"/>
                <w:szCs w:val="20"/>
                <w:color w:val="auto"/>
              </w:rPr>
            </w:pPr>
            <w:r>
              <w:rPr>
                <w:rFonts w:ascii="Arial" w:cs="Arial" w:eastAsia="Arial" w:hAnsi="Arial"/>
                <w:sz w:val="18"/>
                <w:szCs w:val="18"/>
                <w:color w:val="191919"/>
                <w:w w:val="93"/>
              </w:rPr>
              <w:t>Comprehensive sterilization services</w:t>
            </w:r>
          </w:p>
        </w:tc>
        <w:tc>
          <w:tcPr>
            <w:tcW w:w="3760" w:type="dxa"/>
            <w:vAlign w:val="bottom"/>
            <w:gridSpan w:val="2"/>
          </w:tcPr>
          <w:p>
            <w:pPr>
              <w:jc w:val="center"/>
              <w:spacing w:after="0"/>
              <w:rPr>
                <w:sz w:val="20"/>
                <w:szCs w:val="20"/>
                <w:color w:val="auto"/>
              </w:rPr>
            </w:pPr>
            <w:r>
              <w:rPr>
                <w:rFonts w:ascii="Arial" w:cs="Arial" w:eastAsia="Arial" w:hAnsi="Arial"/>
                <w:sz w:val="18"/>
                <w:szCs w:val="18"/>
                <w:color w:val="191919"/>
                <w:w w:val="92"/>
              </w:rPr>
              <w:t>Gamma technologies</w:t>
            </w:r>
          </w:p>
        </w:tc>
        <w:tc>
          <w:tcPr>
            <w:tcW w:w="3640" w:type="dxa"/>
            <w:vAlign w:val="bottom"/>
            <w:gridSpan w:val="2"/>
          </w:tcPr>
          <w:p>
            <w:pPr>
              <w:jc w:val="center"/>
              <w:ind w:left="523"/>
              <w:spacing w:after="0"/>
              <w:rPr>
                <w:sz w:val="20"/>
                <w:szCs w:val="20"/>
                <w:color w:val="auto"/>
              </w:rPr>
            </w:pPr>
            <w:r>
              <w:rPr>
                <w:rFonts w:ascii="Arial" w:cs="Arial" w:eastAsia="Arial" w:hAnsi="Arial"/>
                <w:sz w:val="18"/>
                <w:szCs w:val="18"/>
                <w:color w:val="191919"/>
                <w:w w:val="94"/>
              </w:rPr>
              <w:t>Expert lab testing and advisory services</w:t>
            </w:r>
          </w:p>
        </w:tc>
      </w:tr>
      <w:tr>
        <w:trPr>
          <w:trHeight w:val="587"/>
        </w:trPr>
        <w:tc>
          <w:tcPr>
            <w:tcW w:w="3300" w:type="dxa"/>
            <w:vAlign w:val="bottom"/>
            <w:gridSpan w:val="2"/>
          </w:tcPr>
          <w:p>
            <w:pPr>
              <w:jc w:val="center"/>
              <w:ind w:right="340"/>
              <w:spacing w:after="0"/>
              <w:rPr>
                <w:sz w:val="20"/>
                <w:szCs w:val="20"/>
                <w:color w:val="auto"/>
              </w:rPr>
            </w:pPr>
            <w:r>
              <w:rPr>
                <w:rFonts w:ascii="Arial" w:cs="Arial" w:eastAsia="Arial" w:hAnsi="Arial"/>
                <w:sz w:val="17"/>
                <w:szCs w:val="17"/>
                <w:color w:val="191919"/>
                <w:w w:val="93"/>
              </w:rPr>
              <w:t>Provider of mission-critical and</w:t>
            </w:r>
          </w:p>
        </w:tc>
        <w:tc>
          <w:tcPr>
            <w:tcW w:w="3760" w:type="dxa"/>
            <w:vAlign w:val="bottom"/>
            <w:gridSpan w:val="2"/>
          </w:tcPr>
          <w:p>
            <w:pPr>
              <w:jc w:val="center"/>
              <w:spacing w:after="0"/>
              <w:rPr>
                <w:sz w:val="20"/>
                <w:szCs w:val="20"/>
                <w:color w:val="auto"/>
              </w:rPr>
            </w:pPr>
            <w:r>
              <w:rPr>
                <w:rFonts w:ascii="Arial" w:cs="Arial" w:eastAsia="Arial" w:hAnsi="Arial"/>
                <w:sz w:val="17"/>
                <w:szCs w:val="17"/>
                <w:color w:val="191919"/>
                <w:w w:val="90"/>
              </w:rPr>
              <w:t>Global leader in supply of Cobalt-60,</w:t>
            </w:r>
          </w:p>
        </w:tc>
        <w:tc>
          <w:tcPr>
            <w:tcW w:w="3640" w:type="dxa"/>
            <w:vAlign w:val="bottom"/>
            <w:gridSpan w:val="2"/>
          </w:tcPr>
          <w:p>
            <w:pPr>
              <w:jc w:val="center"/>
              <w:ind w:left="523"/>
              <w:spacing w:after="0"/>
              <w:rPr>
                <w:sz w:val="20"/>
                <w:szCs w:val="20"/>
                <w:color w:val="auto"/>
              </w:rPr>
            </w:pPr>
            <w:r>
              <w:rPr>
                <w:rFonts w:ascii="Arial" w:cs="Arial" w:eastAsia="Arial" w:hAnsi="Arial"/>
                <w:sz w:val="17"/>
                <w:szCs w:val="17"/>
                <w:color w:val="191919"/>
                <w:w w:val="93"/>
              </w:rPr>
              <w:t>Provider of mission-critical medical</w:t>
            </w:r>
          </w:p>
        </w:tc>
      </w:tr>
      <w:tr>
        <w:trPr>
          <w:trHeight w:val="220"/>
        </w:trPr>
        <w:tc>
          <w:tcPr>
            <w:tcW w:w="3300" w:type="dxa"/>
            <w:vAlign w:val="bottom"/>
            <w:gridSpan w:val="2"/>
          </w:tcPr>
          <w:p>
            <w:pPr>
              <w:jc w:val="center"/>
              <w:ind w:right="340"/>
              <w:spacing w:after="0"/>
              <w:rPr>
                <w:sz w:val="20"/>
                <w:szCs w:val="20"/>
                <w:color w:val="auto"/>
              </w:rPr>
            </w:pPr>
            <w:r>
              <w:rPr>
                <w:rFonts w:ascii="Arial" w:cs="Arial" w:eastAsia="Arial" w:hAnsi="Arial"/>
                <w:sz w:val="17"/>
                <w:szCs w:val="17"/>
                <w:color w:val="191919"/>
                <w:w w:val="95"/>
              </w:rPr>
              <w:t>often government-mandated</w:t>
            </w:r>
          </w:p>
        </w:tc>
        <w:tc>
          <w:tcPr>
            <w:tcW w:w="3760" w:type="dxa"/>
            <w:vAlign w:val="bottom"/>
            <w:gridSpan w:val="2"/>
          </w:tcPr>
          <w:p>
            <w:pPr>
              <w:jc w:val="center"/>
              <w:spacing w:after="0"/>
              <w:rPr>
                <w:sz w:val="20"/>
                <w:szCs w:val="20"/>
                <w:color w:val="auto"/>
              </w:rPr>
            </w:pPr>
            <w:r>
              <w:rPr>
                <w:rFonts w:ascii="Arial" w:cs="Arial" w:eastAsia="Arial" w:hAnsi="Arial"/>
                <w:sz w:val="17"/>
                <w:szCs w:val="17"/>
                <w:color w:val="191919"/>
                <w:w w:val="94"/>
              </w:rPr>
              <w:t>the key input for gamma sterilization</w:t>
            </w:r>
          </w:p>
        </w:tc>
        <w:tc>
          <w:tcPr>
            <w:tcW w:w="3640" w:type="dxa"/>
            <w:vAlign w:val="bottom"/>
            <w:gridSpan w:val="2"/>
          </w:tcPr>
          <w:p>
            <w:pPr>
              <w:jc w:val="center"/>
              <w:ind w:left="523"/>
              <w:spacing w:after="0"/>
              <w:rPr>
                <w:sz w:val="20"/>
                <w:szCs w:val="20"/>
                <w:color w:val="auto"/>
              </w:rPr>
            </w:pPr>
            <w:r>
              <w:rPr>
                <w:rFonts w:ascii="Arial" w:cs="Arial" w:eastAsia="Arial" w:hAnsi="Arial"/>
                <w:sz w:val="17"/>
                <w:szCs w:val="17"/>
                <w:color w:val="191919"/>
                <w:w w:val="92"/>
              </w:rPr>
              <w:t>device and pharmaceutical lab testing</w:t>
            </w:r>
          </w:p>
        </w:tc>
      </w:tr>
      <w:tr>
        <w:trPr>
          <w:trHeight w:val="222"/>
        </w:trPr>
        <w:tc>
          <w:tcPr>
            <w:tcW w:w="3300" w:type="dxa"/>
            <w:vAlign w:val="bottom"/>
            <w:gridSpan w:val="2"/>
          </w:tcPr>
          <w:p>
            <w:pPr>
              <w:jc w:val="center"/>
              <w:ind w:right="340"/>
              <w:spacing w:after="0"/>
              <w:rPr>
                <w:sz w:val="20"/>
                <w:szCs w:val="20"/>
                <w:color w:val="auto"/>
              </w:rPr>
            </w:pPr>
            <w:r>
              <w:rPr>
                <w:rFonts w:ascii="Arial" w:cs="Arial" w:eastAsia="Arial" w:hAnsi="Arial"/>
                <w:sz w:val="17"/>
                <w:szCs w:val="17"/>
                <w:color w:val="191919"/>
                <w:w w:val="92"/>
              </w:rPr>
              <w:t>sterilization services</w:t>
            </w:r>
          </w:p>
        </w:tc>
        <w:tc>
          <w:tcPr>
            <w:tcW w:w="16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640" w:type="dxa"/>
            <w:vAlign w:val="bottom"/>
            <w:gridSpan w:val="2"/>
          </w:tcPr>
          <w:p>
            <w:pPr>
              <w:jc w:val="center"/>
              <w:ind w:left="523"/>
              <w:spacing w:after="0"/>
              <w:rPr>
                <w:sz w:val="20"/>
                <w:szCs w:val="20"/>
                <w:color w:val="auto"/>
              </w:rPr>
            </w:pPr>
            <w:r>
              <w:rPr>
                <w:rFonts w:ascii="Arial" w:cs="Arial" w:eastAsia="Arial" w:hAnsi="Arial"/>
                <w:sz w:val="17"/>
                <w:szCs w:val="17"/>
                <w:color w:val="191919"/>
                <w:w w:val="90"/>
              </w:rPr>
              <w:t>and advisory services</w:t>
            </w:r>
          </w:p>
        </w:tc>
      </w:tr>
      <w:tr>
        <w:trPr>
          <w:trHeight w:val="596"/>
        </w:trPr>
        <w:tc>
          <w:tcPr>
            <w:tcW w:w="1100" w:type="dxa"/>
            <w:vAlign w:val="bottom"/>
          </w:tcPr>
          <w:p>
            <w:pPr>
              <w:jc w:val="right"/>
              <w:ind w:right="143"/>
              <w:spacing w:after="0"/>
              <w:rPr>
                <w:sz w:val="20"/>
                <w:szCs w:val="20"/>
                <w:color w:val="auto"/>
              </w:rPr>
            </w:pPr>
            <w:r>
              <w:rPr>
                <w:rFonts w:ascii="Arial" w:cs="Arial" w:eastAsia="Arial" w:hAnsi="Arial"/>
                <w:sz w:val="48"/>
                <w:szCs w:val="48"/>
                <w:color w:val="00074E"/>
              </w:rPr>
              <w:t>49</w:t>
            </w:r>
          </w:p>
        </w:tc>
        <w:tc>
          <w:tcPr>
            <w:tcW w:w="2200" w:type="dxa"/>
            <w:vAlign w:val="bottom"/>
          </w:tcPr>
          <w:p>
            <w:pPr>
              <w:jc w:val="right"/>
              <w:ind w:right="360"/>
              <w:spacing w:after="0"/>
              <w:rPr>
                <w:sz w:val="20"/>
                <w:szCs w:val="20"/>
                <w:color w:val="auto"/>
              </w:rPr>
            </w:pPr>
            <w:r>
              <w:rPr>
                <w:rFonts w:ascii="Arial" w:cs="Arial" w:eastAsia="Arial" w:hAnsi="Arial"/>
                <w:sz w:val="48"/>
                <w:szCs w:val="48"/>
                <w:color w:val="00074E"/>
              </w:rPr>
              <w:t>2,000+</w:t>
            </w:r>
          </w:p>
        </w:tc>
        <w:tc>
          <w:tcPr>
            <w:tcW w:w="1660" w:type="dxa"/>
            <w:vAlign w:val="bottom"/>
          </w:tcPr>
          <w:p>
            <w:pPr>
              <w:jc w:val="right"/>
              <w:ind w:right="235"/>
              <w:spacing w:after="0"/>
              <w:rPr>
                <w:sz w:val="20"/>
                <w:szCs w:val="20"/>
                <w:color w:val="auto"/>
              </w:rPr>
            </w:pPr>
            <w:r>
              <w:rPr>
                <w:rFonts w:ascii="Arial" w:cs="Arial" w:eastAsia="Arial" w:hAnsi="Arial"/>
                <w:sz w:val="48"/>
                <w:szCs w:val="48"/>
                <w:color w:val="2EA7BF"/>
              </w:rPr>
              <w:t>2</w:t>
            </w:r>
          </w:p>
        </w:tc>
        <w:tc>
          <w:tcPr>
            <w:tcW w:w="2100" w:type="dxa"/>
            <w:vAlign w:val="bottom"/>
          </w:tcPr>
          <w:p>
            <w:pPr>
              <w:jc w:val="right"/>
              <w:ind w:right="760"/>
              <w:spacing w:after="0"/>
              <w:rPr>
                <w:sz w:val="20"/>
                <w:szCs w:val="20"/>
                <w:color w:val="auto"/>
              </w:rPr>
            </w:pPr>
            <w:r>
              <w:rPr>
                <w:rFonts w:ascii="Arial" w:cs="Arial" w:eastAsia="Arial" w:hAnsi="Arial"/>
                <w:sz w:val="48"/>
                <w:szCs w:val="48"/>
                <w:color w:val="2EA7BF"/>
              </w:rPr>
              <w:t>~40</w:t>
            </w:r>
          </w:p>
        </w:tc>
        <w:tc>
          <w:tcPr>
            <w:tcW w:w="1740" w:type="dxa"/>
            <w:vAlign w:val="bottom"/>
          </w:tcPr>
          <w:p>
            <w:pPr>
              <w:jc w:val="right"/>
              <w:ind w:right="203"/>
              <w:spacing w:after="0"/>
              <w:rPr>
                <w:sz w:val="20"/>
                <w:szCs w:val="20"/>
                <w:color w:val="auto"/>
              </w:rPr>
            </w:pPr>
            <w:r>
              <w:rPr>
                <w:rFonts w:ascii="Arial" w:cs="Arial" w:eastAsia="Arial" w:hAnsi="Arial"/>
                <w:sz w:val="48"/>
                <w:szCs w:val="48"/>
                <w:color w:val="84C524"/>
              </w:rPr>
              <w:t>12</w:t>
            </w:r>
          </w:p>
        </w:tc>
        <w:tc>
          <w:tcPr>
            <w:tcW w:w="1900" w:type="dxa"/>
            <w:vAlign w:val="bottom"/>
          </w:tcPr>
          <w:p>
            <w:pPr>
              <w:jc w:val="right"/>
              <w:ind w:right="40"/>
              <w:spacing w:after="0"/>
              <w:rPr>
                <w:sz w:val="20"/>
                <w:szCs w:val="20"/>
                <w:color w:val="auto"/>
              </w:rPr>
            </w:pPr>
            <w:r>
              <w:rPr>
                <w:rFonts w:ascii="Arial" w:cs="Arial" w:eastAsia="Arial" w:hAnsi="Arial"/>
                <w:sz w:val="48"/>
                <w:szCs w:val="48"/>
                <w:color w:val="84C524"/>
              </w:rPr>
              <w:t>~3,000</w:t>
            </w:r>
          </w:p>
        </w:tc>
      </w:tr>
    </w:tbl>
    <w:p>
      <w:pPr>
        <w:spacing w:after="0" w:line="1" w:lineRule="exact"/>
        <w:rPr>
          <w:sz w:val="20"/>
          <w:szCs w:val="20"/>
          <w:color w:val="auto"/>
        </w:rPr>
      </w:pPr>
    </w:p>
    <w:p>
      <w:pPr>
        <w:sectPr>
          <w:pgSz w:w="11880" w:h="15480" w:orient="portrait"/>
          <w:cols w:equalWidth="0" w:num="1">
            <w:col w:w="11880"/>
          </w:cols>
          <w:pgMar w:left="0" w:top="1191" w:right="0" w:bottom="714" w:gutter="0" w:footer="0" w:header="0"/>
        </w:sectPr>
      </w:pPr>
    </w:p>
    <w:p>
      <w:pPr>
        <w:ind w:left="900"/>
        <w:spacing w:after="0"/>
        <w:tabs>
          <w:tab w:leader="none" w:pos="2260" w:val="left"/>
          <w:tab w:leader="none" w:pos="4760" w:val="left"/>
          <w:tab w:leader="none" w:pos="5920" w:val="left"/>
          <w:tab w:leader="none" w:pos="8580" w:val="left"/>
          <w:tab w:leader="none" w:pos="10000" w:val="left"/>
        </w:tabs>
        <w:rPr>
          <w:sz w:val="20"/>
          <w:szCs w:val="20"/>
          <w:color w:val="auto"/>
        </w:rPr>
      </w:pPr>
      <w:r>
        <w:rPr>
          <w:rFonts w:ascii="Arial" w:cs="Arial" w:eastAsia="Arial" w:hAnsi="Arial"/>
          <w:sz w:val="17"/>
          <w:szCs w:val="17"/>
          <w:color w:val="191919"/>
        </w:rPr>
        <w:t>locations</w:t>
      </w:r>
      <w:r>
        <w:rPr>
          <w:sz w:val="20"/>
          <w:szCs w:val="20"/>
          <w:color w:val="auto"/>
        </w:rPr>
        <w:tab/>
      </w:r>
      <w:r>
        <w:rPr>
          <w:rFonts w:ascii="Arial" w:cs="Arial" w:eastAsia="Arial" w:hAnsi="Arial"/>
          <w:sz w:val="17"/>
          <w:szCs w:val="17"/>
          <w:color w:val="191919"/>
        </w:rPr>
        <w:t>customers</w:t>
      </w:r>
      <w:r>
        <w:rPr>
          <w:sz w:val="20"/>
          <w:szCs w:val="20"/>
          <w:color w:val="auto"/>
        </w:rPr>
        <w:tab/>
      </w:r>
      <w:r>
        <w:rPr>
          <w:rFonts w:ascii="Arial" w:cs="Arial" w:eastAsia="Arial" w:hAnsi="Arial"/>
          <w:sz w:val="17"/>
          <w:szCs w:val="17"/>
          <w:color w:val="191919"/>
        </w:rPr>
        <w:t>locations</w:t>
      </w:r>
      <w:r>
        <w:rPr>
          <w:sz w:val="20"/>
          <w:szCs w:val="20"/>
          <w:color w:val="auto"/>
        </w:rPr>
        <w:tab/>
      </w:r>
      <w:r>
        <w:rPr>
          <w:rFonts w:ascii="Arial" w:cs="Arial" w:eastAsia="Arial" w:hAnsi="Arial"/>
          <w:sz w:val="17"/>
          <w:szCs w:val="17"/>
          <w:color w:val="191919"/>
        </w:rPr>
        <w:t>customers</w:t>
      </w:r>
      <w:r>
        <w:rPr>
          <w:sz w:val="20"/>
          <w:szCs w:val="20"/>
          <w:color w:val="auto"/>
        </w:rPr>
        <w:tab/>
      </w:r>
      <w:r>
        <w:rPr>
          <w:rFonts w:ascii="Arial" w:cs="Arial" w:eastAsia="Arial" w:hAnsi="Arial"/>
          <w:sz w:val="17"/>
          <w:szCs w:val="17"/>
          <w:color w:val="191919"/>
        </w:rPr>
        <w:t>locations</w:t>
      </w:r>
      <w:r>
        <w:rPr>
          <w:sz w:val="20"/>
          <w:szCs w:val="20"/>
          <w:color w:val="auto"/>
        </w:rPr>
        <w:tab/>
      </w:r>
      <w:r>
        <w:rPr>
          <w:rFonts w:ascii="Arial" w:cs="Arial" w:eastAsia="Arial" w:hAnsi="Arial"/>
          <w:sz w:val="15"/>
          <w:szCs w:val="15"/>
          <w:color w:val="191919"/>
        </w:rPr>
        <w:t>customers</w:t>
      </w:r>
    </w:p>
    <w:p>
      <w:pPr>
        <w:sectPr>
          <w:pgSz w:w="11880" w:h="15480" w:orient="portrait"/>
          <w:cols w:equalWidth="0" w:num="1">
            <w:col w:w="11880"/>
          </w:cols>
          <w:pgMar w:left="0" w:top="1191" w:right="0" w:bottom="714"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40"/>
          <w:szCs w:val="40"/>
          <w:color w:val="00074E"/>
        </w:rPr>
        <w:t>Living Our Mission Every Day</w:t>
      </w:r>
    </w:p>
    <w:p>
      <w:pPr>
        <w:spacing w:after="0" w:line="194" w:lineRule="exact"/>
        <w:rPr>
          <w:sz w:val="20"/>
          <w:szCs w:val="20"/>
          <w:color w:val="auto"/>
        </w:rPr>
      </w:pPr>
    </w:p>
    <w:p>
      <w:pPr>
        <w:ind w:right="4220"/>
        <w:spacing w:after="0" w:line="312" w:lineRule="auto"/>
        <w:rPr>
          <w:sz w:val="20"/>
          <w:szCs w:val="20"/>
          <w:color w:val="auto"/>
        </w:rPr>
      </w:pPr>
      <w:r>
        <w:rPr>
          <w:rFonts w:ascii="Arial" w:cs="Arial" w:eastAsia="Arial" w:hAnsi="Arial"/>
          <w:sz w:val="19"/>
          <w:szCs w:val="19"/>
          <w:color w:val="191919"/>
        </w:rPr>
        <w:t>At Sotera Health, we are steadfast in our commitment to our mission, Safeguarding Global Health</w:t>
      </w:r>
      <w:r>
        <w:rPr>
          <w:rFonts w:ascii="Arial" w:cs="Arial" w:eastAsia="Arial" w:hAnsi="Arial"/>
          <w:sz w:val="11"/>
          <w:szCs w:val="11"/>
          <w:color w:val="191919"/>
        </w:rPr>
        <w:t>®</w:t>
      </w:r>
      <w:r>
        <w:rPr>
          <w:rFonts w:ascii="Arial" w:cs="Arial" w:eastAsia="Arial" w:hAnsi="Arial"/>
          <w:sz w:val="19"/>
          <w:szCs w:val="19"/>
          <w:color w:val="191919"/>
        </w:rPr>
        <w:t>. Our work helps to ensure the safety of millions of patients and healthcare workers around the globe, as well as the communities in which we operate and our 3,000+ global team members. While our high-quality testing, safe and reliable sterilization services and Cobalt-60 supply expertise enable the safety of the global healthcare industry, it is our team’s commitment to living our mission every day that makes an extraordinary difference.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FFFFFF"/>
        </w:rPr>
        <w:t>Our Values</w:t>
      </w:r>
    </w:p>
    <w:p>
      <w:pPr>
        <w:spacing w:after="0" w:line="200" w:lineRule="exact"/>
        <w:rPr>
          <w:sz w:val="20"/>
          <w:szCs w:val="20"/>
          <w:color w:val="auto"/>
        </w:rPr>
      </w:pPr>
    </w:p>
    <w:p>
      <w:pPr>
        <w:spacing w:after="0" w:line="331"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00074E"/>
        </w:rPr>
        <w:t>SAFET Y</w:t>
      </w:r>
    </w:p>
    <w:p>
      <w:pPr>
        <w:spacing w:after="0" w:line="72" w:lineRule="exact"/>
        <w:rPr>
          <w:sz w:val="20"/>
          <w:szCs w:val="20"/>
          <w:color w:val="auto"/>
        </w:rPr>
      </w:pPr>
    </w:p>
    <w:p>
      <w:pPr>
        <w:ind w:left="1000"/>
        <w:spacing w:after="0"/>
        <w:rPr>
          <w:sz w:val="20"/>
          <w:szCs w:val="20"/>
          <w:color w:val="auto"/>
        </w:rPr>
      </w:pPr>
      <w:r>
        <w:rPr>
          <w:rFonts w:ascii="Arial" w:cs="Arial" w:eastAsia="Arial" w:hAnsi="Arial"/>
          <w:sz w:val="18"/>
          <w:szCs w:val="18"/>
          <w:color w:val="191919"/>
        </w:rPr>
        <w:t>We are uncompromising in our commitment to health</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191919"/>
        </w:rPr>
        <w:t>and well-being.</w:t>
      </w:r>
    </w:p>
    <w:p>
      <w:pPr>
        <w:spacing w:after="0" w:line="399"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00074E"/>
        </w:rPr>
        <w:t>CUSTOMER FOCUS</w:t>
      </w:r>
    </w:p>
    <w:p>
      <w:pPr>
        <w:spacing w:after="0" w:line="72" w:lineRule="exact"/>
        <w:rPr>
          <w:sz w:val="20"/>
          <w:szCs w:val="20"/>
          <w:color w:val="auto"/>
        </w:rPr>
      </w:pPr>
    </w:p>
    <w:p>
      <w:pPr>
        <w:ind w:left="1000"/>
        <w:spacing w:after="0"/>
        <w:rPr>
          <w:sz w:val="20"/>
          <w:szCs w:val="20"/>
          <w:color w:val="auto"/>
        </w:rPr>
      </w:pPr>
      <w:r>
        <w:rPr>
          <w:rFonts w:ascii="Arial" w:cs="Arial" w:eastAsia="Arial" w:hAnsi="Arial"/>
          <w:sz w:val="18"/>
          <w:szCs w:val="18"/>
          <w:color w:val="191919"/>
        </w:rPr>
        <w:t>We are driven to fulfill our customers’ needs with the</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191919"/>
        </w:rPr>
        <w:t>highest quality and care.</w:t>
      </w:r>
    </w:p>
    <w:p>
      <w:pPr>
        <w:spacing w:after="0" w:line="399"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00074E"/>
        </w:rPr>
        <w:t>PEOPLE</w:t>
      </w:r>
    </w:p>
    <w:p>
      <w:pPr>
        <w:spacing w:after="0" w:line="72" w:lineRule="exact"/>
        <w:rPr>
          <w:sz w:val="20"/>
          <w:szCs w:val="20"/>
          <w:color w:val="auto"/>
        </w:rPr>
      </w:pPr>
    </w:p>
    <w:p>
      <w:pPr>
        <w:ind w:left="1000"/>
        <w:spacing w:after="0"/>
        <w:rPr>
          <w:sz w:val="20"/>
          <w:szCs w:val="20"/>
          <w:color w:val="auto"/>
        </w:rPr>
      </w:pPr>
      <w:r>
        <w:rPr>
          <w:rFonts w:ascii="Arial" w:cs="Arial" w:eastAsia="Arial" w:hAnsi="Arial"/>
          <w:sz w:val="18"/>
          <w:szCs w:val="18"/>
          <w:color w:val="191919"/>
        </w:rPr>
        <w:t>We value our people who are part of a global team that</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191919"/>
        </w:rPr>
        <w:t>is diverse, respectful, passionate and collaborative.</w:t>
      </w:r>
    </w:p>
    <w:p>
      <w:pPr>
        <w:spacing w:after="0" w:line="399"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00074E"/>
        </w:rPr>
        <w:t>INTEGRITY</w:t>
      </w:r>
    </w:p>
    <w:p>
      <w:pPr>
        <w:spacing w:after="0" w:line="72" w:lineRule="exact"/>
        <w:rPr>
          <w:sz w:val="20"/>
          <w:szCs w:val="20"/>
          <w:color w:val="auto"/>
        </w:rPr>
      </w:pPr>
    </w:p>
    <w:p>
      <w:pPr>
        <w:ind w:left="1000"/>
        <w:spacing w:after="0"/>
        <w:rPr>
          <w:sz w:val="20"/>
          <w:szCs w:val="20"/>
          <w:color w:val="auto"/>
        </w:rPr>
      </w:pPr>
      <w:r>
        <w:rPr>
          <w:rFonts w:ascii="Arial" w:cs="Arial" w:eastAsia="Arial" w:hAnsi="Arial"/>
          <w:sz w:val="18"/>
          <w:szCs w:val="18"/>
          <w:color w:val="191919"/>
        </w:rPr>
        <w:t>We are honest, reliable and accountable in</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191919"/>
        </w:rPr>
        <w:t>everything we do.</w:t>
      </w:r>
    </w:p>
    <w:p>
      <w:pPr>
        <w:spacing w:after="0" w:line="399"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00074E"/>
        </w:rPr>
        <w:t>EXCELLENCE</w:t>
      </w:r>
    </w:p>
    <w:p>
      <w:pPr>
        <w:spacing w:after="0" w:line="72" w:lineRule="exact"/>
        <w:rPr>
          <w:sz w:val="20"/>
          <w:szCs w:val="20"/>
          <w:color w:val="auto"/>
        </w:rPr>
      </w:pPr>
    </w:p>
    <w:p>
      <w:pPr>
        <w:ind w:left="1000"/>
        <w:spacing w:after="0"/>
        <w:rPr>
          <w:sz w:val="20"/>
          <w:szCs w:val="20"/>
          <w:color w:val="auto"/>
        </w:rPr>
      </w:pPr>
      <w:r>
        <w:rPr>
          <w:rFonts w:ascii="Arial" w:cs="Arial" w:eastAsia="Arial" w:hAnsi="Arial"/>
          <w:sz w:val="18"/>
          <w:szCs w:val="18"/>
          <w:color w:val="191919"/>
        </w:rPr>
        <w:t>We exceed the expectations of our stakeholders</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191919"/>
        </w:rPr>
        <w:t>and continue to improve and innovate in</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191919"/>
        </w:rPr>
        <w:t>everything we do.</w:t>
      </w:r>
    </w:p>
    <w:p>
      <w:pPr>
        <w:sectPr>
          <w:pgSz w:w="11880" w:h="15480" w:orient="portrait"/>
          <w:cols w:equalWidth="0" w:num="1">
            <w:col w:w="10080"/>
          </w:cols>
          <w:pgMar w:left="126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920"/>
        <w:spacing w:after="0"/>
        <w:rPr>
          <w:sz w:val="20"/>
          <w:szCs w:val="20"/>
          <w:color w:val="auto"/>
        </w:rPr>
      </w:pPr>
      <w:r>
        <w:rPr>
          <w:rFonts w:ascii="Arial" w:cs="Arial" w:eastAsia="Arial" w:hAnsi="Arial"/>
          <w:sz w:val="13"/>
          <w:szCs w:val="13"/>
          <w:color w:val="00074E"/>
        </w:rPr>
        <w:t>• 1</w:t>
      </w:r>
    </w:p>
    <w:p>
      <w:pPr>
        <w:sectPr>
          <w:pgSz w:w="11880" w:h="15480" w:orient="portrait"/>
          <w:cols w:equalWidth="0" w:num="1">
            <w:col w:w="10080"/>
          </w:cols>
          <w:pgMar w:left="1260" w:top="1440" w:right="540" w:bottom="0" w:gutter="0" w:footer="0" w:header="0"/>
          <w:type w:val="continuous"/>
        </w:sectPr>
      </w:pPr>
    </w:p>
    <w:bookmarkStart w:id="3" w:name="page4"/>
    <w:bookmarkEnd w:id="3"/>
    <w:p>
      <w:pPr>
        <w:ind w:left="540" w:right="1540" w:hanging="1"/>
        <w:spacing w:after="0" w:line="281" w:lineRule="auto"/>
        <w:tabs>
          <w:tab w:leader="none" w:pos="998" w:val="left"/>
        </w:tabs>
        <w:numPr>
          <w:ilvl w:val="0"/>
          <w:numId w:val="1"/>
        </w:numPr>
        <w:rPr>
          <w:rFonts w:ascii="Arial" w:cs="Arial" w:eastAsia="Arial" w:hAnsi="Arial"/>
          <w:sz w:val="54"/>
          <w:szCs w:val="54"/>
          <w:color w:val="00074E"/>
        </w:rPr>
      </w:pPr>
      <w:r>
        <w:rPr>
          <w:rFonts w:ascii="Arial" w:cs="Arial" w:eastAsia="Arial" w:hAnsi="Arial"/>
          <w:sz w:val="54"/>
          <w:szCs w:val="54"/>
          <w:color w:val="00074E"/>
        </w:rPr>
        <w:drawing>
          <wp:anchor simplePos="0" relativeHeight="251657728" behindDoc="1" locked="0" layoutInCell="0" allowOverlap="1">
            <wp:simplePos x="0" y="0"/>
            <wp:positionH relativeFrom="page">
              <wp:posOffset>0</wp:posOffset>
            </wp:positionH>
            <wp:positionV relativeFrom="page">
              <wp:posOffset>0</wp:posOffset>
            </wp:positionV>
            <wp:extent cx="7543800" cy="2435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2435225"/>
                    </a:xfrm>
                    <a:prstGeom prst="rect">
                      <a:avLst/>
                    </a:prstGeom>
                    <a:noFill/>
                  </pic:spPr>
                </pic:pic>
              </a:graphicData>
            </a:graphic>
          </wp:anchor>
        </w:drawing>
        <w:t>Letter from Our CEO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0"/>
        <w:spacing w:after="0"/>
        <w:rPr>
          <w:sz w:val="20"/>
          <w:szCs w:val="20"/>
          <w:color w:val="auto"/>
        </w:rPr>
      </w:pPr>
      <w:r>
        <w:rPr>
          <w:rFonts w:ascii="Arial" w:cs="Arial" w:eastAsia="Arial" w:hAnsi="Arial"/>
          <w:sz w:val="25"/>
          <w:szCs w:val="25"/>
          <w:color w:val="FFFFFF"/>
        </w:rPr>
        <w:t>Dear Stockholders,</w:t>
      </w:r>
    </w:p>
    <w:p>
      <w:pPr>
        <w:spacing w:after="0" w:line="338" w:lineRule="exact"/>
        <w:rPr>
          <w:sz w:val="20"/>
          <w:szCs w:val="20"/>
          <w:color w:val="auto"/>
        </w:rPr>
      </w:pPr>
    </w:p>
    <w:p>
      <w:pPr>
        <w:ind w:left="540" w:right="40"/>
        <w:spacing w:after="0" w:line="341" w:lineRule="auto"/>
        <w:rPr>
          <w:sz w:val="20"/>
          <w:szCs w:val="20"/>
          <w:color w:val="auto"/>
        </w:rPr>
      </w:pPr>
      <w:r>
        <w:rPr>
          <w:rFonts w:ascii="Arial" w:cs="Arial" w:eastAsia="Arial" w:hAnsi="Arial"/>
          <w:sz w:val="20"/>
          <w:szCs w:val="20"/>
          <w:color w:val="00074E"/>
        </w:rPr>
        <w:t>As the global healthcare ecosystem continues to evolve, Sotera Health’s role has become increasingly vital and our opportunity more compelling. Over the past year, we have remained unwavering in our commitment to our mission – Safeguarding Global Health</w:t>
      </w:r>
      <w:r>
        <w:rPr>
          <w:rFonts w:ascii="Arial" w:cs="Arial" w:eastAsia="Arial" w:hAnsi="Arial"/>
          <w:sz w:val="11"/>
          <w:szCs w:val="11"/>
          <w:color w:val="00074E"/>
        </w:rPr>
        <w:t>®</w:t>
      </w:r>
      <w:r>
        <w:rPr>
          <w:rFonts w:ascii="Arial" w:cs="Arial" w:eastAsia="Arial" w:hAnsi="Arial"/>
          <w:sz w:val="20"/>
          <w:szCs w:val="20"/>
          <w:color w:val="00074E"/>
        </w:rPr>
        <w:t xml:space="preserve"> – and to operating with excellence in an increasingly complex global landscape. Our strategy is clear. Our team is aligned. We are optimistic about our future.</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22"/>
          <w:szCs w:val="22"/>
          <w:color w:val="001659"/>
        </w:rPr>
        <w:t>A Global Leader Positioned</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22"/>
          <w:szCs w:val="22"/>
          <w:color w:val="001659"/>
        </w:rPr>
        <w:t>for Sustainable Growth</w:t>
      </w:r>
    </w:p>
    <w:p>
      <w:pPr>
        <w:spacing w:after="0" w:line="149" w:lineRule="exact"/>
        <w:rPr>
          <w:sz w:val="20"/>
          <w:szCs w:val="20"/>
          <w:color w:val="auto"/>
        </w:rPr>
      </w:pPr>
    </w:p>
    <w:p>
      <w:pPr>
        <w:ind w:left="540" w:right="40"/>
        <w:spacing w:after="0" w:line="333" w:lineRule="auto"/>
        <w:rPr>
          <w:sz w:val="20"/>
          <w:szCs w:val="20"/>
          <w:color w:val="auto"/>
        </w:rPr>
      </w:pPr>
      <w:r>
        <w:rPr>
          <w:rFonts w:ascii="Arial" w:cs="Arial" w:eastAsia="Arial" w:hAnsi="Arial"/>
          <w:sz w:val="18"/>
          <w:szCs w:val="18"/>
          <w:color w:val="191919"/>
        </w:rPr>
        <w:t>We remain firmly positioned as a global leader in a rapidly expanding healthcare market, underpinned by strong demand, expanding regulatory complexity and growing expectations from customers who rely on us every day. Our global footprint, comprised of a network of 63 facilities and laboratories, places us in close proximity to our customers and enables end-to-end value.</w:t>
      </w:r>
    </w:p>
    <w:p>
      <w:pPr>
        <w:spacing w:after="0" w:line="130" w:lineRule="exact"/>
        <w:rPr>
          <w:sz w:val="20"/>
          <w:szCs w:val="20"/>
          <w:color w:val="auto"/>
        </w:rPr>
      </w:pPr>
    </w:p>
    <w:p>
      <w:pPr>
        <w:ind w:left="540" w:right="60"/>
        <w:spacing w:after="0" w:line="366" w:lineRule="auto"/>
        <w:rPr>
          <w:sz w:val="20"/>
          <w:szCs w:val="20"/>
          <w:color w:val="auto"/>
        </w:rPr>
      </w:pPr>
      <w:r>
        <w:rPr>
          <w:rFonts w:ascii="Arial" w:cs="Arial" w:eastAsia="Arial" w:hAnsi="Arial"/>
          <w:sz w:val="17"/>
          <w:szCs w:val="17"/>
          <w:color w:val="191919"/>
        </w:rPr>
        <w:t>With a growing addressable market exceeding $18 billion, and opportunities of more than $45 billion across adjacent segments, we are strategically aligned to capture above-market growth and deliver long-term value creation.</w:t>
      </w:r>
    </w:p>
    <w:p>
      <w:pPr>
        <w:spacing w:after="0" w:line="75" w:lineRule="exact"/>
        <w:rPr>
          <w:sz w:val="20"/>
          <w:szCs w:val="20"/>
          <w:color w:val="auto"/>
        </w:rPr>
      </w:pPr>
    </w:p>
    <w:p>
      <w:pPr>
        <w:ind w:left="540" w:right="1400"/>
        <w:spacing w:after="0" w:line="304" w:lineRule="auto"/>
        <w:rPr>
          <w:sz w:val="20"/>
          <w:szCs w:val="20"/>
          <w:color w:val="auto"/>
        </w:rPr>
      </w:pPr>
      <w:r>
        <w:rPr>
          <w:rFonts w:ascii="Arial" w:cs="Arial" w:eastAsia="Arial" w:hAnsi="Arial"/>
          <w:sz w:val="22"/>
          <w:szCs w:val="22"/>
          <w:color w:val="001659"/>
        </w:rPr>
        <w:t>Driving Consistent Growth Through Operational Excellence</w:t>
      </w:r>
    </w:p>
    <w:p>
      <w:pPr>
        <w:spacing w:after="0" w:line="44" w:lineRule="exact"/>
        <w:rPr>
          <w:sz w:val="20"/>
          <w:szCs w:val="20"/>
          <w:color w:val="auto"/>
        </w:rPr>
      </w:pPr>
    </w:p>
    <w:p>
      <w:pPr>
        <w:ind w:left="540"/>
        <w:spacing w:after="0" w:line="360" w:lineRule="auto"/>
        <w:rPr>
          <w:sz w:val="20"/>
          <w:szCs w:val="20"/>
          <w:color w:val="auto"/>
        </w:rPr>
      </w:pPr>
      <w:r>
        <w:rPr>
          <w:rFonts w:ascii="Arial" w:cs="Arial" w:eastAsia="Arial" w:hAnsi="Arial"/>
          <w:sz w:val="17"/>
          <w:szCs w:val="17"/>
          <w:color w:val="191919"/>
        </w:rPr>
        <w:t>Our performance over the past year reflects both the durability of our business model and the strength of our execution. In 2025, we extended our track record of revenue growth to a 20</w:t>
      </w:r>
      <w:r>
        <w:rPr>
          <w:rFonts w:ascii="Arial" w:cs="Arial" w:eastAsia="Arial" w:hAnsi="Arial"/>
          <w:sz w:val="10"/>
          <w:szCs w:val="10"/>
          <w:color w:val="191919"/>
        </w:rPr>
        <w:t>th</w:t>
      </w:r>
      <w:r>
        <w:rPr>
          <w:rFonts w:ascii="Arial" w:cs="Arial" w:eastAsia="Arial" w:hAnsi="Arial"/>
          <w:sz w:val="17"/>
          <w:szCs w:val="17"/>
          <w:color w:val="191919"/>
        </w:rPr>
        <w:t xml:space="preserve"> consecutive year, while expanding margins and accelerating free cash flow generation.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
        <w:spacing w:after="0"/>
        <w:rPr>
          <w:sz w:val="20"/>
          <w:szCs w:val="20"/>
          <w:color w:val="auto"/>
        </w:rPr>
      </w:pPr>
      <w:r>
        <w:rPr>
          <w:rFonts w:ascii="Arial" w:cs="Arial" w:eastAsia="Arial" w:hAnsi="Arial"/>
          <w:sz w:val="17"/>
          <w:szCs w:val="17"/>
          <w:color w:val="00074E"/>
        </w:rPr>
        <w:t>Michael B. Petras, Jr.</w:t>
      </w:r>
    </w:p>
    <w:p>
      <w:pPr>
        <w:spacing w:after="0" w:line="47" w:lineRule="exact"/>
        <w:rPr>
          <w:sz w:val="20"/>
          <w:szCs w:val="20"/>
          <w:color w:val="auto"/>
        </w:rPr>
      </w:pPr>
    </w:p>
    <w:p>
      <w:pPr>
        <w:ind w:left="10"/>
        <w:spacing w:after="0"/>
        <w:rPr>
          <w:sz w:val="20"/>
          <w:szCs w:val="20"/>
          <w:color w:val="auto"/>
        </w:rPr>
      </w:pPr>
      <w:r>
        <w:rPr>
          <w:rFonts w:ascii="Arial" w:cs="Arial" w:eastAsia="Arial" w:hAnsi="Arial"/>
          <w:sz w:val="17"/>
          <w:szCs w:val="17"/>
          <w:color w:val="191919"/>
        </w:rPr>
        <w:t>Chairman and Chief Executive Officer</w:t>
      </w:r>
    </w:p>
    <w:p>
      <w:pPr>
        <w:spacing w:after="0" w:line="200" w:lineRule="exact"/>
        <w:rPr>
          <w:sz w:val="20"/>
          <w:szCs w:val="20"/>
          <w:color w:val="auto"/>
        </w:rPr>
      </w:pPr>
    </w:p>
    <w:p>
      <w:pPr>
        <w:spacing w:after="0" w:line="237" w:lineRule="exact"/>
        <w:rPr>
          <w:sz w:val="20"/>
          <w:szCs w:val="20"/>
          <w:color w:val="auto"/>
        </w:rPr>
      </w:pPr>
    </w:p>
    <w:p>
      <w:pPr>
        <w:ind w:left="10"/>
        <w:spacing w:after="0" w:line="376" w:lineRule="auto"/>
        <w:rPr>
          <w:sz w:val="20"/>
          <w:szCs w:val="20"/>
          <w:color w:val="auto"/>
        </w:rPr>
      </w:pPr>
      <w:r>
        <w:rPr>
          <w:rFonts w:ascii="Arial" w:cs="Arial" w:eastAsia="Arial" w:hAnsi="Arial"/>
          <w:sz w:val="17"/>
          <w:szCs w:val="17"/>
          <w:color w:val="191919"/>
        </w:rPr>
        <w:t>Across Sterigenics, Nordion and Nelson Labs, our teams delivered results that reinforce our ability to operate with discipline, continuously improve and meet increased customer needs:</w:t>
      </w:r>
    </w:p>
    <w:p>
      <w:pPr>
        <w:spacing w:after="0" w:line="8" w:lineRule="exact"/>
        <w:rPr>
          <w:sz w:val="20"/>
          <w:szCs w:val="20"/>
          <w:color w:val="auto"/>
        </w:rPr>
      </w:pPr>
    </w:p>
    <w:p>
      <w:pPr>
        <w:ind w:left="170" w:right="280" w:hanging="170"/>
        <w:spacing w:after="0" w:line="316" w:lineRule="auto"/>
        <w:tabs>
          <w:tab w:leader="none" w:pos="170" w:val="left"/>
        </w:tabs>
        <w:numPr>
          <w:ilvl w:val="0"/>
          <w:numId w:val="2"/>
        </w:numPr>
        <w:rPr>
          <w:rFonts w:ascii="Arial" w:cs="Arial" w:eastAsia="Arial" w:hAnsi="Arial"/>
          <w:sz w:val="19"/>
          <w:szCs w:val="19"/>
          <w:color w:val="191919"/>
        </w:rPr>
      </w:pPr>
      <w:r>
        <w:rPr>
          <w:rFonts w:ascii="Arial" w:cs="Arial" w:eastAsia="Arial" w:hAnsi="Arial"/>
          <w:sz w:val="19"/>
          <w:szCs w:val="19"/>
          <w:color w:val="191919"/>
        </w:rPr>
        <w:t>Sterigenics delivered strong, high-single-digit revenue growth in 2025, expanded volume and mix, and progressed major strategic initiatives, including ethylene oxide facility enhancements and construction of our new X-ray facility, which opened in 2026.</w:t>
      </w:r>
    </w:p>
    <w:p>
      <w:pPr>
        <w:spacing w:after="0" w:line="51" w:lineRule="exact"/>
        <w:rPr>
          <w:rFonts w:ascii="Arial" w:cs="Arial" w:eastAsia="Arial" w:hAnsi="Arial"/>
          <w:sz w:val="19"/>
          <w:szCs w:val="19"/>
          <w:color w:val="191919"/>
        </w:rPr>
      </w:pPr>
    </w:p>
    <w:p>
      <w:pPr>
        <w:ind w:left="170" w:right="140" w:hanging="170"/>
        <w:spacing w:after="0" w:line="337" w:lineRule="auto"/>
        <w:tabs>
          <w:tab w:leader="none" w:pos="170" w:val="left"/>
        </w:tabs>
        <w:numPr>
          <w:ilvl w:val="0"/>
          <w:numId w:val="2"/>
        </w:numPr>
        <w:rPr>
          <w:rFonts w:ascii="Arial" w:cs="Arial" w:eastAsia="Arial" w:hAnsi="Arial"/>
          <w:sz w:val="18"/>
          <w:szCs w:val="18"/>
          <w:color w:val="191919"/>
        </w:rPr>
      </w:pPr>
      <w:r>
        <w:rPr>
          <w:rFonts w:ascii="Arial" w:cs="Arial" w:eastAsia="Arial" w:hAnsi="Arial"/>
          <w:sz w:val="18"/>
          <w:szCs w:val="18"/>
          <w:color w:val="191919"/>
        </w:rPr>
        <w:t>Nordion also delivered a strong year with high-single-digit revenue growth, signed a new once-in-a-generation cobalt development agreement and secured a historic 25-year Class 1B site license renewal – demonstrating both our regulatory leadership and deep customer trust.</w:t>
      </w:r>
    </w:p>
    <w:p>
      <w:pPr>
        <w:spacing w:after="0" w:line="36" w:lineRule="exact"/>
        <w:rPr>
          <w:rFonts w:ascii="Arial" w:cs="Arial" w:eastAsia="Arial" w:hAnsi="Arial"/>
          <w:sz w:val="18"/>
          <w:szCs w:val="18"/>
          <w:color w:val="191919"/>
        </w:rPr>
      </w:pPr>
    </w:p>
    <w:p>
      <w:pPr>
        <w:ind w:left="170" w:right="80" w:hanging="170"/>
        <w:spacing w:after="0" w:line="325" w:lineRule="auto"/>
        <w:tabs>
          <w:tab w:leader="none" w:pos="170" w:val="left"/>
        </w:tabs>
        <w:numPr>
          <w:ilvl w:val="0"/>
          <w:numId w:val="2"/>
        </w:numPr>
        <w:rPr>
          <w:rFonts w:ascii="Arial" w:cs="Arial" w:eastAsia="Arial" w:hAnsi="Arial"/>
          <w:sz w:val="19"/>
          <w:szCs w:val="19"/>
          <w:color w:val="191919"/>
        </w:rPr>
      </w:pPr>
      <w:r>
        <w:rPr>
          <w:rFonts w:ascii="Arial" w:cs="Arial" w:eastAsia="Arial" w:hAnsi="Arial"/>
          <w:sz w:val="19"/>
          <w:szCs w:val="19"/>
          <w:color w:val="191919"/>
        </w:rPr>
        <w:t>Nelson Labs advanced core lab testing, significantly improved margins and continued its investment in cleanroom infrastructure to support future growth.</w:t>
      </w:r>
    </w:p>
    <w:p>
      <w:pPr>
        <w:spacing w:after="0" w:line="42" w:lineRule="exact"/>
        <w:rPr>
          <w:sz w:val="20"/>
          <w:szCs w:val="20"/>
          <w:color w:val="auto"/>
        </w:rPr>
      </w:pPr>
    </w:p>
    <w:p>
      <w:pPr>
        <w:ind w:left="10" w:right="20"/>
        <w:spacing w:after="0" w:line="335" w:lineRule="auto"/>
        <w:rPr>
          <w:sz w:val="20"/>
          <w:szCs w:val="20"/>
          <w:color w:val="auto"/>
        </w:rPr>
      </w:pPr>
      <w:r>
        <w:rPr>
          <w:rFonts w:ascii="Arial" w:cs="Arial" w:eastAsia="Arial" w:hAnsi="Arial"/>
          <w:sz w:val="18"/>
          <w:szCs w:val="18"/>
          <w:color w:val="191919"/>
        </w:rPr>
        <w:t>Safety remains non-negotiable. High stakes drive high expectations. We invest in training, systems and engineering controls to maintain a safe work environment and to meet or exceed regulatory expectations across jurisdictions. We continue to modernize equipment and implement technologies designed to reduce emissions beyond what is required.</w:t>
      </w:r>
    </w:p>
    <w:p>
      <w:pPr>
        <w:spacing w:after="0" w:line="130" w:lineRule="exact"/>
        <w:rPr>
          <w:sz w:val="20"/>
          <w:szCs w:val="20"/>
          <w:color w:val="auto"/>
        </w:rPr>
      </w:pPr>
    </w:p>
    <w:p>
      <w:pPr>
        <w:ind w:left="10" w:right="80"/>
        <w:spacing w:after="0" w:line="373" w:lineRule="auto"/>
        <w:rPr>
          <w:sz w:val="20"/>
          <w:szCs w:val="20"/>
          <w:color w:val="auto"/>
        </w:rPr>
      </w:pPr>
      <w:r>
        <w:rPr>
          <w:rFonts w:ascii="Arial" w:cs="Arial" w:eastAsia="Arial" w:hAnsi="Arial"/>
          <w:sz w:val="18"/>
          <w:szCs w:val="18"/>
          <w:color w:val="191919"/>
        </w:rPr>
        <w:t>Our team’s unwavering focus on operational excellence remains foundational as we execute on our long-range plan.</w:t>
      </w:r>
    </w:p>
    <w:p>
      <w:pPr>
        <w:spacing w:after="0" w:line="61" w:lineRule="exact"/>
        <w:rPr>
          <w:sz w:val="20"/>
          <w:szCs w:val="20"/>
          <w:color w:val="auto"/>
        </w:rPr>
      </w:pPr>
    </w:p>
    <w:p>
      <w:pPr>
        <w:ind w:left="10"/>
        <w:spacing w:after="0"/>
        <w:rPr>
          <w:sz w:val="20"/>
          <w:szCs w:val="20"/>
          <w:color w:val="auto"/>
        </w:rPr>
      </w:pPr>
      <w:r>
        <w:rPr>
          <w:rFonts w:ascii="Arial" w:cs="Arial" w:eastAsia="Arial" w:hAnsi="Arial"/>
          <w:sz w:val="22"/>
          <w:szCs w:val="22"/>
          <w:color w:val="00074E"/>
        </w:rPr>
        <w:t>Supporting Customers and</w:t>
      </w:r>
    </w:p>
    <w:p>
      <w:pPr>
        <w:spacing w:after="0" w:line="27" w:lineRule="exact"/>
        <w:rPr>
          <w:sz w:val="20"/>
          <w:szCs w:val="20"/>
          <w:color w:val="auto"/>
        </w:rPr>
      </w:pPr>
    </w:p>
    <w:p>
      <w:pPr>
        <w:ind w:left="10"/>
        <w:spacing w:after="0"/>
        <w:rPr>
          <w:sz w:val="20"/>
          <w:szCs w:val="20"/>
          <w:color w:val="auto"/>
        </w:rPr>
      </w:pPr>
      <w:r>
        <w:rPr>
          <w:rFonts w:ascii="Arial" w:cs="Arial" w:eastAsia="Arial" w:hAnsi="Arial"/>
          <w:sz w:val="22"/>
          <w:szCs w:val="22"/>
          <w:color w:val="00074E"/>
        </w:rPr>
        <w:t>Safeguarding Global Health</w:t>
      </w:r>
      <w:r>
        <w:rPr>
          <w:rFonts w:ascii="Arial" w:cs="Arial" w:eastAsia="Arial" w:hAnsi="Arial"/>
          <w:sz w:val="12"/>
          <w:szCs w:val="12"/>
          <w:color w:val="00074E"/>
        </w:rPr>
        <w:t>®</w:t>
      </w:r>
    </w:p>
    <w:p>
      <w:pPr>
        <w:spacing w:after="0" w:line="152" w:lineRule="exact"/>
        <w:rPr>
          <w:sz w:val="20"/>
          <w:szCs w:val="20"/>
          <w:color w:val="auto"/>
        </w:rPr>
      </w:pPr>
    </w:p>
    <w:p>
      <w:pPr>
        <w:ind w:left="10" w:right="380"/>
        <w:spacing w:after="0" w:line="314" w:lineRule="auto"/>
        <w:rPr>
          <w:sz w:val="20"/>
          <w:szCs w:val="20"/>
          <w:color w:val="auto"/>
        </w:rPr>
      </w:pPr>
      <w:r>
        <w:rPr>
          <w:rFonts w:ascii="Arial" w:cs="Arial" w:eastAsia="Arial" w:hAnsi="Arial"/>
          <w:sz w:val="19"/>
          <w:szCs w:val="19"/>
          <w:color w:val="191919"/>
        </w:rPr>
        <w:t>The healthcare companies we serve depend on us to ensure the safety, reliability and readiness of products that protect and improve lives every day. Our customer satisfaction exceeded 80% this year – evidence of the trust we have earned by delivering with consistency, quality, expertise and a partnership mindset.</w:t>
      </w:r>
    </w:p>
    <w:p>
      <w:pPr>
        <w:spacing w:after="0" w:line="200" w:lineRule="exact"/>
        <w:rPr>
          <w:sz w:val="20"/>
          <w:szCs w:val="20"/>
          <w:color w:val="auto"/>
        </w:rPr>
      </w:pPr>
    </w:p>
    <w:p>
      <w:pPr>
        <w:sectPr>
          <w:pgSz w:w="11880" w:h="15480" w:orient="portrait"/>
          <w:cols w:equalWidth="0" w:num="2">
            <w:col w:w="5180" w:space="450"/>
            <w:col w:w="5030"/>
          </w:cols>
          <w:pgMar w:left="540" w:top="1353"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00074E"/>
        </w:rPr>
        <w:t>• 2</w:t>
      </w:r>
    </w:p>
    <w:p>
      <w:pPr>
        <w:sectPr>
          <w:pgSz w:w="11880" w:h="15480" w:orient="portrait"/>
          <w:cols w:equalWidth="0" w:num="1">
            <w:col w:w="10660"/>
          </w:cols>
          <w:pgMar w:left="540" w:top="1353" w:right="680" w:bottom="0" w:gutter="0" w:footer="0" w:header="0"/>
          <w:type w:val="continuous"/>
        </w:sectPr>
      </w:pPr>
    </w:p>
    <w:bookmarkStart w:id="4" w:name="page5"/>
    <w:bookmarkEnd w:id="4"/>
    <w:p>
      <w:pPr>
        <w:ind w:left="940" w:right="840" w:hanging="949"/>
        <w:spacing w:after="0" w:line="227" w:lineRule="auto"/>
        <w:rPr>
          <w:sz w:val="20"/>
          <w:szCs w:val="20"/>
          <w:color w:val="auto"/>
        </w:rPr>
      </w:pPr>
      <w:r>
        <w:rPr>
          <w:rFonts w:ascii="Arial" w:cs="Arial" w:eastAsia="Arial" w:hAnsi="Arial"/>
          <w:sz w:val="145"/>
          <w:szCs w:val="145"/>
          <w:b w:val="1"/>
          <w:bCs w:val="1"/>
          <w:color w:val="00074E"/>
        </w:rPr>
        <w:drawing>
          <wp:anchor simplePos="0" relativeHeight="251657728" behindDoc="1" locked="0" layoutInCell="0" allowOverlap="1">
            <wp:simplePos x="0" y="0"/>
            <wp:positionH relativeFrom="page">
              <wp:posOffset>0</wp:posOffset>
            </wp:positionH>
            <wp:positionV relativeFrom="page">
              <wp:posOffset>0</wp:posOffset>
            </wp:positionV>
            <wp:extent cx="7543800" cy="1828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543800" cy="1828800"/>
                    </a:xfrm>
                    <a:prstGeom prst="rect">
                      <a:avLst/>
                    </a:prstGeom>
                    <a:noFill/>
                  </pic:spPr>
                </pic:pic>
              </a:graphicData>
            </a:graphic>
          </wp:anchor>
        </w:drawing>
        <w:t>“</w:t>
      </w:r>
      <w:r>
        <w:rPr>
          <w:rFonts w:ascii="Arial" w:cs="Arial" w:eastAsia="Arial" w:hAnsi="Arial"/>
          <w:sz w:val="27"/>
          <w:szCs w:val="27"/>
          <w:color w:val="00074E"/>
        </w:rPr>
        <w:t>We are united by a common purpose –</w:t>
      </w:r>
      <w:r>
        <w:rPr>
          <w:rFonts w:ascii="Arial" w:cs="Arial" w:eastAsia="Arial" w:hAnsi="Arial"/>
          <w:sz w:val="145"/>
          <w:szCs w:val="145"/>
          <w:b w:val="1"/>
          <w:bCs w:val="1"/>
          <w:color w:val="00074E"/>
        </w:rPr>
        <w:t xml:space="preserve"> </w:t>
      </w:r>
      <w:r>
        <w:rPr>
          <w:rFonts w:ascii="Arial" w:cs="Arial" w:eastAsia="Arial" w:hAnsi="Arial"/>
          <w:sz w:val="27"/>
          <w:szCs w:val="27"/>
          <w:color w:val="00074E"/>
        </w:rPr>
        <w:t>a global leader positioned</w:t>
      </w:r>
      <w:r>
        <w:rPr>
          <w:rFonts w:ascii="Arial" w:cs="Arial" w:eastAsia="Arial" w:hAnsi="Arial"/>
          <w:sz w:val="145"/>
          <w:szCs w:val="145"/>
          <w:b w:val="1"/>
          <w:bCs w:val="1"/>
          <w:color w:val="00074E"/>
        </w:rPr>
        <w:t xml:space="preserve"> </w:t>
      </w:r>
      <w:r>
        <w:rPr>
          <w:rFonts w:ascii="Arial" w:cs="Arial" w:eastAsia="Arial" w:hAnsi="Arial"/>
          <w:sz w:val="27"/>
          <w:szCs w:val="27"/>
          <w:color w:val="00074E"/>
        </w:rPr>
        <w:t>for sustainable growth, delivering compounding value while advancing our mission of Safeguarding Global Health</w:t>
      </w:r>
      <w:r>
        <w:rPr>
          <w:rFonts w:ascii="Arial" w:cs="Arial" w:eastAsia="Arial" w:hAnsi="Arial"/>
          <w:sz w:val="17"/>
          <w:szCs w:val="17"/>
          <w:color w:val="00074E"/>
        </w:rPr>
        <w:t>®</w:t>
      </w:r>
      <w:r>
        <w:rPr>
          <w:rFonts w:ascii="Arial" w:cs="Arial" w:eastAsia="Arial" w:hAnsi="Arial"/>
          <w:sz w:val="27"/>
          <w:szCs w:val="27"/>
          <w:color w:val="00074E"/>
        </w:rPr>
        <w:t>.</w:t>
      </w:r>
    </w:p>
    <w:p>
      <w:pPr>
        <w:sectPr>
          <w:pgSz w:w="11880" w:h="15480" w:orient="portrait"/>
          <w:cols w:equalWidth="0" w:num="1">
            <w:col w:w="10440"/>
          </w:cols>
          <w:pgMar w:left="900" w:top="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319" w:lineRule="auto"/>
        <w:rPr>
          <w:sz w:val="20"/>
          <w:szCs w:val="20"/>
          <w:color w:val="auto"/>
        </w:rPr>
      </w:pPr>
      <w:r>
        <w:rPr>
          <w:rFonts w:ascii="Arial" w:cs="Arial" w:eastAsia="Arial" w:hAnsi="Arial"/>
          <w:sz w:val="19"/>
          <w:szCs w:val="19"/>
          <w:color w:val="191919"/>
        </w:rPr>
        <w:t>We multiply this impact by offering integrated end-to-end solutions that enhance operational efficiency, reduce complexity and provide confidence in an increasingly regulated environment.</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001659"/>
        </w:rPr>
        <w:t>Building a More Resilient Global Supply Chain</w:t>
      </w:r>
    </w:p>
    <w:p>
      <w:pPr>
        <w:spacing w:after="0" w:line="152" w:lineRule="exact"/>
        <w:rPr>
          <w:sz w:val="20"/>
          <w:szCs w:val="20"/>
          <w:color w:val="auto"/>
        </w:rPr>
      </w:pPr>
    </w:p>
    <w:p>
      <w:pPr>
        <w:ind w:right="40"/>
        <w:spacing w:after="0" w:line="334" w:lineRule="auto"/>
        <w:rPr>
          <w:sz w:val="20"/>
          <w:szCs w:val="20"/>
          <w:color w:val="auto"/>
        </w:rPr>
      </w:pPr>
      <w:r>
        <w:rPr>
          <w:rFonts w:ascii="Arial" w:cs="Arial" w:eastAsia="Arial" w:hAnsi="Arial"/>
          <w:sz w:val="18"/>
          <w:szCs w:val="18"/>
          <w:color w:val="191919"/>
        </w:rPr>
        <w:t>In a world defined by evolving risk, global disruptions and growing interdependencies, our role as a critical supply chain partner has never been more essential. Reliability in healthcare is not an option; companies across the healthcare ecosystem look to us for reliability in an ever-changing and challenging environment.</w:t>
      </w:r>
    </w:p>
    <w:p>
      <w:pPr>
        <w:spacing w:after="0" w:line="132" w:lineRule="exact"/>
        <w:rPr>
          <w:sz w:val="20"/>
          <w:szCs w:val="20"/>
          <w:color w:val="auto"/>
        </w:rPr>
      </w:pPr>
    </w:p>
    <w:p>
      <w:pPr>
        <w:ind w:right="100"/>
        <w:spacing w:after="0" w:line="315" w:lineRule="auto"/>
        <w:rPr>
          <w:sz w:val="20"/>
          <w:szCs w:val="20"/>
          <w:color w:val="auto"/>
        </w:rPr>
      </w:pPr>
      <w:r>
        <w:rPr>
          <w:rFonts w:ascii="Arial" w:cs="Arial" w:eastAsia="Arial" w:hAnsi="Arial"/>
          <w:sz w:val="19"/>
          <w:szCs w:val="19"/>
          <w:color w:val="191919"/>
        </w:rPr>
        <w:t>By investing in infrastructure, strengthening our cobalt supply chain, modernizing facilities and expanding alternative modalities, we are building a supply chain that is stronger, more resilient and ready to ensure we remain the partner of choice for decades to come.</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color w:val="001659"/>
        </w:rPr>
        <w:t>Disciplined Capital Allocation and Value Creation</w:t>
      </w:r>
    </w:p>
    <w:p>
      <w:pPr>
        <w:spacing w:after="0" w:line="164" w:lineRule="exact"/>
        <w:rPr>
          <w:sz w:val="20"/>
          <w:szCs w:val="20"/>
          <w:color w:val="auto"/>
        </w:rPr>
      </w:pPr>
    </w:p>
    <w:p>
      <w:pPr>
        <w:ind w:right="20"/>
        <w:spacing w:after="0" w:line="315" w:lineRule="auto"/>
        <w:rPr>
          <w:sz w:val="20"/>
          <w:szCs w:val="20"/>
          <w:color w:val="auto"/>
        </w:rPr>
      </w:pPr>
      <w:r>
        <w:rPr>
          <w:rFonts w:ascii="Arial" w:cs="Arial" w:eastAsia="Arial" w:hAnsi="Arial"/>
          <w:sz w:val="19"/>
          <w:szCs w:val="19"/>
          <w:color w:val="191919"/>
        </w:rPr>
        <w:t>Our financial foundation continues to strengthen. In 2025, we improved our net leverage, lowered our borrowing costs and expanded liquidity. We operate with a disciplined capital allocation framework designed to maximize long-term value creation. This includes:</w:t>
      </w:r>
    </w:p>
    <w:p>
      <w:pPr>
        <w:spacing w:after="0" w:line="54" w:lineRule="exact"/>
        <w:rPr>
          <w:sz w:val="20"/>
          <w:szCs w:val="20"/>
          <w:color w:val="auto"/>
        </w:rPr>
      </w:pPr>
    </w:p>
    <w:p>
      <w:pPr>
        <w:ind w:left="180" w:right="380" w:hanging="180"/>
        <w:spacing w:after="0" w:line="344" w:lineRule="auto"/>
        <w:tabs>
          <w:tab w:leader="none" w:pos="180" w:val="left"/>
        </w:tabs>
        <w:numPr>
          <w:ilvl w:val="0"/>
          <w:numId w:val="4"/>
        </w:numPr>
        <w:rPr>
          <w:rFonts w:ascii="Arial" w:cs="Arial" w:eastAsia="Arial" w:hAnsi="Arial"/>
          <w:sz w:val="19"/>
          <w:szCs w:val="19"/>
          <w:color w:val="191919"/>
        </w:rPr>
      </w:pPr>
      <w:r>
        <w:rPr>
          <w:rFonts w:ascii="Arial" w:cs="Arial" w:eastAsia="Arial" w:hAnsi="Arial"/>
          <w:sz w:val="19"/>
          <w:szCs w:val="19"/>
          <w:color w:val="191919"/>
        </w:rPr>
        <w:t>Investing in high-return growth opportunities across capacity, technology and innovation.</w:t>
      </w:r>
    </w:p>
    <w:p>
      <w:pPr>
        <w:spacing w:after="0" w:line="23" w:lineRule="exact"/>
        <w:rPr>
          <w:rFonts w:ascii="Arial" w:cs="Arial" w:eastAsia="Arial" w:hAnsi="Arial"/>
          <w:sz w:val="19"/>
          <w:szCs w:val="19"/>
          <w:color w:val="191919"/>
        </w:rPr>
      </w:pPr>
    </w:p>
    <w:p>
      <w:pPr>
        <w:ind w:left="180" w:right="640" w:hanging="180"/>
        <w:spacing w:after="0" w:line="344" w:lineRule="auto"/>
        <w:tabs>
          <w:tab w:leader="none" w:pos="180" w:val="left"/>
        </w:tabs>
        <w:numPr>
          <w:ilvl w:val="0"/>
          <w:numId w:val="4"/>
        </w:numPr>
        <w:rPr>
          <w:rFonts w:ascii="Arial" w:cs="Arial" w:eastAsia="Arial" w:hAnsi="Arial"/>
          <w:sz w:val="19"/>
          <w:szCs w:val="19"/>
          <w:color w:val="191919"/>
        </w:rPr>
      </w:pPr>
      <w:r>
        <w:rPr>
          <w:rFonts w:ascii="Arial" w:cs="Arial" w:eastAsia="Arial" w:hAnsi="Arial"/>
          <w:sz w:val="19"/>
          <w:szCs w:val="19"/>
          <w:color w:val="191919"/>
        </w:rPr>
        <w:t>Driving productivity and cash flow improvements through operational excellence.</w:t>
      </w:r>
    </w:p>
    <w:p>
      <w:pPr>
        <w:spacing w:after="0" w:line="23" w:lineRule="exact"/>
        <w:rPr>
          <w:rFonts w:ascii="Arial" w:cs="Arial" w:eastAsia="Arial" w:hAnsi="Arial"/>
          <w:sz w:val="19"/>
          <w:szCs w:val="19"/>
          <w:color w:val="191919"/>
        </w:rPr>
      </w:pPr>
    </w:p>
    <w:p>
      <w:pPr>
        <w:ind w:left="180" w:right="300" w:hanging="180"/>
        <w:spacing w:after="0" w:line="344" w:lineRule="auto"/>
        <w:tabs>
          <w:tab w:leader="none" w:pos="180" w:val="left"/>
        </w:tabs>
        <w:numPr>
          <w:ilvl w:val="0"/>
          <w:numId w:val="4"/>
        </w:numPr>
        <w:rPr>
          <w:rFonts w:ascii="Arial" w:cs="Arial" w:eastAsia="Arial" w:hAnsi="Arial"/>
          <w:sz w:val="19"/>
          <w:szCs w:val="19"/>
          <w:color w:val="191919"/>
        </w:rPr>
      </w:pPr>
      <w:r>
        <w:rPr>
          <w:rFonts w:ascii="Arial" w:cs="Arial" w:eastAsia="Arial" w:hAnsi="Arial"/>
          <w:sz w:val="19"/>
          <w:szCs w:val="19"/>
          <w:color w:val="191919"/>
        </w:rPr>
        <w:t>Strengthening our balance sheet to enhance resilience and financial flexibility.</w:t>
      </w:r>
    </w:p>
    <w:p>
      <w:pPr>
        <w:spacing w:after="0" w:line="23" w:lineRule="exact"/>
        <w:rPr>
          <w:rFonts w:ascii="Arial" w:cs="Arial" w:eastAsia="Arial" w:hAnsi="Arial"/>
          <w:sz w:val="19"/>
          <w:szCs w:val="19"/>
          <w:color w:val="191919"/>
        </w:rPr>
      </w:pPr>
    </w:p>
    <w:p>
      <w:pPr>
        <w:ind w:left="180" w:hanging="180"/>
        <w:spacing w:after="0" w:line="376" w:lineRule="auto"/>
        <w:tabs>
          <w:tab w:leader="none" w:pos="180" w:val="left"/>
        </w:tabs>
        <w:numPr>
          <w:ilvl w:val="0"/>
          <w:numId w:val="4"/>
        </w:numPr>
        <w:rPr>
          <w:rFonts w:ascii="Arial" w:cs="Arial" w:eastAsia="Arial" w:hAnsi="Arial"/>
          <w:sz w:val="18"/>
          <w:szCs w:val="18"/>
          <w:color w:val="191919"/>
        </w:rPr>
      </w:pPr>
      <w:r>
        <w:rPr>
          <w:rFonts w:ascii="Arial" w:cs="Arial" w:eastAsia="Arial" w:hAnsi="Arial"/>
          <w:sz w:val="18"/>
          <w:szCs w:val="18"/>
          <w:color w:val="191919"/>
        </w:rPr>
        <w:t>Maintaining a disciplined approach to capital deployment grounded in returns, risk management and strategic fit.</w:t>
      </w:r>
    </w:p>
    <w:p>
      <w:pPr>
        <w:spacing w:after="0" w:line="4" w:lineRule="exact"/>
        <w:rPr>
          <w:sz w:val="20"/>
          <w:szCs w:val="20"/>
          <w:color w:val="auto"/>
        </w:rPr>
      </w:pPr>
    </w:p>
    <w:p>
      <w:pPr>
        <w:ind w:right="40"/>
        <w:spacing w:after="0" w:line="318" w:lineRule="auto"/>
        <w:rPr>
          <w:sz w:val="20"/>
          <w:szCs w:val="20"/>
          <w:color w:val="auto"/>
        </w:rPr>
      </w:pPr>
      <w:r>
        <w:rPr>
          <w:rFonts w:ascii="Arial" w:cs="Arial" w:eastAsia="Arial" w:hAnsi="Arial"/>
          <w:sz w:val="19"/>
          <w:szCs w:val="19"/>
          <w:color w:val="191919"/>
        </w:rPr>
        <w:t>We believe this balanced approach positions us well to meet our target of generating strong, cumulative free cash flow of $500 million to $600 million from 2025 to 2027, while appropriately investing for future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
        <w:spacing w:after="0"/>
        <w:rPr>
          <w:sz w:val="20"/>
          <w:szCs w:val="20"/>
          <w:color w:val="auto"/>
        </w:rPr>
      </w:pPr>
      <w:r>
        <w:rPr>
          <w:rFonts w:ascii="Arial" w:cs="Arial" w:eastAsia="Arial" w:hAnsi="Arial"/>
          <w:sz w:val="22"/>
          <w:szCs w:val="22"/>
          <w:color w:val="001659"/>
        </w:rPr>
        <w:t>Looking Ahead</w:t>
      </w:r>
    </w:p>
    <w:p>
      <w:pPr>
        <w:spacing w:after="0" w:line="152" w:lineRule="exact"/>
        <w:rPr>
          <w:sz w:val="20"/>
          <w:szCs w:val="20"/>
          <w:color w:val="auto"/>
        </w:rPr>
      </w:pPr>
    </w:p>
    <w:p>
      <w:pPr>
        <w:ind w:left="10"/>
        <w:spacing w:after="0"/>
        <w:rPr>
          <w:sz w:val="20"/>
          <w:szCs w:val="20"/>
          <w:color w:val="auto"/>
        </w:rPr>
      </w:pPr>
      <w:r>
        <w:rPr>
          <w:rFonts w:ascii="Arial" w:cs="Arial" w:eastAsia="Arial" w:hAnsi="Arial"/>
          <w:sz w:val="19"/>
          <w:szCs w:val="19"/>
          <w:color w:val="191919"/>
        </w:rPr>
        <w:t>We enter 2026 with focus, momentum and confidence.</w:t>
      </w:r>
    </w:p>
    <w:p>
      <w:pPr>
        <w:spacing w:after="0" w:line="62" w:lineRule="exact"/>
        <w:rPr>
          <w:sz w:val="20"/>
          <w:szCs w:val="20"/>
          <w:color w:val="auto"/>
        </w:rPr>
      </w:pPr>
    </w:p>
    <w:p>
      <w:pPr>
        <w:ind w:left="10"/>
        <w:spacing w:after="0"/>
        <w:rPr>
          <w:sz w:val="20"/>
          <w:szCs w:val="20"/>
          <w:color w:val="auto"/>
        </w:rPr>
      </w:pPr>
      <w:r>
        <w:rPr>
          <w:rFonts w:ascii="Arial" w:cs="Arial" w:eastAsia="Arial" w:hAnsi="Arial"/>
          <w:sz w:val="19"/>
          <w:szCs w:val="19"/>
          <w:color w:val="191919"/>
        </w:rPr>
        <w:t>Our strategy is clear:</w:t>
      </w:r>
    </w:p>
    <w:p>
      <w:pPr>
        <w:spacing w:after="0" w:line="149" w:lineRule="exact"/>
        <w:rPr>
          <w:sz w:val="20"/>
          <w:szCs w:val="20"/>
          <w:color w:val="auto"/>
        </w:rPr>
      </w:pPr>
    </w:p>
    <w:p>
      <w:pPr>
        <w:ind w:left="190" w:right="1300" w:hanging="190"/>
        <w:spacing w:after="0" w:line="346" w:lineRule="auto"/>
        <w:tabs>
          <w:tab w:leader="none" w:pos="190" w:val="left"/>
        </w:tabs>
        <w:numPr>
          <w:ilvl w:val="0"/>
          <w:numId w:val="5"/>
        </w:numPr>
        <w:rPr>
          <w:rFonts w:ascii="Arial" w:cs="Arial" w:eastAsia="Arial" w:hAnsi="Arial"/>
          <w:sz w:val="19"/>
          <w:szCs w:val="19"/>
          <w:color w:val="191919"/>
        </w:rPr>
      </w:pPr>
      <w:r>
        <w:rPr>
          <w:rFonts w:ascii="Arial" w:cs="Arial" w:eastAsia="Arial" w:hAnsi="Arial"/>
          <w:sz w:val="19"/>
          <w:szCs w:val="19"/>
          <w:color w:val="191919"/>
        </w:rPr>
        <w:t>Deliver excellence in serving our customers with end-to-end solutions.</w:t>
      </w:r>
    </w:p>
    <w:p>
      <w:pPr>
        <w:spacing w:after="0" w:line="20" w:lineRule="exact"/>
        <w:rPr>
          <w:rFonts w:ascii="Arial" w:cs="Arial" w:eastAsia="Arial" w:hAnsi="Arial"/>
          <w:sz w:val="19"/>
          <w:szCs w:val="19"/>
          <w:color w:val="191919"/>
        </w:rPr>
      </w:pPr>
    </w:p>
    <w:p>
      <w:pPr>
        <w:ind w:left="190" w:hanging="190"/>
        <w:spacing w:after="0"/>
        <w:tabs>
          <w:tab w:leader="none" w:pos="190" w:val="left"/>
        </w:tabs>
        <w:numPr>
          <w:ilvl w:val="0"/>
          <w:numId w:val="5"/>
        </w:numPr>
        <w:rPr>
          <w:rFonts w:ascii="Arial" w:cs="Arial" w:eastAsia="Arial" w:hAnsi="Arial"/>
          <w:sz w:val="19"/>
          <w:szCs w:val="19"/>
          <w:color w:val="191919"/>
        </w:rPr>
      </w:pPr>
      <w:r>
        <w:rPr>
          <w:rFonts w:ascii="Arial" w:cs="Arial" w:eastAsia="Arial" w:hAnsi="Arial"/>
          <w:sz w:val="19"/>
          <w:szCs w:val="19"/>
          <w:color w:val="191919"/>
        </w:rPr>
        <w:t>Win in growth markets.</w:t>
      </w:r>
    </w:p>
    <w:p>
      <w:pPr>
        <w:spacing w:after="0" w:line="151" w:lineRule="exact"/>
        <w:rPr>
          <w:rFonts w:ascii="Arial" w:cs="Arial" w:eastAsia="Arial" w:hAnsi="Arial"/>
          <w:sz w:val="19"/>
          <w:szCs w:val="19"/>
          <w:color w:val="191919"/>
        </w:rPr>
      </w:pPr>
    </w:p>
    <w:p>
      <w:pPr>
        <w:ind w:left="190" w:hanging="190"/>
        <w:spacing w:after="0"/>
        <w:tabs>
          <w:tab w:leader="none" w:pos="190" w:val="left"/>
        </w:tabs>
        <w:numPr>
          <w:ilvl w:val="0"/>
          <w:numId w:val="5"/>
        </w:numPr>
        <w:rPr>
          <w:rFonts w:ascii="Arial" w:cs="Arial" w:eastAsia="Arial" w:hAnsi="Arial"/>
          <w:sz w:val="18"/>
          <w:szCs w:val="18"/>
          <w:color w:val="191919"/>
        </w:rPr>
      </w:pPr>
      <w:r>
        <w:rPr>
          <w:rFonts w:ascii="Arial" w:cs="Arial" w:eastAsia="Arial" w:hAnsi="Arial"/>
          <w:sz w:val="18"/>
          <w:szCs w:val="18"/>
          <w:color w:val="191919"/>
        </w:rPr>
        <w:t>Drive operational excellence to enhance free cash flow.</w:t>
      </w:r>
    </w:p>
    <w:p>
      <w:pPr>
        <w:spacing w:after="0" w:line="162" w:lineRule="exact"/>
        <w:rPr>
          <w:rFonts w:ascii="Arial" w:cs="Arial" w:eastAsia="Arial" w:hAnsi="Arial"/>
          <w:sz w:val="18"/>
          <w:szCs w:val="18"/>
          <w:color w:val="191919"/>
        </w:rPr>
      </w:pPr>
    </w:p>
    <w:p>
      <w:pPr>
        <w:ind w:left="190" w:hanging="190"/>
        <w:spacing w:after="0"/>
        <w:tabs>
          <w:tab w:leader="none" w:pos="190" w:val="left"/>
        </w:tabs>
        <w:numPr>
          <w:ilvl w:val="0"/>
          <w:numId w:val="5"/>
        </w:numPr>
        <w:rPr>
          <w:rFonts w:ascii="Arial" w:cs="Arial" w:eastAsia="Arial" w:hAnsi="Arial"/>
          <w:sz w:val="19"/>
          <w:szCs w:val="19"/>
          <w:color w:val="191919"/>
        </w:rPr>
      </w:pPr>
      <w:r>
        <w:rPr>
          <w:rFonts w:ascii="Arial" w:cs="Arial" w:eastAsia="Arial" w:hAnsi="Arial"/>
          <w:sz w:val="19"/>
          <w:szCs w:val="19"/>
          <w:color w:val="191919"/>
        </w:rPr>
        <w:t>Ensure disciplined capital deployment.</w:t>
      </w:r>
    </w:p>
    <w:p>
      <w:pPr>
        <w:spacing w:after="0" w:line="244" w:lineRule="exact"/>
        <w:rPr>
          <w:sz w:val="20"/>
          <w:szCs w:val="20"/>
          <w:color w:val="auto"/>
        </w:rPr>
      </w:pPr>
    </w:p>
    <w:p>
      <w:pPr>
        <w:ind w:left="10" w:right="640"/>
        <w:spacing w:after="0" w:line="315" w:lineRule="auto"/>
        <w:rPr>
          <w:sz w:val="20"/>
          <w:szCs w:val="20"/>
          <w:color w:val="auto"/>
        </w:rPr>
      </w:pPr>
      <w:r>
        <w:rPr>
          <w:rFonts w:ascii="Arial" w:cs="Arial" w:eastAsia="Arial" w:hAnsi="Arial"/>
          <w:sz w:val="19"/>
          <w:szCs w:val="19"/>
          <w:color w:val="191919"/>
        </w:rPr>
        <w:t>Our work sits at the intersection of innovation, reliability and public health. As healthcare becomes more global, more regulated and more technology-enabled, the importance of our role grows. We will continue to lead – confidently, responsibly and at scale.</w:t>
      </w:r>
    </w:p>
    <w:p>
      <w:pPr>
        <w:spacing w:after="0" w:line="111" w:lineRule="exact"/>
        <w:rPr>
          <w:sz w:val="20"/>
          <w:szCs w:val="20"/>
          <w:color w:val="auto"/>
        </w:rPr>
      </w:pPr>
    </w:p>
    <w:p>
      <w:pPr>
        <w:ind w:left="10"/>
        <w:spacing w:after="0"/>
        <w:rPr>
          <w:sz w:val="20"/>
          <w:szCs w:val="20"/>
          <w:color w:val="auto"/>
        </w:rPr>
      </w:pPr>
      <w:r>
        <w:rPr>
          <w:rFonts w:ascii="Arial" w:cs="Arial" w:eastAsia="Arial" w:hAnsi="Arial"/>
          <w:sz w:val="22"/>
          <w:szCs w:val="22"/>
          <w:color w:val="001659"/>
        </w:rPr>
        <w:t>A Final Word of Thanks</w:t>
      </w:r>
    </w:p>
    <w:p>
      <w:pPr>
        <w:spacing w:after="0" w:line="152" w:lineRule="exact"/>
        <w:rPr>
          <w:sz w:val="20"/>
          <w:szCs w:val="20"/>
          <w:color w:val="auto"/>
        </w:rPr>
      </w:pPr>
    </w:p>
    <w:p>
      <w:pPr>
        <w:ind w:left="10" w:right="620"/>
        <w:spacing w:after="0" w:line="353" w:lineRule="auto"/>
        <w:rPr>
          <w:sz w:val="20"/>
          <w:szCs w:val="20"/>
          <w:color w:val="auto"/>
        </w:rPr>
      </w:pPr>
      <w:r>
        <w:rPr>
          <w:rFonts w:ascii="Arial" w:cs="Arial" w:eastAsia="Arial" w:hAnsi="Arial"/>
          <w:sz w:val="17"/>
          <w:szCs w:val="17"/>
          <w:color w:val="191919"/>
        </w:rPr>
        <w:t>To our employees: your expertise, commitment to our stockholders and accountability turn strategy into reality. To our customers: your trust is our license to operate, and we will work to earn it every day. To our stockholders: thank you for your continued confidence and engagement. We are united by a common purpose – a global leader positioned for sustainable growth, delivering compounding value while advancing our mission of Safeguarding Global Health</w:t>
      </w:r>
      <w:r>
        <w:rPr>
          <w:rFonts w:ascii="Arial" w:cs="Arial" w:eastAsia="Arial" w:hAnsi="Arial"/>
          <w:sz w:val="10"/>
          <w:szCs w:val="10"/>
          <w:color w:val="191919"/>
        </w:rPr>
        <w:t>®</w:t>
      </w:r>
      <w:r>
        <w:rPr>
          <w:rFonts w:ascii="Arial" w:cs="Arial" w:eastAsia="Arial" w:hAnsi="Arial"/>
          <w:sz w:val="17"/>
          <w:szCs w:val="17"/>
          <w:color w:val="19191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-1232535</wp:posOffset>
            </wp:positionV>
            <wp:extent cx="5549265" cy="3959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9265" cy="395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
        <w:spacing w:after="0"/>
        <w:rPr>
          <w:sz w:val="20"/>
          <w:szCs w:val="20"/>
          <w:color w:val="auto"/>
        </w:rPr>
      </w:pPr>
      <w:r>
        <w:rPr>
          <w:rFonts w:ascii="Arial" w:cs="Arial" w:eastAsia="Arial" w:hAnsi="Arial"/>
          <w:sz w:val="19"/>
          <w:szCs w:val="19"/>
          <w:color w:val="191919"/>
        </w:rPr>
        <w:t>Michael B. Petras, Jr.</w:t>
      </w:r>
    </w:p>
    <w:p>
      <w:pPr>
        <w:spacing w:after="0" w:line="64" w:lineRule="exact"/>
        <w:rPr>
          <w:sz w:val="20"/>
          <w:szCs w:val="20"/>
          <w:color w:val="auto"/>
        </w:rPr>
      </w:pPr>
    </w:p>
    <w:p>
      <w:pPr>
        <w:ind w:left="10"/>
        <w:spacing w:after="0"/>
        <w:rPr>
          <w:sz w:val="20"/>
          <w:szCs w:val="20"/>
          <w:color w:val="auto"/>
        </w:rPr>
      </w:pPr>
      <w:r>
        <w:rPr>
          <w:rFonts w:ascii="Arial" w:cs="Arial" w:eastAsia="Arial" w:hAnsi="Arial"/>
          <w:sz w:val="19"/>
          <w:szCs w:val="19"/>
          <w:color w:val="191919"/>
        </w:rPr>
        <w:t>Chairman and Chief Executive Officer</w:t>
      </w:r>
    </w:p>
    <w:p>
      <w:pPr>
        <w:spacing w:after="0" w:line="2182" w:lineRule="exact"/>
        <w:rPr>
          <w:sz w:val="20"/>
          <w:szCs w:val="20"/>
          <w:color w:val="auto"/>
        </w:rPr>
      </w:pPr>
    </w:p>
    <w:p>
      <w:pPr>
        <w:sectPr>
          <w:pgSz w:w="11880" w:h="15480" w:orient="portrait"/>
          <w:cols w:equalWidth="0" w:num="2">
            <w:col w:w="4740" w:space="390"/>
            <w:col w:w="5310"/>
          </w:cols>
          <w:pgMar w:left="900" w:top="0" w:right="540" w:bottom="0" w:gutter="0" w:footer="0" w:header="0"/>
          <w:type w:val="continuous"/>
        </w:sectPr>
      </w:pPr>
    </w:p>
    <w:p>
      <w:pPr>
        <w:ind w:left="10260"/>
        <w:spacing w:after="0"/>
        <w:rPr>
          <w:sz w:val="20"/>
          <w:szCs w:val="20"/>
          <w:color w:val="auto"/>
        </w:rPr>
      </w:pPr>
      <w:r>
        <w:rPr>
          <w:rFonts w:ascii="Arial" w:cs="Arial" w:eastAsia="Arial" w:hAnsi="Arial"/>
          <w:sz w:val="15"/>
          <w:szCs w:val="15"/>
          <w:color w:val="00074E"/>
        </w:rPr>
        <w:t>• 3</w:t>
      </w:r>
    </w:p>
    <w:p>
      <w:pPr>
        <w:sectPr>
          <w:pgSz w:w="11880" w:h="15480" w:orient="portrait"/>
          <w:cols w:equalWidth="0" w:num="1">
            <w:col w:w="10440"/>
          </w:cols>
          <w:pgMar w:left="900" w:top="0" w:right="540" w:bottom="0" w:gutter="0" w:footer="0" w:header="0"/>
          <w:type w:val="continuous"/>
        </w:sectPr>
      </w:pPr>
    </w:p>
    <w:bookmarkStart w:id="5" w:name="page6"/>
    <w:bookmarkEnd w:id="5"/>
    <w:p>
      <w:pPr>
        <w:ind w:left="1080"/>
        <w:spacing w:after="0"/>
        <w:rPr>
          <w:sz w:val="20"/>
          <w:szCs w:val="20"/>
          <w:color w:val="auto"/>
        </w:rPr>
      </w:pPr>
      <w:r>
        <w:rPr>
          <w:rFonts w:ascii="Arial" w:cs="Arial" w:eastAsia="Arial" w:hAnsi="Arial"/>
          <w:sz w:val="23"/>
          <w:szCs w:val="23"/>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Board of Directors</w:t>
      </w:r>
    </w:p>
    <w:p>
      <w:pPr>
        <w:sectPr>
          <w:pgSz w:w="11880" w:h="15480" w:orient="portrait"/>
          <w:cols w:equalWidth="0" w:num="1">
            <w:col w:w="10720"/>
          </w:cols>
          <w:pgMar w:left="540" w:top="1371"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80"/>
        <w:spacing w:after="0"/>
        <w:rPr>
          <w:sz w:val="20"/>
          <w:szCs w:val="20"/>
          <w:color w:val="auto"/>
        </w:rPr>
      </w:pPr>
      <w:r>
        <w:rPr>
          <w:rFonts w:ascii="Arial" w:cs="Arial" w:eastAsia="Arial" w:hAnsi="Arial"/>
          <w:sz w:val="11"/>
          <w:szCs w:val="11"/>
          <w:i w:val="1"/>
          <w:iCs w:val="1"/>
          <w:color w:val="808080"/>
        </w:rPr>
        <w:t>Back row left to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303" w:lineRule="auto"/>
        <w:rPr>
          <w:sz w:val="20"/>
          <w:szCs w:val="20"/>
          <w:color w:val="auto"/>
        </w:rPr>
      </w:pPr>
      <w:r>
        <w:rPr>
          <w:rFonts w:ascii="Arial" w:cs="Arial" w:eastAsia="Arial" w:hAnsi="Arial"/>
          <w:sz w:val="13"/>
          <w:szCs w:val="13"/>
          <w:color w:val="191919"/>
        </w:rPr>
        <w:t>Robert B. Knauss, Managing Director, Warburg Pincus; Christopher A. Simon, President and Chief Executive Officer, Haemonetics; Karen A. Flynn, Former Senior Vice President and Chief Commercial Officer, Catalent Pharma Solutions; James C. Neary, Managing Director, Co-Head of U.S. Private Equity, Warburg Pincus; Ruoxi Chen, Managing Director, Warburg Pincus; Sean L. Cunningham, Managing Director, GTCR; David E. Wheadon, M.D., Former Senior Vice President, Global Regulatory Affairs, Patient Safety and Quality Assurance, AstraZeneca PLC; Constantine S. Mihas, Managing Director, GTCR (resigned from the Board of Directors, effective March 16, 2026)</w:t>
      </w:r>
    </w:p>
    <w:p>
      <w:pPr>
        <w:spacing w:after="0" w:line="47" w:lineRule="exact"/>
        <w:rPr>
          <w:sz w:val="20"/>
          <w:szCs w:val="20"/>
          <w:color w:val="auto"/>
        </w:rPr>
      </w:pPr>
    </w:p>
    <w:p>
      <w:pPr>
        <w:sectPr>
          <w:pgSz w:w="11880" w:h="15480" w:orient="portrait"/>
          <w:cols w:equalWidth="0" w:num="2">
            <w:col w:w="2140" w:space="320"/>
            <w:col w:w="8260"/>
          </w:cols>
          <w:pgMar w:left="540" w:top="1371" w:right="620" w:bottom="0" w:gutter="0" w:footer="0" w:header="0"/>
          <w:type w:val="continuous"/>
        </w:sectPr>
      </w:pPr>
    </w:p>
    <w:p>
      <w:pPr>
        <w:ind w:left="2460" w:right="140" w:hanging="1393"/>
        <w:spacing w:after="0" w:line="286" w:lineRule="auto"/>
        <w:tabs>
          <w:tab w:leader="none" w:pos="2440" w:val="left"/>
        </w:tabs>
        <w:rPr>
          <w:sz w:val="20"/>
          <w:szCs w:val="20"/>
          <w:color w:val="auto"/>
        </w:rPr>
      </w:pPr>
      <w:r>
        <w:rPr>
          <w:rFonts w:ascii="Arial" w:cs="Arial" w:eastAsia="Arial" w:hAnsi="Arial"/>
          <w:sz w:val="12"/>
          <w:szCs w:val="12"/>
          <w:i w:val="1"/>
          <w:iCs w:val="1"/>
          <w:color w:val="808080"/>
        </w:rPr>
        <w:t>Seated left to right:</w:t>
      </w:r>
      <w:r>
        <w:rPr>
          <w:sz w:val="20"/>
          <w:szCs w:val="20"/>
          <w:color w:val="auto"/>
        </w:rPr>
        <w:tab/>
      </w:r>
      <w:r>
        <w:rPr>
          <w:rFonts w:ascii="Arial" w:cs="Arial" w:eastAsia="Arial" w:hAnsi="Arial"/>
          <w:sz w:val="14"/>
          <w:szCs w:val="14"/>
          <w:color w:val="191919"/>
        </w:rPr>
        <w:t>Vincent K. Petrella, Lead Independent Director, Sotera Health; Former Executive Vice President, Chief Financial Officer and Treasurer, Lincoln Electric Holdings, Inc.; Michael B. Petras, Jr., Chairman and Chief Executive Officer, Sotera Health; Ann R. Klee, Former Executive Vice President of Business Development &amp; External Affairs, Suffolk Construction</w:t>
      </w:r>
    </w:p>
    <w:p>
      <w:pPr>
        <w:spacing w:after="0" w:line="55" w:lineRule="exact"/>
        <w:rPr>
          <w:sz w:val="20"/>
          <w:szCs w:val="20"/>
          <w:color w:val="auto"/>
        </w:rPr>
      </w:pPr>
    </w:p>
    <w:tbl>
      <w:tblPr>
        <w:tblLayout w:type="fixed"/>
        <w:tblInd w:w="1020" w:type="dxa"/>
        <w:tblCellMar>
          <w:top w:w="0" w:type="dxa"/>
          <w:left w:w="0" w:type="dxa"/>
          <w:bottom w:w="0" w:type="dxa"/>
          <w:right w:w="0" w:type="dxa"/>
        </w:tblCellMar>
      </w:tblPr>
      <w:tr>
        <w:trPr>
          <w:trHeight w:val="182"/>
        </w:trPr>
        <w:tc>
          <w:tcPr>
            <w:tcW w:w="1440" w:type="dxa"/>
            <w:vAlign w:val="bottom"/>
          </w:tcPr>
          <w:p>
            <w:pPr>
              <w:ind w:left="60"/>
              <w:spacing w:after="0"/>
              <w:rPr>
                <w:sz w:val="20"/>
                <w:szCs w:val="20"/>
                <w:color w:val="auto"/>
              </w:rPr>
            </w:pPr>
            <w:r>
              <w:rPr>
                <w:rFonts w:ascii="Arial" w:cs="Arial" w:eastAsia="Arial" w:hAnsi="Arial"/>
                <w:sz w:val="12"/>
                <w:szCs w:val="12"/>
                <w:i w:val="1"/>
                <w:iCs w:val="1"/>
                <w:color w:val="808080"/>
              </w:rPr>
              <w:t>Not pictured:</w:t>
            </w:r>
          </w:p>
        </w:tc>
        <w:tc>
          <w:tcPr>
            <w:tcW w:w="8260" w:type="dxa"/>
            <w:vAlign w:val="bottom"/>
            <w:gridSpan w:val="7"/>
          </w:tcPr>
          <w:p>
            <w:pPr>
              <w:spacing w:after="0"/>
              <w:rPr>
                <w:sz w:val="20"/>
                <w:szCs w:val="20"/>
                <w:color w:val="auto"/>
              </w:rPr>
            </w:pPr>
            <w:r>
              <w:rPr>
                <w:rFonts w:ascii="Arial" w:cs="Arial" w:eastAsia="Arial" w:hAnsi="Arial"/>
                <w:sz w:val="14"/>
                <w:szCs w:val="14"/>
                <w:color w:val="191919"/>
                <w:w w:val="88"/>
              </w:rPr>
              <w:t>Kenneth D. Krause, Executive Vice President and Chief Financial Officer, Rollins, Inc.; Richard G. Kyle, Former President and Chief Executive Officer,</w:t>
            </w: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Arial" w:cs="Arial" w:eastAsia="Arial" w:hAnsi="Arial"/>
                <w:sz w:val="14"/>
                <w:szCs w:val="14"/>
                <w:color w:val="191919"/>
              </w:rPr>
              <w:t>The Timken Company</w:t>
            </w:r>
          </w:p>
        </w:tc>
        <w:tc>
          <w:tcPr>
            <w:tcW w:w="1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8"/>
        </w:trPr>
        <w:tc>
          <w:tcPr>
            <w:tcW w:w="3240" w:type="dxa"/>
            <w:vAlign w:val="bottom"/>
            <w:gridSpan w:val="2"/>
          </w:tcPr>
          <w:p>
            <w:pPr>
              <w:ind w:left="60"/>
              <w:spacing w:after="0"/>
              <w:rPr>
                <w:sz w:val="20"/>
                <w:szCs w:val="20"/>
                <w:color w:val="auto"/>
              </w:rPr>
            </w:pPr>
            <w:r>
              <w:rPr>
                <w:rFonts w:ascii="Arial" w:cs="Arial" w:eastAsia="Arial" w:hAnsi="Arial"/>
                <w:sz w:val="25"/>
                <w:szCs w:val="25"/>
                <w:color w:val="FFFFFF"/>
              </w:rPr>
              <w:t>Executive Management</w:t>
            </w:r>
          </w:p>
        </w:tc>
        <w:tc>
          <w:tcPr>
            <w:tcW w:w="1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440" w:type="dxa"/>
            <w:vAlign w:val="bottom"/>
          </w:tcPr>
          <w:p>
            <w:pPr>
              <w:spacing w:after="0"/>
              <w:rPr>
                <w:sz w:val="11"/>
                <w:szCs w:val="11"/>
                <w:color w:val="auto"/>
              </w:rPr>
            </w:pPr>
          </w:p>
        </w:tc>
        <w:tc>
          <w:tcPr>
            <w:tcW w:w="1800" w:type="dxa"/>
            <w:vAlign w:val="bottom"/>
            <w:vMerge w:val="restart"/>
          </w:tcPr>
          <w:p>
            <w:pPr>
              <w:spacing w:after="0"/>
              <w:rPr>
                <w:sz w:val="20"/>
                <w:szCs w:val="20"/>
                <w:color w:val="auto"/>
              </w:rPr>
            </w:pPr>
            <w:r>
              <w:rPr>
                <w:rFonts w:ascii="Arial" w:cs="Arial" w:eastAsia="Arial" w:hAnsi="Arial"/>
                <w:sz w:val="16"/>
                <w:szCs w:val="16"/>
                <w:color w:val="191919"/>
              </w:rPr>
              <w:t>Michael B. Petras, Jr.</w:t>
            </w:r>
          </w:p>
        </w:tc>
        <w:tc>
          <w:tcPr>
            <w:tcW w:w="1440" w:type="dxa"/>
            <w:vAlign w:val="bottom"/>
          </w:tcPr>
          <w:p>
            <w:pPr>
              <w:spacing w:after="0"/>
              <w:rPr>
                <w:sz w:val="11"/>
                <w:szCs w:val="11"/>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191919"/>
              </w:rPr>
              <w:t>Jonathan M. Lyons</w:t>
            </w:r>
          </w:p>
        </w:tc>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vMerge w:val="restart"/>
          </w:tcPr>
          <w:p>
            <w:pPr>
              <w:spacing w:after="0"/>
              <w:rPr>
                <w:sz w:val="20"/>
                <w:szCs w:val="20"/>
                <w:color w:val="auto"/>
              </w:rPr>
            </w:pPr>
            <w:r>
              <w:rPr>
                <w:rFonts w:ascii="Arial" w:cs="Arial" w:eastAsia="Arial" w:hAnsi="Arial"/>
                <w:sz w:val="16"/>
                <w:szCs w:val="16"/>
                <w:color w:val="191919"/>
              </w:rPr>
              <w:t>Riaz Bandali</w:t>
            </w:r>
          </w:p>
        </w:tc>
        <w:tc>
          <w:tcPr>
            <w:tcW w:w="0" w:type="dxa"/>
            <w:vAlign w:val="bottom"/>
          </w:tcPr>
          <w:p>
            <w:pPr>
              <w:spacing w:after="0"/>
              <w:rPr>
                <w:sz w:val="1"/>
                <w:szCs w:val="1"/>
                <w:color w:val="auto"/>
              </w:rPr>
            </w:pPr>
          </w:p>
        </w:tc>
      </w:tr>
      <w:tr>
        <w:trPr>
          <w:trHeight w:val="500"/>
        </w:trPr>
        <w:tc>
          <w:tcPr>
            <w:tcW w:w="1440" w:type="dxa"/>
            <w:vAlign w:val="bottom"/>
            <w:shd w:val="clear" w:color="auto" w:fill="000000"/>
          </w:tcPr>
          <w:p>
            <w:pPr>
              <w:spacing w:after="0"/>
              <w:rPr>
                <w:sz w:val="24"/>
                <w:szCs w:val="24"/>
                <w:color w:val="auto"/>
              </w:rPr>
            </w:pPr>
          </w:p>
        </w:tc>
        <w:tc>
          <w:tcPr>
            <w:tcW w:w="18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440" w:type="dxa"/>
            <w:vAlign w:val="bottom"/>
            <w:shd w:val="clear" w:color="auto" w:fill="000000"/>
          </w:tcPr>
          <w:p>
            <w:pPr>
              <w:spacing w:after="0"/>
              <w:rPr>
                <w:sz w:val="16"/>
                <w:szCs w:val="16"/>
                <w:color w:val="auto"/>
              </w:rPr>
            </w:pPr>
          </w:p>
        </w:tc>
        <w:tc>
          <w:tcPr>
            <w:tcW w:w="1800" w:type="dxa"/>
            <w:vAlign w:val="bottom"/>
          </w:tcPr>
          <w:p>
            <w:pPr>
              <w:spacing w:after="0"/>
              <w:rPr>
                <w:sz w:val="20"/>
                <w:szCs w:val="20"/>
                <w:color w:val="auto"/>
              </w:rPr>
            </w:pPr>
            <w:r>
              <w:rPr>
                <w:rFonts w:ascii="Arial" w:cs="Arial" w:eastAsia="Arial" w:hAnsi="Arial"/>
                <w:sz w:val="15"/>
                <w:szCs w:val="15"/>
                <w:color w:val="191919"/>
              </w:rPr>
              <w:t>Chairman and Chief</w:t>
            </w:r>
          </w:p>
        </w:tc>
        <w:tc>
          <w:tcPr>
            <w:tcW w:w="1440" w:type="dxa"/>
            <w:vAlign w:val="bottom"/>
          </w:tcPr>
          <w:p>
            <w:pPr>
              <w:spacing w:after="0"/>
              <w:rPr>
                <w:sz w:val="16"/>
                <w:szCs w:val="16"/>
                <w:color w:val="auto"/>
              </w:rPr>
            </w:pPr>
          </w:p>
        </w:tc>
        <w:tc>
          <w:tcPr>
            <w:tcW w:w="1780" w:type="dxa"/>
            <w:vAlign w:val="bottom"/>
          </w:tcPr>
          <w:p>
            <w:pPr>
              <w:ind w:left="20"/>
              <w:spacing w:after="0"/>
              <w:rPr>
                <w:sz w:val="20"/>
                <w:szCs w:val="20"/>
                <w:color w:val="auto"/>
              </w:rPr>
            </w:pPr>
            <w:r>
              <w:rPr>
                <w:rFonts w:ascii="Arial" w:cs="Arial" w:eastAsia="Arial" w:hAnsi="Arial"/>
                <w:sz w:val="15"/>
                <w:szCs w:val="15"/>
                <w:color w:val="191919"/>
              </w:rPr>
              <w:t>Senior Vice President</w:t>
            </w: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5"/>
                <w:szCs w:val="15"/>
                <w:color w:val="191919"/>
              </w:rPr>
              <w:t>President, Nordion</w:t>
            </w:r>
          </w:p>
        </w:tc>
        <w:tc>
          <w:tcPr>
            <w:tcW w:w="0" w:type="dxa"/>
            <w:vAlign w:val="bottom"/>
          </w:tcPr>
          <w:p>
            <w:pPr>
              <w:spacing w:after="0"/>
              <w:rPr>
                <w:sz w:val="1"/>
                <w:szCs w:val="1"/>
                <w:color w:val="auto"/>
              </w:rPr>
            </w:pPr>
          </w:p>
        </w:tc>
      </w:tr>
      <w:tr>
        <w:trPr>
          <w:trHeight w:val="190"/>
        </w:trPr>
        <w:tc>
          <w:tcPr>
            <w:tcW w:w="1440" w:type="dxa"/>
            <w:vAlign w:val="bottom"/>
            <w:shd w:val="clear" w:color="auto" w:fill="000000"/>
          </w:tcPr>
          <w:p>
            <w:pPr>
              <w:spacing w:after="0"/>
              <w:rPr>
                <w:sz w:val="16"/>
                <w:szCs w:val="16"/>
                <w:color w:val="auto"/>
              </w:rPr>
            </w:pPr>
          </w:p>
        </w:tc>
        <w:tc>
          <w:tcPr>
            <w:tcW w:w="1800" w:type="dxa"/>
            <w:vAlign w:val="bottom"/>
          </w:tcPr>
          <w:p>
            <w:pPr>
              <w:spacing w:after="0"/>
              <w:rPr>
                <w:sz w:val="20"/>
                <w:szCs w:val="20"/>
                <w:color w:val="auto"/>
              </w:rPr>
            </w:pPr>
            <w:r>
              <w:rPr>
                <w:rFonts w:ascii="Arial" w:cs="Arial" w:eastAsia="Arial" w:hAnsi="Arial"/>
                <w:sz w:val="15"/>
                <w:szCs w:val="15"/>
                <w:color w:val="191919"/>
              </w:rPr>
              <w:t>Executive Officer,</w:t>
            </w:r>
          </w:p>
        </w:tc>
        <w:tc>
          <w:tcPr>
            <w:tcW w:w="1440" w:type="dxa"/>
            <w:vAlign w:val="bottom"/>
          </w:tcPr>
          <w:p>
            <w:pPr>
              <w:spacing w:after="0"/>
              <w:rPr>
                <w:sz w:val="16"/>
                <w:szCs w:val="16"/>
                <w:color w:val="auto"/>
              </w:rPr>
            </w:pPr>
          </w:p>
        </w:tc>
        <w:tc>
          <w:tcPr>
            <w:tcW w:w="1780" w:type="dxa"/>
            <w:vAlign w:val="bottom"/>
          </w:tcPr>
          <w:p>
            <w:pPr>
              <w:ind w:left="20"/>
              <w:spacing w:after="0"/>
              <w:rPr>
                <w:sz w:val="20"/>
                <w:szCs w:val="20"/>
                <w:color w:val="auto"/>
              </w:rPr>
            </w:pPr>
            <w:r>
              <w:rPr>
                <w:rFonts w:ascii="Arial" w:cs="Arial" w:eastAsia="Arial" w:hAnsi="Arial"/>
                <w:sz w:val="15"/>
                <w:szCs w:val="15"/>
                <w:color w:val="191919"/>
                <w:w w:val="96"/>
              </w:rPr>
              <w:t>and Chief Financial Officer,</w:t>
            </w: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40" w:type="dxa"/>
            <w:vAlign w:val="bottom"/>
            <w:shd w:val="clear" w:color="auto" w:fill="000000"/>
          </w:tcPr>
          <w:p>
            <w:pPr>
              <w:spacing w:after="0"/>
              <w:rPr>
                <w:sz w:val="17"/>
                <w:szCs w:val="17"/>
                <w:color w:val="auto"/>
              </w:rPr>
            </w:pPr>
          </w:p>
        </w:tc>
        <w:tc>
          <w:tcPr>
            <w:tcW w:w="1800" w:type="dxa"/>
            <w:vAlign w:val="bottom"/>
          </w:tcPr>
          <w:p>
            <w:pPr>
              <w:spacing w:after="0"/>
              <w:rPr>
                <w:sz w:val="20"/>
                <w:szCs w:val="20"/>
                <w:color w:val="auto"/>
              </w:rPr>
            </w:pPr>
            <w:r>
              <w:rPr>
                <w:rFonts w:ascii="Arial" w:cs="Arial" w:eastAsia="Arial" w:hAnsi="Arial"/>
                <w:sz w:val="15"/>
                <w:szCs w:val="15"/>
                <w:color w:val="191919"/>
              </w:rPr>
              <w:t>Sotera Health</w:t>
            </w:r>
          </w:p>
        </w:tc>
        <w:tc>
          <w:tcPr>
            <w:tcW w:w="1440" w:type="dxa"/>
            <w:vAlign w:val="bottom"/>
          </w:tcPr>
          <w:p>
            <w:pPr>
              <w:spacing w:after="0"/>
              <w:rPr>
                <w:sz w:val="17"/>
                <w:szCs w:val="17"/>
                <w:color w:val="auto"/>
              </w:rPr>
            </w:pPr>
          </w:p>
        </w:tc>
        <w:tc>
          <w:tcPr>
            <w:tcW w:w="1780" w:type="dxa"/>
            <w:vAlign w:val="bottom"/>
          </w:tcPr>
          <w:p>
            <w:pPr>
              <w:ind w:left="20"/>
              <w:spacing w:after="0"/>
              <w:rPr>
                <w:sz w:val="20"/>
                <w:szCs w:val="20"/>
                <w:color w:val="auto"/>
              </w:rPr>
            </w:pPr>
            <w:r>
              <w:rPr>
                <w:rFonts w:ascii="Arial" w:cs="Arial" w:eastAsia="Arial" w:hAnsi="Arial"/>
                <w:sz w:val="15"/>
                <w:szCs w:val="15"/>
                <w:color w:val="191919"/>
              </w:rPr>
              <w:t>Sotera Health</w:t>
            </w: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440" w:type="dxa"/>
            <w:vAlign w:val="bottom"/>
            <w:shd w:val="clear" w:color="auto" w:fill="000000"/>
          </w:tcPr>
          <w:p>
            <w:pPr>
              <w:spacing w:after="0"/>
              <w:rPr>
                <w:sz w:val="22"/>
                <w:szCs w:val="22"/>
                <w:color w:val="auto"/>
              </w:rPr>
            </w:pPr>
          </w:p>
        </w:tc>
        <w:tc>
          <w:tcPr>
            <w:tcW w:w="1800" w:type="dxa"/>
            <w:vAlign w:val="bottom"/>
            <w:vMerge w:val="restart"/>
          </w:tcPr>
          <w:p>
            <w:pPr>
              <w:spacing w:after="0"/>
              <w:rPr>
                <w:sz w:val="20"/>
                <w:szCs w:val="20"/>
                <w:color w:val="auto"/>
              </w:rPr>
            </w:pPr>
            <w:r>
              <w:rPr>
                <w:rFonts w:ascii="Arial" w:cs="Arial" w:eastAsia="Arial" w:hAnsi="Arial"/>
                <w:sz w:val="16"/>
                <w:szCs w:val="16"/>
                <w:color w:val="191919"/>
              </w:rPr>
              <w:t>Michael P. Rutz</w:t>
            </w:r>
          </w:p>
        </w:tc>
        <w:tc>
          <w:tcPr>
            <w:tcW w:w="1440" w:type="dxa"/>
            <w:vAlign w:val="bottom"/>
          </w:tcPr>
          <w:p>
            <w:pPr>
              <w:spacing w:after="0"/>
              <w:rPr>
                <w:sz w:val="22"/>
                <w:szCs w:val="22"/>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191919"/>
              </w:rPr>
              <w:t>Joseph A. Shrawder</w:t>
            </w:r>
          </w:p>
        </w:tc>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6"/>
                <w:szCs w:val="16"/>
                <w:color w:val="191919"/>
              </w:rPr>
              <w:t>Kristin A. Gibbs</w:t>
            </w:r>
          </w:p>
        </w:tc>
        <w:tc>
          <w:tcPr>
            <w:tcW w:w="0" w:type="dxa"/>
            <w:vAlign w:val="bottom"/>
          </w:tcPr>
          <w:p>
            <w:pPr>
              <w:spacing w:after="0"/>
              <w:rPr>
                <w:sz w:val="1"/>
                <w:szCs w:val="1"/>
                <w:color w:val="auto"/>
              </w:rPr>
            </w:pPr>
          </w:p>
        </w:tc>
      </w:tr>
      <w:tr>
        <w:trPr>
          <w:trHeight w:val="100"/>
        </w:trPr>
        <w:tc>
          <w:tcPr>
            <w:tcW w:w="1440" w:type="dxa"/>
            <w:vAlign w:val="bottom"/>
            <w:shd w:val="clear" w:color="auto" w:fill="000000"/>
          </w:tcPr>
          <w:p>
            <w:pPr>
              <w:spacing w:after="0"/>
              <w:rPr>
                <w:sz w:val="8"/>
                <w:szCs w:val="8"/>
                <w:color w:val="auto"/>
              </w:rPr>
            </w:pPr>
          </w:p>
        </w:tc>
        <w:tc>
          <w:tcPr>
            <w:tcW w:w="1800" w:type="dxa"/>
            <w:vAlign w:val="bottom"/>
            <w:vMerge w:val="continue"/>
          </w:tcPr>
          <w:p>
            <w:pPr>
              <w:spacing w:after="0"/>
              <w:rPr>
                <w:sz w:val="8"/>
                <w:szCs w:val="8"/>
                <w:color w:val="auto"/>
              </w:rPr>
            </w:pPr>
          </w:p>
        </w:tc>
        <w:tc>
          <w:tcPr>
            <w:tcW w:w="1440" w:type="dxa"/>
            <w:vAlign w:val="bottom"/>
            <w:shd w:val="clear" w:color="auto" w:fill="000000"/>
          </w:tcPr>
          <w:p>
            <w:pPr>
              <w:spacing w:after="0"/>
              <w:rPr>
                <w:sz w:val="8"/>
                <w:szCs w:val="8"/>
                <w:color w:val="auto"/>
              </w:rPr>
            </w:pPr>
          </w:p>
        </w:tc>
        <w:tc>
          <w:tcPr>
            <w:tcW w:w="178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20" w:type="dxa"/>
            <w:vAlign w:val="bottom"/>
            <w:shd w:val="clear" w:color="auto" w:fill="000000"/>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8"/>
        </w:trPr>
        <w:tc>
          <w:tcPr>
            <w:tcW w:w="1440" w:type="dxa"/>
            <w:vAlign w:val="bottom"/>
            <w:shd w:val="clear" w:color="auto" w:fill="000000"/>
          </w:tcPr>
          <w:p>
            <w:pPr>
              <w:spacing w:after="0"/>
              <w:rPr>
                <w:sz w:val="24"/>
                <w:szCs w:val="24"/>
                <w:color w:val="auto"/>
              </w:rPr>
            </w:pPr>
          </w:p>
        </w:tc>
        <w:tc>
          <w:tcPr>
            <w:tcW w:w="1800" w:type="dxa"/>
            <w:vAlign w:val="bottom"/>
            <w:vMerge w:val="continue"/>
          </w:tcPr>
          <w:p>
            <w:pPr>
              <w:spacing w:after="0"/>
              <w:rPr>
                <w:sz w:val="24"/>
                <w:szCs w:val="24"/>
                <w:color w:val="auto"/>
              </w:rPr>
            </w:pPr>
          </w:p>
        </w:tc>
        <w:tc>
          <w:tcPr>
            <w:tcW w:w="1440" w:type="dxa"/>
            <w:vAlign w:val="bottom"/>
            <w:shd w:val="clear" w:color="auto" w:fill="000000"/>
          </w:tcPr>
          <w:p>
            <w:pPr>
              <w:spacing w:after="0"/>
              <w:rPr>
                <w:sz w:val="24"/>
                <w:szCs w:val="24"/>
                <w:color w:val="auto"/>
              </w:rPr>
            </w:pPr>
          </w:p>
        </w:tc>
        <w:tc>
          <w:tcPr>
            <w:tcW w:w="178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20" w:type="dxa"/>
            <w:vAlign w:val="bottom"/>
            <w:shd w:val="clear" w:color="auto" w:fill="000000"/>
          </w:tcPr>
          <w:p>
            <w:pPr>
              <w:spacing w:after="0"/>
              <w:rPr>
                <w:sz w:val="24"/>
                <w:szCs w:val="24"/>
                <w:color w:val="auto"/>
              </w:rPr>
            </w:pPr>
          </w:p>
        </w:tc>
        <w:tc>
          <w:tcPr>
            <w:tcW w:w="18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000000"/>
          </w:tcPr>
          <w:p>
            <w:pPr>
              <w:spacing w:after="0"/>
              <w:rPr>
                <w:sz w:val="16"/>
                <w:szCs w:val="16"/>
                <w:color w:val="auto"/>
              </w:rPr>
            </w:pPr>
          </w:p>
        </w:tc>
        <w:tc>
          <w:tcPr>
            <w:tcW w:w="1800" w:type="dxa"/>
            <w:vAlign w:val="bottom"/>
          </w:tcPr>
          <w:p>
            <w:pPr>
              <w:spacing w:after="0"/>
              <w:rPr>
                <w:sz w:val="20"/>
                <w:szCs w:val="20"/>
                <w:color w:val="auto"/>
              </w:rPr>
            </w:pPr>
            <w:r>
              <w:rPr>
                <w:rFonts w:ascii="Arial" w:cs="Arial" w:eastAsia="Arial" w:hAnsi="Arial"/>
                <w:sz w:val="15"/>
                <w:szCs w:val="15"/>
                <w:color w:val="191919"/>
              </w:rPr>
              <w:t>President, Sterigenics</w:t>
            </w:r>
          </w:p>
        </w:tc>
        <w:tc>
          <w:tcPr>
            <w:tcW w:w="1440" w:type="dxa"/>
            <w:vAlign w:val="bottom"/>
            <w:shd w:val="clear" w:color="auto" w:fill="000000"/>
          </w:tcPr>
          <w:p>
            <w:pPr>
              <w:spacing w:after="0"/>
              <w:rPr>
                <w:sz w:val="16"/>
                <w:szCs w:val="16"/>
                <w:color w:val="auto"/>
              </w:rPr>
            </w:pPr>
          </w:p>
        </w:tc>
        <w:tc>
          <w:tcPr>
            <w:tcW w:w="1780" w:type="dxa"/>
            <w:vAlign w:val="bottom"/>
          </w:tcPr>
          <w:p>
            <w:pPr>
              <w:ind w:left="20"/>
              <w:spacing w:after="0"/>
              <w:rPr>
                <w:sz w:val="20"/>
                <w:szCs w:val="20"/>
                <w:color w:val="auto"/>
              </w:rPr>
            </w:pPr>
            <w:r>
              <w:rPr>
                <w:rFonts w:ascii="Arial" w:cs="Arial" w:eastAsia="Arial" w:hAnsi="Arial"/>
                <w:sz w:val="15"/>
                <w:szCs w:val="15"/>
                <w:color w:val="191919"/>
              </w:rPr>
              <w:t>President, Nelson Labs</w:t>
            </w:r>
          </w:p>
        </w:tc>
        <w:tc>
          <w:tcPr>
            <w:tcW w:w="20" w:type="dxa"/>
            <w:vAlign w:val="bottom"/>
            <w:shd w:val="clear" w:color="auto" w:fill="000000"/>
          </w:tcPr>
          <w:p>
            <w:pPr>
              <w:spacing w:after="0"/>
              <w:rPr>
                <w:sz w:val="16"/>
                <w:szCs w:val="16"/>
                <w:color w:val="auto"/>
              </w:rPr>
            </w:pPr>
          </w:p>
        </w:tc>
        <w:tc>
          <w:tcPr>
            <w:tcW w:w="1420" w:type="dxa"/>
            <w:vAlign w:val="bottom"/>
            <w:shd w:val="clear" w:color="auto" w:fill="000000"/>
          </w:tcPr>
          <w:p>
            <w:pPr>
              <w:spacing w:after="0"/>
              <w:rPr>
                <w:sz w:val="16"/>
                <w:szCs w:val="16"/>
                <w:color w:val="auto"/>
              </w:rPr>
            </w:pPr>
          </w:p>
        </w:tc>
        <w:tc>
          <w:tcPr>
            <w:tcW w:w="1800" w:type="dxa"/>
            <w:vAlign w:val="bottom"/>
            <w:gridSpan w:val="2"/>
          </w:tcPr>
          <w:p>
            <w:pPr>
              <w:ind w:left="20"/>
              <w:spacing w:after="0"/>
              <w:rPr>
                <w:sz w:val="20"/>
                <w:szCs w:val="20"/>
                <w:color w:val="auto"/>
              </w:rPr>
            </w:pPr>
            <w:r>
              <w:rPr>
                <w:rFonts w:ascii="Arial" w:cs="Arial" w:eastAsia="Arial" w:hAnsi="Arial"/>
                <w:sz w:val="15"/>
                <w:szCs w:val="15"/>
                <w:color w:val="191919"/>
              </w:rPr>
              <w:t>Chief Marketing Officer,</w:t>
            </w:r>
          </w:p>
        </w:tc>
        <w:tc>
          <w:tcPr>
            <w:tcW w:w="0" w:type="dxa"/>
            <w:vAlign w:val="bottom"/>
          </w:tcPr>
          <w:p>
            <w:pPr>
              <w:spacing w:after="0"/>
              <w:rPr>
                <w:sz w:val="1"/>
                <w:szCs w:val="1"/>
                <w:color w:val="auto"/>
              </w:rPr>
            </w:pPr>
          </w:p>
        </w:tc>
      </w:tr>
      <w:tr>
        <w:trPr>
          <w:trHeight w:val="196"/>
        </w:trPr>
        <w:tc>
          <w:tcPr>
            <w:tcW w:w="1440" w:type="dxa"/>
            <w:vAlign w:val="bottom"/>
            <w:shd w:val="clear" w:color="auto" w:fill="000000"/>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shd w:val="clear" w:color="auto" w:fill="000000"/>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20" w:type="dxa"/>
            <w:vAlign w:val="bottom"/>
            <w:shd w:val="clear" w:color="auto" w:fill="000000"/>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Arial" w:cs="Arial" w:eastAsia="Arial" w:hAnsi="Arial"/>
                <w:sz w:val="15"/>
                <w:szCs w:val="15"/>
                <w:color w:val="191919"/>
              </w:rPr>
              <w:t>Sotera Health</w:t>
            </w:r>
          </w:p>
        </w:tc>
        <w:tc>
          <w:tcPr>
            <w:tcW w:w="0" w:type="dxa"/>
            <w:vAlign w:val="bottom"/>
          </w:tcPr>
          <w:p>
            <w:pPr>
              <w:spacing w:after="0"/>
              <w:rPr>
                <w:sz w:val="1"/>
                <w:szCs w:val="1"/>
                <w:color w:val="auto"/>
              </w:rPr>
            </w:pPr>
          </w:p>
        </w:tc>
      </w:tr>
      <w:tr>
        <w:trPr>
          <w:trHeight w:val="457"/>
        </w:trPr>
        <w:tc>
          <w:tcPr>
            <w:tcW w:w="1440" w:type="dxa"/>
            <w:vAlign w:val="bottom"/>
            <w:shd w:val="clear" w:color="auto" w:fill="000000"/>
          </w:tcPr>
          <w:p>
            <w:pPr>
              <w:spacing w:after="0"/>
              <w:rPr>
                <w:sz w:val="24"/>
                <w:szCs w:val="24"/>
                <w:color w:val="auto"/>
              </w:rPr>
            </w:pPr>
          </w:p>
        </w:tc>
        <w:tc>
          <w:tcPr>
            <w:tcW w:w="1800" w:type="dxa"/>
            <w:vAlign w:val="bottom"/>
            <w:vMerge w:val="restart"/>
          </w:tcPr>
          <w:p>
            <w:pPr>
              <w:spacing w:after="0"/>
              <w:rPr>
                <w:sz w:val="20"/>
                <w:szCs w:val="20"/>
                <w:color w:val="auto"/>
              </w:rPr>
            </w:pPr>
            <w:r>
              <w:rPr>
                <w:rFonts w:ascii="Arial" w:cs="Arial" w:eastAsia="Arial" w:hAnsi="Arial"/>
                <w:sz w:val="16"/>
                <w:szCs w:val="16"/>
                <w:color w:val="191919"/>
              </w:rPr>
              <w:t>Robert G. Hauzie</w:t>
            </w:r>
          </w:p>
        </w:tc>
        <w:tc>
          <w:tcPr>
            <w:tcW w:w="1440" w:type="dxa"/>
            <w:vAlign w:val="bottom"/>
            <w:shd w:val="clear" w:color="auto" w:fill="000000"/>
          </w:tcPr>
          <w:p>
            <w:pPr>
              <w:spacing w:after="0"/>
              <w:rPr>
                <w:sz w:val="24"/>
                <w:szCs w:val="24"/>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191919"/>
                <w:w w:val="97"/>
              </w:rPr>
              <w:t>William (BJ) O. Lehmann</w:t>
            </w:r>
          </w:p>
        </w:tc>
        <w:tc>
          <w:tcPr>
            <w:tcW w:w="20" w:type="dxa"/>
            <w:vAlign w:val="bottom"/>
            <w:shd w:val="clear" w:color="auto" w:fill="000000"/>
          </w:tcPr>
          <w:p>
            <w:pPr>
              <w:spacing w:after="0"/>
              <w:rPr>
                <w:sz w:val="24"/>
                <w:szCs w:val="24"/>
                <w:color w:val="auto"/>
              </w:rPr>
            </w:pPr>
          </w:p>
        </w:tc>
        <w:tc>
          <w:tcPr>
            <w:tcW w:w="1420" w:type="dxa"/>
            <w:vAlign w:val="bottom"/>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vMerge w:val="restart"/>
          </w:tcPr>
          <w:p>
            <w:pPr>
              <w:spacing w:after="0"/>
              <w:rPr>
                <w:sz w:val="20"/>
                <w:szCs w:val="20"/>
                <w:color w:val="auto"/>
              </w:rPr>
            </w:pPr>
            <w:r>
              <w:rPr>
                <w:rFonts w:ascii="Arial" w:cs="Arial" w:eastAsia="Arial" w:hAnsi="Arial"/>
                <w:sz w:val="16"/>
                <w:szCs w:val="16"/>
                <w:color w:val="191919"/>
              </w:rPr>
              <w:t>Danielle J. Menture</w:t>
            </w:r>
          </w:p>
        </w:tc>
        <w:tc>
          <w:tcPr>
            <w:tcW w:w="0" w:type="dxa"/>
            <w:vAlign w:val="bottom"/>
          </w:tcPr>
          <w:p>
            <w:pPr>
              <w:spacing w:after="0"/>
              <w:rPr>
                <w:sz w:val="1"/>
                <w:szCs w:val="1"/>
                <w:color w:val="auto"/>
              </w:rPr>
            </w:pPr>
          </w:p>
        </w:tc>
      </w:tr>
      <w:tr>
        <w:trPr>
          <w:trHeight w:val="95"/>
        </w:trPr>
        <w:tc>
          <w:tcPr>
            <w:tcW w:w="1440" w:type="dxa"/>
            <w:vAlign w:val="bottom"/>
            <w:shd w:val="clear" w:color="auto" w:fill="000000"/>
          </w:tcPr>
          <w:p>
            <w:pPr>
              <w:spacing w:after="0"/>
              <w:rPr>
                <w:sz w:val="8"/>
                <w:szCs w:val="8"/>
                <w:color w:val="auto"/>
              </w:rPr>
            </w:pPr>
          </w:p>
        </w:tc>
        <w:tc>
          <w:tcPr>
            <w:tcW w:w="1800" w:type="dxa"/>
            <w:vAlign w:val="bottom"/>
            <w:vMerge w:val="continue"/>
          </w:tcPr>
          <w:p>
            <w:pPr>
              <w:spacing w:after="0"/>
              <w:rPr>
                <w:sz w:val="8"/>
                <w:szCs w:val="8"/>
                <w:color w:val="auto"/>
              </w:rPr>
            </w:pPr>
          </w:p>
        </w:tc>
        <w:tc>
          <w:tcPr>
            <w:tcW w:w="1440" w:type="dxa"/>
            <w:vAlign w:val="bottom"/>
            <w:shd w:val="clear" w:color="auto" w:fill="000000"/>
          </w:tcPr>
          <w:p>
            <w:pPr>
              <w:spacing w:after="0"/>
              <w:rPr>
                <w:sz w:val="8"/>
                <w:szCs w:val="8"/>
                <w:color w:val="auto"/>
              </w:rPr>
            </w:pPr>
          </w:p>
        </w:tc>
        <w:tc>
          <w:tcPr>
            <w:tcW w:w="178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2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4"/>
        </w:trPr>
        <w:tc>
          <w:tcPr>
            <w:tcW w:w="14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440" w:type="dxa"/>
            <w:vAlign w:val="bottom"/>
            <w:shd w:val="clear" w:color="auto" w:fill="000000"/>
          </w:tcPr>
          <w:p>
            <w:pPr>
              <w:spacing w:after="0"/>
              <w:rPr>
                <w:sz w:val="24"/>
                <w:szCs w:val="24"/>
                <w:color w:val="auto"/>
              </w:rPr>
            </w:pPr>
          </w:p>
        </w:tc>
        <w:tc>
          <w:tcPr>
            <w:tcW w:w="1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1800" w:type="dxa"/>
            <w:vAlign w:val="bottom"/>
          </w:tcPr>
          <w:p>
            <w:pPr>
              <w:spacing w:after="0"/>
              <w:rPr>
                <w:sz w:val="20"/>
                <w:szCs w:val="20"/>
                <w:color w:val="auto"/>
              </w:rPr>
            </w:pPr>
            <w:r>
              <w:rPr>
                <w:rFonts w:ascii="Arial" w:cs="Arial" w:eastAsia="Arial" w:hAnsi="Arial"/>
                <w:sz w:val="15"/>
                <w:szCs w:val="15"/>
                <w:color w:val="191919"/>
              </w:rPr>
              <w:t>Chief Information Officer,</w:t>
            </w:r>
          </w:p>
        </w:tc>
        <w:tc>
          <w:tcPr>
            <w:tcW w:w="1440" w:type="dxa"/>
            <w:vAlign w:val="bottom"/>
            <w:shd w:val="clear" w:color="auto" w:fill="000000"/>
          </w:tcPr>
          <w:p>
            <w:pPr>
              <w:spacing w:after="0"/>
              <w:rPr>
                <w:sz w:val="16"/>
                <w:szCs w:val="16"/>
                <w:color w:val="auto"/>
              </w:rPr>
            </w:pPr>
          </w:p>
        </w:tc>
        <w:tc>
          <w:tcPr>
            <w:tcW w:w="1780" w:type="dxa"/>
            <w:vAlign w:val="bottom"/>
          </w:tcPr>
          <w:p>
            <w:pPr>
              <w:ind w:left="20"/>
              <w:spacing w:after="0"/>
              <w:rPr>
                <w:sz w:val="20"/>
                <w:szCs w:val="20"/>
                <w:color w:val="auto"/>
              </w:rPr>
            </w:pPr>
            <w:r>
              <w:rPr>
                <w:rFonts w:ascii="Arial" w:cs="Arial" w:eastAsia="Arial" w:hAnsi="Arial"/>
                <w:sz w:val="15"/>
                <w:szCs w:val="15"/>
                <w:color w:val="191919"/>
              </w:rPr>
              <w:t>Senior Vice President,</w:t>
            </w:r>
          </w:p>
        </w:tc>
        <w:tc>
          <w:tcPr>
            <w:tcW w:w="20" w:type="dxa"/>
            <w:vAlign w:val="bottom"/>
          </w:tcPr>
          <w:p>
            <w:pPr>
              <w:spacing w:after="0"/>
              <w:rPr>
                <w:sz w:val="16"/>
                <w:szCs w:val="16"/>
                <w:color w:val="auto"/>
              </w:rPr>
            </w:pPr>
          </w:p>
        </w:tc>
        <w:tc>
          <w:tcPr>
            <w:tcW w:w="14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5"/>
                <w:szCs w:val="15"/>
                <w:color w:val="191919"/>
              </w:rPr>
              <w:t>Senior Vice President,</w:t>
            </w: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1800" w:type="dxa"/>
            <w:vAlign w:val="bottom"/>
          </w:tcPr>
          <w:p>
            <w:pPr>
              <w:spacing w:after="0"/>
              <w:rPr>
                <w:sz w:val="20"/>
                <w:szCs w:val="20"/>
                <w:color w:val="auto"/>
              </w:rPr>
            </w:pPr>
            <w:r>
              <w:rPr>
                <w:rFonts w:ascii="Arial" w:cs="Arial" w:eastAsia="Arial" w:hAnsi="Arial"/>
                <w:sz w:val="15"/>
                <w:szCs w:val="15"/>
                <w:color w:val="191919"/>
              </w:rPr>
              <w:t>Sotera Health</w:t>
            </w:r>
          </w:p>
        </w:tc>
        <w:tc>
          <w:tcPr>
            <w:tcW w:w="1440" w:type="dxa"/>
            <w:vAlign w:val="bottom"/>
            <w:shd w:val="clear" w:color="auto" w:fill="000000"/>
          </w:tcPr>
          <w:p>
            <w:pPr>
              <w:spacing w:after="0"/>
              <w:rPr>
                <w:sz w:val="16"/>
                <w:szCs w:val="16"/>
                <w:color w:val="auto"/>
              </w:rPr>
            </w:pPr>
          </w:p>
        </w:tc>
        <w:tc>
          <w:tcPr>
            <w:tcW w:w="1780" w:type="dxa"/>
            <w:vAlign w:val="bottom"/>
          </w:tcPr>
          <w:p>
            <w:pPr>
              <w:ind w:left="20"/>
              <w:spacing w:after="0"/>
              <w:rPr>
                <w:sz w:val="20"/>
                <w:szCs w:val="20"/>
                <w:color w:val="auto"/>
              </w:rPr>
            </w:pPr>
            <w:r>
              <w:rPr>
                <w:rFonts w:ascii="Arial" w:cs="Arial" w:eastAsia="Arial" w:hAnsi="Arial"/>
                <w:sz w:val="15"/>
                <w:szCs w:val="15"/>
                <w:color w:val="191919"/>
              </w:rPr>
              <w:t>Corporate Development &amp;</w:t>
            </w:r>
          </w:p>
        </w:tc>
        <w:tc>
          <w:tcPr>
            <w:tcW w:w="20" w:type="dxa"/>
            <w:vAlign w:val="bottom"/>
          </w:tcPr>
          <w:p>
            <w:pPr>
              <w:spacing w:after="0"/>
              <w:rPr>
                <w:sz w:val="16"/>
                <w:szCs w:val="16"/>
                <w:color w:val="auto"/>
              </w:rPr>
            </w:pPr>
          </w:p>
        </w:tc>
        <w:tc>
          <w:tcPr>
            <w:tcW w:w="14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5"/>
                <w:szCs w:val="15"/>
                <w:color w:val="191919"/>
                <w:w w:val="90"/>
              </w:rPr>
              <w:t>Global Environmental, Health</w:t>
            </w:r>
          </w:p>
        </w:tc>
        <w:tc>
          <w:tcPr>
            <w:tcW w:w="0" w:type="dxa"/>
            <w:vAlign w:val="bottom"/>
          </w:tcPr>
          <w:p>
            <w:pPr>
              <w:spacing w:after="0"/>
              <w:rPr>
                <w:sz w:val="1"/>
                <w:szCs w:val="1"/>
                <w:color w:val="auto"/>
              </w:rPr>
            </w:pPr>
          </w:p>
        </w:tc>
      </w:tr>
      <w:tr>
        <w:trPr>
          <w:trHeight w:val="194"/>
        </w:trPr>
        <w:tc>
          <w:tcPr>
            <w:tcW w:w="1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40" w:type="dxa"/>
            <w:vAlign w:val="bottom"/>
            <w:shd w:val="clear" w:color="auto" w:fill="000000"/>
          </w:tcPr>
          <w:p>
            <w:pPr>
              <w:spacing w:after="0"/>
              <w:rPr>
                <w:sz w:val="16"/>
                <w:szCs w:val="16"/>
                <w:color w:val="auto"/>
              </w:rPr>
            </w:pPr>
          </w:p>
        </w:tc>
        <w:tc>
          <w:tcPr>
            <w:tcW w:w="1780" w:type="dxa"/>
            <w:vAlign w:val="bottom"/>
          </w:tcPr>
          <w:p>
            <w:pPr>
              <w:ind w:left="20"/>
              <w:spacing w:after="0"/>
              <w:rPr>
                <w:sz w:val="20"/>
                <w:szCs w:val="20"/>
                <w:color w:val="auto"/>
              </w:rPr>
            </w:pPr>
            <w:r>
              <w:rPr>
                <w:rFonts w:ascii="Arial" w:cs="Arial" w:eastAsia="Arial" w:hAnsi="Arial"/>
                <w:sz w:val="15"/>
                <w:szCs w:val="15"/>
                <w:color w:val="191919"/>
              </w:rPr>
              <w:t>Strategy, Sotera Health</w:t>
            </w:r>
          </w:p>
        </w:tc>
        <w:tc>
          <w:tcPr>
            <w:tcW w:w="20" w:type="dxa"/>
            <w:vAlign w:val="bottom"/>
          </w:tcPr>
          <w:p>
            <w:pPr>
              <w:spacing w:after="0"/>
              <w:rPr>
                <w:sz w:val="16"/>
                <w:szCs w:val="16"/>
                <w:color w:val="auto"/>
              </w:rPr>
            </w:pPr>
          </w:p>
        </w:tc>
        <w:tc>
          <w:tcPr>
            <w:tcW w:w="14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5"/>
                <w:szCs w:val="15"/>
                <w:color w:val="191919"/>
                <w:w w:val="96"/>
              </w:rPr>
              <w:t>&amp; Safety and Sustainability,</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shd w:val="clear" w:color="auto" w:fill="000000"/>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780" w:type="dxa"/>
            <w:vAlign w:val="bottom"/>
          </w:tcPr>
          <w:p>
            <w:pPr>
              <w:spacing w:after="0"/>
              <w:rPr>
                <w:sz w:val="20"/>
                <w:szCs w:val="20"/>
                <w:color w:val="auto"/>
              </w:rPr>
            </w:pPr>
            <w:r>
              <w:rPr>
                <w:rFonts w:ascii="Arial" w:cs="Arial" w:eastAsia="Arial" w:hAnsi="Arial"/>
                <w:sz w:val="15"/>
                <w:szCs w:val="15"/>
                <w:color w:val="191919"/>
              </w:rPr>
              <w:t>Sotera Health</w:t>
            </w: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1800" w:type="dxa"/>
            <w:vAlign w:val="bottom"/>
            <w:vMerge w:val="restart"/>
          </w:tcPr>
          <w:p>
            <w:pPr>
              <w:spacing w:after="0"/>
              <w:rPr>
                <w:sz w:val="20"/>
                <w:szCs w:val="20"/>
                <w:color w:val="auto"/>
              </w:rPr>
            </w:pPr>
            <w:r>
              <w:rPr>
                <w:rFonts w:ascii="Arial" w:cs="Arial" w:eastAsia="Arial" w:hAnsi="Arial"/>
                <w:sz w:val="16"/>
                <w:szCs w:val="16"/>
                <w:color w:val="191919"/>
              </w:rPr>
              <w:t>Erika Ostrowski</w:t>
            </w:r>
          </w:p>
        </w:tc>
        <w:tc>
          <w:tcPr>
            <w:tcW w:w="1440" w:type="dxa"/>
            <w:vAlign w:val="bottom"/>
            <w:shd w:val="clear" w:color="auto" w:fill="000000"/>
          </w:tcPr>
          <w:p>
            <w:pPr>
              <w:spacing w:after="0"/>
              <w:rPr>
                <w:sz w:val="14"/>
                <w:szCs w:val="14"/>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191919"/>
              </w:rPr>
              <w:t>Sally R. Turner</w:t>
            </w:r>
          </w:p>
        </w:tc>
        <w:tc>
          <w:tcPr>
            <w:tcW w:w="20" w:type="dxa"/>
            <w:vAlign w:val="bottom"/>
          </w:tcPr>
          <w:p>
            <w:pPr>
              <w:spacing w:after="0"/>
              <w:rPr>
                <w:sz w:val="14"/>
                <w:szCs w:val="14"/>
                <w:color w:val="auto"/>
              </w:rPr>
            </w:pPr>
          </w:p>
        </w:tc>
        <w:tc>
          <w:tcPr>
            <w:tcW w:w="1420" w:type="dxa"/>
            <w:vAlign w:val="bottom"/>
            <w:shd w:val="clear" w:color="auto" w:fill="000000"/>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14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1800" w:type="dxa"/>
            <w:vAlign w:val="bottom"/>
          </w:tcPr>
          <w:p>
            <w:pPr>
              <w:spacing w:after="0"/>
              <w:rPr>
                <w:sz w:val="20"/>
                <w:szCs w:val="20"/>
                <w:color w:val="auto"/>
              </w:rPr>
            </w:pPr>
            <w:r>
              <w:rPr>
                <w:rFonts w:ascii="Arial" w:cs="Arial" w:eastAsia="Arial" w:hAnsi="Arial"/>
                <w:sz w:val="15"/>
                <w:szCs w:val="15"/>
                <w:color w:val="191919"/>
              </w:rPr>
              <w:t>Senior Vice President,</w:t>
            </w:r>
          </w:p>
        </w:tc>
        <w:tc>
          <w:tcPr>
            <w:tcW w:w="1440" w:type="dxa"/>
            <w:vAlign w:val="bottom"/>
          </w:tcPr>
          <w:p>
            <w:pPr>
              <w:spacing w:after="0"/>
              <w:rPr>
                <w:sz w:val="16"/>
                <w:szCs w:val="16"/>
                <w:color w:val="auto"/>
              </w:rPr>
            </w:pPr>
          </w:p>
        </w:tc>
        <w:tc>
          <w:tcPr>
            <w:tcW w:w="1780" w:type="dxa"/>
            <w:vAlign w:val="bottom"/>
          </w:tcPr>
          <w:p>
            <w:pPr>
              <w:ind w:left="20"/>
              <w:spacing w:after="0"/>
              <w:rPr>
                <w:sz w:val="20"/>
                <w:szCs w:val="20"/>
                <w:color w:val="auto"/>
              </w:rPr>
            </w:pPr>
            <w:r>
              <w:rPr>
                <w:rFonts w:ascii="Arial" w:cs="Arial" w:eastAsia="Arial" w:hAnsi="Arial"/>
                <w:sz w:val="15"/>
                <w:szCs w:val="15"/>
                <w:color w:val="191919"/>
              </w:rPr>
              <w:t>Chief Human Resources</w:t>
            </w: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1800" w:type="dxa"/>
            <w:vAlign w:val="bottom"/>
          </w:tcPr>
          <w:p>
            <w:pPr>
              <w:spacing w:after="0"/>
              <w:rPr>
                <w:sz w:val="20"/>
                <w:szCs w:val="20"/>
                <w:color w:val="auto"/>
              </w:rPr>
            </w:pPr>
            <w:r>
              <w:rPr>
                <w:rFonts w:ascii="Arial" w:cs="Arial" w:eastAsia="Arial" w:hAnsi="Arial"/>
                <w:sz w:val="15"/>
                <w:szCs w:val="15"/>
                <w:color w:val="191919"/>
              </w:rPr>
              <w:t>General Counsel</w:t>
            </w:r>
          </w:p>
        </w:tc>
        <w:tc>
          <w:tcPr>
            <w:tcW w:w="1440" w:type="dxa"/>
            <w:vAlign w:val="bottom"/>
          </w:tcPr>
          <w:p>
            <w:pPr>
              <w:spacing w:after="0"/>
              <w:rPr>
                <w:sz w:val="16"/>
                <w:szCs w:val="16"/>
                <w:color w:val="auto"/>
              </w:rPr>
            </w:pPr>
          </w:p>
        </w:tc>
        <w:tc>
          <w:tcPr>
            <w:tcW w:w="1780" w:type="dxa"/>
            <w:vAlign w:val="bottom"/>
          </w:tcPr>
          <w:p>
            <w:pPr>
              <w:ind w:left="20"/>
              <w:spacing w:after="0"/>
              <w:rPr>
                <w:sz w:val="20"/>
                <w:szCs w:val="20"/>
                <w:color w:val="auto"/>
              </w:rPr>
            </w:pPr>
            <w:r>
              <w:rPr>
                <w:rFonts w:ascii="Arial" w:cs="Arial" w:eastAsia="Arial" w:hAnsi="Arial"/>
                <w:sz w:val="15"/>
                <w:szCs w:val="15"/>
                <w:color w:val="191919"/>
              </w:rPr>
              <w:t>Officer, Sotera Health</w:t>
            </w: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1800" w:type="dxa"/>
            <w:vAlign w:val="bottom"/>
          </w:tcPr>
          <w:p>
            <w:pPr>
              <w:spacing w:after="0"/>
              <w:rPr>
                <w:sz w:val="20"/>
                <w:szCs w:val="20"/>
                <w:color w:val="auto"/>
              </w:rPr>
            </w:pPr>
            <w:r>
              <w:rPr>
                <w:rFonts w:ascii="Arial" w:cs="Arial" w:eastAsia="Arial" w:hAnsi="Arial"/>
                <w:sz w:val="15"/>
                <w:szCs w:val="15"/>
                <w:color w:val="191919"/>
              </w:rPr>
              <w:t>and Corporate Secretary,</w:t>
            </w: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Arial" w:cs="Arial" w:eastAsia="Arial" w:hAnsi="Arial"/>
                <w:sz w:val="15"/>
                <w:szCs w:val="15"/>
                <w:color w:val="191919"/>
              </w:rPr>
              <w:t>Sotera Health</w:t>
            </w:r>
          </w:p>
        </w:tc>
        <w:tc>
          <w:tcPr>
            <w:tcW w:w="1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00074E"/>
        </w:rPr>
        <w:t>• 4</w:t>
      </w:r>
    </w:p>
    <w:p>
      <w:pPr>
        <w:sectPr>
          <w:pgSz w:w="11880" w:h="15480" w:orient="portrait"/>
          <w:cols w:equalWidth="0" w:num="1">
            <w:col w:w="10720"/>
          </w:cols>
          <w:pgMar w:left="540" w:top="1371" w:right="62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1790700</wp:posOffset>
            </wp:positionH>
            <wp:positionV relativeFrom="page">
              <wp:posOffset>3680460</wp:posOffset>
            </wp:positionV>
            <wp:extent cx="3975100" cy="131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75100" cy="131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64"/>
          <w:szCs w:val="64"/>
          <w:color w:val="auto"/>
        </w:rPr>
        <w:t>2025 Form 10-K</w:t>
      </w:r>
    </w:p>
    <w:p>
      <w:pPr>
        <w:sectPr>
          <w:pgSz w:w="11880" w:h="15480" w:orient="portrait"/>
          <w:cols w:equalWidth="0" w:num="1">
            <w:col w:w="9000"/>
          </w:cols>
          <w:pgMar w:left="1440" w:top="1440" w:right="1440" w:bottom="1440" w:gutter="0" w:footer="0" w:header="0"/>
        </w:sectPr>
      </w:pPr>
    </w:p>
    <w:bookmarkStart w:id="7" w:name="page8"/>
    <w:bookmarkEnd w:id="7"/>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34"/>
          <w:szCs w:val="34"/>
          <w:b w:val="1"/>
          <w:bCs w:val="1"/>
          <w:color w:val="auto"/>
        </w:rPr>
        <w:t>FORM 10-K</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115" w:lineRule="exact"/>
        <w:rPr>
          <w:sz w:val="20"/>
          <w:szCs w:val="20"/>
          <w:color w:val="auto"/>
        </w:rPr>
      </w:pPr>
    </w:p>
    <w:p>
      <w:pPr>
        <w:ind w:left="400" w:hanging="337"/>
        <w:spacing w:after="0"/>
        <w:tabs>
          <w:tab w:leader="none" w:pos="400" w:val="left"/>
        </w:tabs>
        <w:numPr>
          <w:ilvl w:val="0"/>
          <w:numId w:val="6"/>
        </w:numPr>
        <w:rPr>
          <w:rFonts w:ascii="MS PGothic" w:cs="MS PGothic" w:eastAsia="MS PGothic" w:hAnsi="MS PGothic"/>
          <w:sz w:val="20"/>
          <w:szCs w:val="20"/>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2" w:lineRule="exact"/>
        <w:rPr>
          <w:sz w:val="20"/>
          <w:szCs w:val="20"/>
          <w:color w:val="auto"/>
        </w:rPr>
      </w:pPr>
    </w:p>
    <w:p>
      <w:pPr>
        <w:jc w:val="center"/>
        <w:ind w:left="3740" w:right="680" w:hanging="3677"/>
        <w:spacing w:after="0" w:line="441" w:lineRule="auto"/>
        <w:tabs>
          <w:tab w:leader="none" w:pos="409" w:val="left"/>
        </w:tabs>
        <w:numPr>
          <w:ilvl w:val="0"/>
          <w:numId w:val="7"/>
        </w:numPr>
        <w:rPr>
          <w:rFonts w:ascii="MS PGothic" w:cs="MS PGothic" w:eastAsia="MS PGothic" w:hAnsi="MS PGothic"/>
          <w:sz w:val="20"/>
          <w:szCs w:val="20"/>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001-39729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-1270</wp:posOffset>
            </wp:positionV>
            <wp:extent cx="1428750" cy="476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8750" cy="47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34"/>
          <w:szCs w:val="34"/>
          <w:b w:val="1"/>
          <w:bCs w:val="1"/>
          <w:color w:val="auto"/>
        </w:rPr>
        <w:t>SOTERA HEALTH COMPANY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260" w:type="dxa"/>
            <w:vAlign w:val="bottom"/>
          </w:tcPr>
          <w:p>
            <w:pPr>
              <w:jc w:val="center"/>
              <w:ind w:left="770"/>
              <w:spacing w:after="0"/>
              <w:rPr>
                <w:sz w:val="20"/>
                <w:szCs w:val="20"/>
                <w:color w:val="auto"/>
              </w:rPr>
            </w:pPr>
            <w:r>
              <w:rPr>
                <w:rFonts w:ascii="Arial" w:cs="Arial" w:eastAsia="Arial" w:hAnsi="Arial"/>
                <w:sz w:val="18"/>
                <w:szCs w:val="18"/>
                <w:b w:val="1"/>
                <w:bCs w:val="1"/>
                <w:color w:val="auto"/>
                <w:w w:val="91"/>
              </w:rPr>
              <w:t>Delaware</w:t>
            </w:r>
          </w:p>
        </w:tc>
        <w:tc>
          <w:tcPr>
            <w:tcW w:w="1840" w:type="dxa"/>
            <w:vAlign w:val="bottom"/>
          </w:tcPr>
          <w:p>
            <w:pPr>
              <w:spacing w:after="0"/>
              <w:rPr>
                <w:sz w:val="20"/>
                <w:szCs w:val="20"/>
                <w:color w:val="auto"/>
              </w:rPr>
            </w:pPr>
          </w:p>
        </w:tc>
        <w:tc>
          <w:tcPr>
            <w:tcW w:w="4140" w:type="dxa"/>
            <w:vAlign w:val="bottom"/>
          </w:tcPr>
          <w:p>
            <w:pPr>
              <w:jc w:val="right"/>
              <w:ind w:right="2030"/>
              <w:spacing w:after="0"/>
              <w:rPr>
                <w:sz w:val="20"/>
                <w:szCs w:val="20"/>
                <w:color w:val="auto"/>
              </w:rPr>
            </w:pPr>
            <w:r>
              <w:rPr>
                <w:rFonts w:ascii="Arial" w:cs="Arial" w:eastAsia="Arial" w:hAnsi="Arial"/>
                <w:sz w:val="18"/>
                <w:szCs w:val="18"/>
                <w:b w:val="1"/>
                <w:bCs w:val="1"/>
                <w:color w:val="auto"/>
              </w:rPr>
              <w:t>47-3531161</w:t>
            </w:r>
          </w:p>
        </w:tc>
      </w:tr>
      <w:tr>
        <w:trPr>
          <w:trHeight w:val="255"/>
        </w:trPr>
        <w:tc>
          <w:tcPr>
            <w:tcW w:w="6100" w:type="dxa"/>
            <w:vAlign w:val="bottom"/>
            <w:gridSpan w:val="2"/>
          </w:tcPr>
          <w:p>
            <w:pPr>
              <w:jc w:val="center"/>
              <w:ind w:right="9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40" w:type="dxa"/>
            <w:vAlign w:val="bottom"/>
          </w:tcPr>
          <w:p>
            <w:pPr>
              <w:jc w:val="center"/>
              <w:ind w:right="870"/>
              <w:spacing w:after="0"/>
              <w:rPr>
                <w:sz w:val="20"/>
                <w:szCs w:val="20"/>
                <w:color w:val="auto"/>
              </w:rPr>
            </w:pPr>
            <w:r>
              <w:rPr>
                <w:rFonts w:ascii="Arial" w:cs="Arial" w:eastAsia="Arial" w:hAnsi="Arial"/>
                <w:sz w:val="18"/>
                <w:szCs w:val="18"/>
                <w:color w:val="auto"/>
                <w:w w:val="94"/>
              </w:rPr>
              <w:t>(I.R.S. Employer Identification No.)</w:t>
            </w:r>
          </w:p>
        </w:tc>
      </w:tr>
      <w:tr>
        <w:trPr>
          <w:trHeight w:val="360"/>
        </w:trPr>
        <w:tc>
          <w:tcPr>
            <w:tcW w:w="4260" w:type="dxa"/>
            <w:vAlign w:val="bottom"/>
          </w:tcPr>
          <w:p>
            <w:pPr>
              <w:jc w:val="center"/>
              <w:ind w:left="750"/>
              <w:spacing w:after="0"/>
              <w:rPr>
                <w:sz w:val="20"/>
                <w:szCs w:val="20"/>
                <w:color w:val="auto"/>
              </w:rPr>
            </w:pPr>
            <w:r>
              <w:rPr>
                <w:rFonts w:ascii="Arial" w:cs="Arial" w:eastAsia="Arial" w:hAnsi="Arial"/>
                <w:sz w:val="18"/>
                <w:szCs w:val="18"/>
                <w:b w:val="1"/>
                <w:bCs w:val="1"/>
                <w:color w:val="auto"/>
                <w:w w:val="90"/>
              </w:rPr>
              <w:t>9100 South Hills Blvd, Suite 300</w:t>
            </w:r>
          </w:p>
        </w:tc>
        <w:tc>
          <w:tcPr>
            <w:tcW w:w="18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55"/>
        </w:trPr>
        <w:tc>
          <w:tcPr>
            <w:tcW w:w="4260" w:type="dxa"/>
            <w:vAlign w:val="bottom"/>
          </w:tcPr>
          <w:p>
            <w:pPr>
              <w:jc w:val="center"/>
              <w:ind w:left="750"/>
              <w:spacing w:after="0"/>
              <w:rPr>
                <w:sz w:val="20"/>
                <w:szCs w:val="20"/>
                <w:color w:val="auto"/>
              </w:rPr>
            </w:pPr>
            <w:r>
              <w:rPr>
                <w:rFonts w:ascii="Arial" w:cs="Arial" w:eastAsia="Arial" w:hAnsi="Arial"/>
                <w:sz w:val="18"/>
                <w:szCs w:val="18"/>
                <w:b w:val="1"/>
                <w:bCs w:val="1"/>
                <w:color w:val="auto"/>
                <w:w w:val="91"/>
              </w:rPr>
              <w:t>Broadview Heights, Ohio</w:t>
            </w:r>
          </w:p>
        </w:tc>
        <w:tc>
          <w:tcPr>
            <w:tcW w:w="1840" w:type="dxa"/>
            <w:vAlign w:val="bottom"/>
          </w:tcPr>
          <w:p>
            <w:pPr>
              <w:spacing w:after="0"/>
              <w:rPr>
                <w:sz w:val="22"/>
                <w:szCs w:val="22"/>
                <w:color w:val="auto"/>
              </w:rPr>
            </w:pPr>
          </w:p>
        </w:tc>
        <w:tc>
          <w:tcPr>
            <w:tcW w:w="4140" w:type="dxa"/>
            <w:vAlign w:val="bottom"/>
          </w:tcPr>
          <w:p>
            <w:pPr>
              <w:jc w:val="right"/>
              <w:ind w:right="2230"/>
              <w:spacing w:after="0"/>
              <w:rPr>
                <w:sz w:val="20"/>
                <w:szCs w:val="20"/>
                <w:color w:val="auto"/>
              </w:rPr>
            </w:pPr>
            <w:r>
              <w:rPr>
                <w:rFonts w:ascii="Arial" w:cs="Arial" w:eastAsia="Arial" w:hAnsi="Arial"/>
                <w:sz w:val="18"/>
                <w:szCs w:val="18"/>
                <w:b w:val="1"/>
                <w:bCs w:val="1"/>
                <w:color w:val="auto"/>
              </w:rPr>
              <w:t>44147</w:t>
            </w:r>
          </w:p>
        </w:tc>
      </w:tr>
      <w:tr>
        <w:trPr>
          <w:trHeight w:val="246"/>
        </w:trPr>
        <w:tc>
          <w:tcPr>
            <w:tcW w:w="4260" w:type="dxa"/>
            <w:vAlign w:val="bottom"/>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1840" w:type="dxa"/>
            <w:vAlign w:val="bottom"/>
          </w:tcPr>
          <w:p>
            <w:pPr>
              <w:spacing w:after="0"/>
              <w:rPr>
                <w:sz w:val="21"/>
                <w:szCs w:val="21"/>
                <w:color w:val="auto"/>
              </w:rPr>
            </w:pPr>
          </w:p>
        </w:tc>
        <w:tc>
          <w:tcPr>
            <w:tcW w:w="4140" w:type="dxa"/>
            <w:vAlign w:val="bottom"/>
          </w:tcPr>
          <w:p>
            <w:pPr>
              <w:jc w:val="center"/>
              <w:ind w:right="890"/>
              <w:spacing w:after="0"/>
              <w:rPr>
                <w:sz w:val="20"/>
                <w:szCs w:val="20"/>
                <w:color w:val="auto"/>
              </w:rPr>
            </w:pPr>
            <w:r>
              <w:rPr>
                <w:rFonts w:ascii="Arial" w:cs="Arial" w:eastAsia="Arial" w:hAnsi="Arial"/>
                <w:sz w:val="18"/>
                <w:szCs w:val="18"/>
                <w:color w:val="auto"/>
                <w:w w:val="94"/>
              </w:rPr>
              <w:t>(Zip Code)</w:t>
            </w:r>
          </w:p>
        </w:tc>
      </w:tr>
      <w:tr>
        <w:trPr>
          <w:trHeight w:val="252"/>
        </w:trPr>
        <w:tc>
          <w:tcPr>
            <w:tcW w:w="4260" w:type="dxa"/>
            <w:vAlign w:val="bottom"/>
          </w:tcPr>
          <w:p>
            <w:pPr>
              <w:spacing w:after="0"/>
              <w:rPr>
                <w:sz w:val="21"/>
                <w:szCs w:val="21"/>
                <w:color w:val="auto"/>
              </w:rPr>
            </w:pPr>
          </w:p>
        </w:tc>
        <w:tc>
          <w:tcPr>
            <w:tcW w:w="18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(440) 262-1410</w:t>
            </w:r>
          </w:p>
        </w:tc>
        <w:tc>
          <w:tcPr>
            <w:tcW w:w="4140" w:type="dxa"/>
            <w:vAlign w:val="bottom"/>
          </w:tcPr>
          <w:p>
            <w:pPr>
              <w:spacing w:after="0"/>
              <w:rPr>
                <w:sz w:val="21"/>
                <w:szCs w:val="21"/>
                <w:color w:val="auto"/>
              </w:rPr>
            </w:pPr>
          </w:p>
        </w:tc>
      </w:tr>
      <w:tr>
        <w:trPr>
          <w:trHeight w:val="258"/>
        </w:trPr>
        <w:tc>
          <w:tcPr>
            <w:tcW w:w="10240" w:type="dxa"/>
            <w:vAlign w:val="bottom"/>
            <w:gridSpan w:val="3"/>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322"/>
        </w:trPr>
        <w:tc>
          <w:tcPr>
            <w:tcW w:w="4260" w:type="dxa"/>
            <w:vAlign w:val="bottom"/>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8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22"/>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Trading Symbol(s)</w:t>
            </w:r>
          </w:p>
        </w:tc>
        <w:tc>
          <w:tcPr>
            <w:tcW w:w="4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9"/>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18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SHC</w:t>
            </w:r>
          </w:p>
        </w:tc>
        <w:tc>
          <w:tcPr>
            <w:tcW w:w="41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44" w:lineRule="exact"/>
        <w:rPr>
          <w:sz w:val="20"/>
          <w:szCs w:val="20"/>
          <w:color w:val="auto"/>
        </w:rPr>
      </w:pPr>
    </w:p>
    <w:p>
      <w:pPr>
        <w:ind w:right="1380"/>
        <w:spacing w:after="0" w:line="227"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Indicate by check mark if the registrant is not required to file reports pursuant to Section 13 or Section 15(d) of the Act.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w:t>
      </w:r>
    </w:p>
    <w:p>
      <w:pPr>
        <w:ind w:left="20" w:right="280"/>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w:t>
      </w:r>
    </w:p>
    <w:p>
      <w:pPr>
        <w:spacing w:after="0" w:line="2" w:lineRule="exact"/>
        <w:rPr>
          <w:sz w:val="20"/>
          <w:szCs w:val="20"/>
          <w:color w:val="auto"/>
        </w:rPr>
      </w:pPr>
    </w:p>
    <w:p>
      <w:pPr>
        <w:ind w:left="20" w:right="30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w:t>
      </w:r>
    </w:p>
    <w:p>
      <w:pPr>
        <w:spacing w:after="0" w:line="2" w:lineRule="exact"/>
        <w:rPr>
          <w:sz w:val="20"/>
          <w:szCs w:val="20"/>
          <w:color w:val="auto"/>
        </w:rPr>
      </w:pPr>
    </w:p>
    <w:p>
      <w:pPr>
        <w:ind w:left="20" w:right="280"/>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0"/>
          <w:szCs w:val="20"/>
          <w:color w:val="auto"/>
        </w:rPr>
      </w:pPr>
    </w:p>
    <w:tbl>
      <w:tblPr>
        <w:tblLayout w:type="fixed"/>
        <w:tblInd w:w="1500" w:type="dxa"/>
        <w:tblCellMar>
          <w:top w:w="0" w:type="dxa"/>
          <w:left w:w="0" w:type="dxa"/>
          <w:bottom w:w="0" w:type="dxa"/>
          <w:right w:w="0" w:type="dxa"/>
        </w:tblCellMar>
      </w:tblPr>
      <w:tr>
        <w:trPr>
          <w:trHeight w:val="225"/>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60" w:type="dxa"/>
            <w:vAlign w:val="bottom"/>
          </w:tcPr>
          <w:p>
            <w:pPr>
              <w:ind w:left="8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380" w:type="dxa"/>
            <w:vAlign w:val="bottom"/>
          </w:tcPr>
          <w:p>
            <w:pPr>
              <w:jc w:val="center"/>
              <w:spacing w:after="0"/>
              <w:rPr>
                <w:sz w:val="20"/>
                <w:szCs w:val="20"/>
                <w:color w:val="auto"/>
              </w:rPr>
            </w:pPr>
            <w:r>
              <w:rPr>
                <w:rFonts w:ascii="Arial" w:cs="Arial" w:eastAsia="Arial" w:hAnsi="Arial"/>
                <w:sz w:val="16"/>
                <w:szCs w:val="16"/>
                <w:color w:val="auto"/>
                <w:w w:val="95"/>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60" w:type="dxa"/>
            <w:vAlign w:val="bottom"/>
          </w:tcPr>
          <w:p>
            <w:pPr>
              <w:ind w:left="8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380" w:type="dxa"/>
            <w:vAlign w:val="bottom"/>
          </w:tcPr>
          <w:p>
            <w:pPr>
              <w:jc w:val="center"/>
              <w:spacing w:after="0"/>
              <w:rPr>
                <w:sz w:val="20"/>
                <w:szCs w:val="20"/>
                <w:color w:val="auto"/>
              </w:rPr>
            </w:pPr>
            <w:r>
              <w:rPr>
                <w:rFonts w:ascii="Arial" w:cs="Arial" w:eastAsia="Arial" w:hAnsi="Arial"/>
                <w:sz w:val="16"/>
                <w:szCs w:val="16"/>
                <w:color w:val="auto"/>
                <w:w w:val="94"/>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56"/>
        </w:trPr>
        <w:tc>
          <w:tcPr>
            <w:tcW w:w="23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6"/>
                <w:szCs w:val="16"/>
                <w:color w:val="auto"/>
                <w:w w:val="94"/>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b w:val="1"/>
                <w:bCs w:val="1"/>
                <w:color w:val="auto"/>
                <w:w w:val="74"/>
              </w:rPr>
              <w:t>☐</w:t>
            </w:r>
          </w:p>
        </w:tc>
      </w:tr>
    </w:tbl>
    <w:p>
      <w:pPr>
        <w:spacing w:after="0" w:line="53" w:lineRule="exact"/>
        <w:rPr>
          <w:sz w:val="20"/>
          <w:szCs w:val="20"/>
          <w:color w:val="auto"/>
        </w:rPr>
      </w:pPr>
    </w:p>
    <w:p>
      <w:pPr>
        <w:ind w:left="20" w:right="16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ind w:left="20"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2" w:lineRule="exact"/>
        <w:rPr>
          <w:sz w:val="20"/>
          <w:szCs w:val="20"/>
          <w:color w:val="auto"/>
        </w:rPr>
      </w:pPr>
    </w:p>
    <w:p>
      <w:pPr>
        <w:ind w:left="20" w:right="300"/>
        <w:spacing w:after="0" w:line="212" w:lineRule="exact"/>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MS PGothic" w:cs="MS PGothic" w:eastAsia="MS PGothic" w:hAnsi="MS PGothic"/>
          <w:sz w:val="16"/>
          <w:szCs w:val="16"/>
          <w:b w:val="1"/>
          <w:bCs w:val="1"/>
          <w:color w:val="auto"/>
        </w:rPr>
        <w:t>☐</w:t>
      </w:r>
    </w:p>
    <w:p>
      <w:pPr>
        <w:ind w:left="20" w:right="120"/>
        <w:spacing w:after="0" w:line="212"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ind w:left="20"/>
        <w:spacing w:after="0" w:line="173" w:lineRule="exact"/>
        <w:tabs>
          <w:tab w:leader="none" w:pos="738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Yes</w:t>
      </w:r>
      <w:r>
        <w:rPr>
          <w:sz w:val="20"/>
          <w:szCs w:val="20"/>
          <w:color w:val="auto"/>
        </w:rPr>
        <w:tab/>
      </w:r>
      <w:r>
        <w:rPr>
          <w:rFonts w:ascii="MS PGothic" w:cs="MS PGothic" w:eastAsia="MS PGothic" w:hAnsi="MS PGothic"/>
          <w:sz w:val="13"/>
          <w:szCs w:val="13"/>
          <w:b w:val="1"/>
          <w:bCs w:val="1"/>
          <w:color w:val="auto"/>
        </w:rPr>
        <w:t xml:space="preserve">☒ </w:t>
      </w:r>
      <w:r>
        <w:rPr>
          <w:rFonts w:ascii="Arial" w:cs="Arial" w:eastAsia="Arial" w:hAnsi="Arial"/>
          <w:sz w:val="13"/>
          <w:szCs w:val="13"/>
          <w:color w:val="auto"/>
        </w:rPr>
        <w:t>No</w:t>
      </w:r>
    </w:p>
    <w:p>
      <w:pPr>
        <w:spacing w:after="0" w:line="54" w:lineRule="exact"/>
        <w:rPr>
          <w:sz w:val="20"/>
          <w:szCs w:val="20"/>
          <w:color w:val="auto"/>
        </w:rPr>
      </w:pPr>
    </w:p>
    <w:p>
      <w:pPr>
        <w:ind w:left="20" w:right="40"/>
        <w:spacing w:after="0" w:line="276" w:lineRule="auto"/>
        <w:rPr>
          <w:sz w:val="20"/>
          <w:szCs w:val="20"/>
          <w:color w:val="auto"/>
        </w:rPr>
      </w:pPr>
      <w:r>
        <w:rPr>
          <w:rFonts w:ascii="Arial" w:cs="Arial" w:eastAsia="Arial" w:hAnsi="Arial"/>
          <w:sz w:val="16"/>
          <w:szCs w:val="16"/>
          <w:color w:val="auto"/>
        </w:rPr>
        <w:t>The aggregate market value of the voting and non-voting common stock held by non-affiliates of the registrant as of June 30, 2025, based upon the last sale price of such voting and non-voting common stock on that date, was $1,714,111,104.</w:t>
      </w:r>
    </w:p>
    <w:p>
      <w:pPr>
        <w:ind w:left="20"/>
        <w:spacing w:after="0"/>
        <w:rPr>
          <w:sz w:val="20"/>
          <w:szCs w:val="20"/>
          <w:color w:val="auto"/>
        </w:rPr>
      </w:pPr>
      <w:r>
        <w:rPr>
          <w:rFonts w:ascii="Arial" w:cs="Arial" w:eastAsia="Arial" w:hAnsi="Arial"/>
          <w:sz w:val="16"/>
          <w:szCs w:val="16"/>
          <w:color w:val="auto"/>
        </w:rPr>
        <w:t>As of February 17, 2026, there were 284,392,079 shares of the registrant’s common stock, $0.01 par value per share, outstanding.</w:t>
      </w:r>
    </w:p>
    <w:p>
      <w:pPr>
        <w:sectPr>
          <w:pgSz w:w="11880" w:h="15480" w:orient="portrait"/>
          <w:cols w:equalWidth="0" w:num="1">
            <w:col w:w="10260"/>
          </w:cols>
          <w:pgMar w:left="800" w:top="672" w:right="820" w:bottom="201"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DOCUMENTS INCORPORATED BY REFERENCE</w:t>
      </w:r>
    </w:p>
    <w:p>
      <w:pPr>
        <w:spacing w:after="0" w:line="137" w:lineRule="exact"/>
        <w:rPr>
          <w:sz w:val="20"/>
          <w:szCs w:val="20"/>
          <w:color w:val="auto"/>
        </w:rPr>
      </w:pPr>
    </w:p>
    <w:p>
      <w:pPr>
        <w:ind w:left="20" w:right="280"/>
        <w:spacing w:after="0" w:line="275" w:lineRule="auto"/>
        <w:rPr>
          <w:sz w:val="20"/>
          <w:szCs w:val="20"/>
          <w:color w:val="auto"/>
        </w:rPr>
      </w:pPr>
      <w:r>
        <w:rPr>
          <w:rFonts w:ascii="Arial" w:cs="Arial" w:eastAsia="Arial" w:hAnsi="Arial"/>
          <w:sz w:val="17"/>
          <w:szCs w:val="17"/>
          <w:color w:val="auto"/>
        </w:rPr>
        <w:t>Portions of the Definitive Proxy Statement for the registrant’s 2026 Annual Meeting of Stockholders are incorporated by reference in Part III of this Annual Report on Form 10-K. Sotera Health Company intends to file the Definitive Proxy Statement with the Securities and Exchange Commission within 120 days after the end of the registrant’s fiscal year ended December 31, 2025.</w:t>
      </w:r>
    </w:p>
    <w:p>
      <w:pPr>
        <w:spacing w:after="0" w:line="20" w:lineRule="exact"/>
        <w:rPr>
          <w:sz w:val="20"/>
          <w:szCs w:val="20"/>
          <w:color w:val="auto"/>
        </w:rPr>
      </w:pP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34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Audit Firm PCAOB ID: 42</w:t>
            </w:r>
          </w:p>
        </w:tc>
        <w:tc>
          <w:tcPr>
            <w:tcW w:w="34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Auditor Name: Ernst &amp; Young LLP</w:t>
            </w:r>
          </w:p>
        </w:tc>
        <w:tc>
          <w:tcPr>
            <w:tcW w:w="34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Auditor Location: Cleveland, Ohio</w:t>
            </w:r>
          </w:p>
        </w:tc>
      </w:tr>
    </w:tbl>
    <w:p>
      <w:pPr>
        <w:sectPr>
          <w:pgSz w:w="11880" w:h="15480" w:orient="portrait"/>
          <w:cols w:equalWidth="0" w:num="1">
            <w:col w:w="10280"/>
          </w:cols>
          <w:pgMar w:left="800" w:top="412" w:right="80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gridSpan w:val="10"/>
          </w:tcPr>
          <w:p>
            <w:pPr>
              <w:jc w:val="center"/>
              <w:ind w:right="2440"/>
              <w:spacing w:after="0"/>
              <w:rPr>
                <w:sz w:val="20"/>
                <w:szCs w:val="20"/>
                <w:color w:val="auto"/>
              </w:rPr>
            </w:pPr>
            <w:r>
              <w:rPr>
                <w:rFonts w:ascii="Arial" w:cs="Arial" w:eastAsia="Arial" w:hAnsi="Arial"/>
                <w:sz w:val="20"/>
                <w:szCs w:val="20"/>
                <w:b w:val="1"/>
                <w:bCs w:val="1"/>
                <w:color w:val="auto"/>
              </w:rPr>
              <w:t>SOTERA HEALTH COMPANY</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65"/>
        </w:trPr>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360" w:type="dxa"/>
            <w:vAlign w:val="bottom"/>
            <w:gridSpan w:val="10"/>
          </w:tcPr>
          <w:p>
            <w:pPr>
              <w:jc w:val="center"/>
              <w:ind w:right="2440"/>
              <w:spacing w:after="0"/>
              <w:rPr>
                <w:sz w:val="20"/>
                <w:szCs w:val="20"/>
                <w:color w:val="auto"/>
              </w:rPr>
            </w:pPr>
            <w:r>
              <w:rPr>
                <w:rFonts w:ascii="Arial" w:cs="Arial" w:eastAsia="Arial" w:hAnsi="Arial"/>
                <w:sz w:val="20"/>
                <w:szCs w:val="20"/>
                <w:b w:val="1"/>
                <w:bCs w:val="1"/>
                <w:color w:val="auto"/>
                <w:w w:val="99"/>
              </w:rPr>
              <w:t>- TABLE OF CONTENTS -</w:t>
            </w: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433"/>
        </w:trPr>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7"/>
          </w:tcPr>
          <w:p>
            <w:pPr>
              <w:ind w:left="220"/>
              <w:spacing w:after="0"/>
              <w:rPr>
                <w:sz w:val="20"/>
                <w:szCs w:val="20"/>
                <w:color w:val="auto"/>
              </w:rPr>
            </w:pPr>
            <w:r>
              <w:rPr>
                <w:rFonts w:ascii="Arial" w:cs="Arial" w:eastAsia="Arial" w:hAnsi="Arial"/>
                <w:sz w:val="20"/>
                <w:szCs w:val="20"/>
                <w:b w:val="1"/>
                <w:bCs w:val="1"/>
                <w:color w:val="auto"/>
              </w:rPr>
              <w:t>Page No.</w:t>
            </w:r>
          </w:p>
        </w:tc>
      </w:tr>
      <w:tr>
        <w:trPr>
          <w:trHeight w:val="27"/>
        </w:trPr>
        <w:tc>
          <w:tcPr>
            <w:tcW w:w="880" w:type="dxa"/>
            <w:vAlign w:val="bottom"/>
            <w:tcBorders>
              <w:bottom w:val="single" w:sz="8" w:color="D2EEF5"/>
            </w:tcBorders>
          </w:tcPr>
          <w:p>
            <w:pPr>
              <w:spacing w:after="0"/>
              <w:rPr>
                <w:sz w:val="2"/>
                <w:szCs w:val="2"/>
                <w:color w:val="auto"/>
              </w:rPr>
            </w:pPr>
          </w:p>
        </w:tc>
        <w:tc>
          <w:tcPr>
            <w:tcW w:w="520" w:type="dxa"/>
            <w:vAlign w:val="bottom"/>
            <w:tcBorders>
              <w:bottom w:val="single" w:sz="8" w:color="D2EEF5"/>
            </w:tcBorders>
          </w:tcPr>
          <w:p>
            <w:pPr>
              <w:spacing w:after="0"/>
              <w:rPr>
                <w:sz w:val="2"/>
                <w:szCs w:val="2"/>
                <w:color w:val="auto"/>
              </w:rPr>
            </w:pPr>
          </w:p>
        </w:tc>
        <w:tc>
          <w:tcPr>
            <w:tcW w:w="360" w:type="dxa"/>
            <w:vAlign w:val="bottom"/>
            <w:tcBorders>
              <w:bottom w:val="single" w:sz="8" w:color="D2EEF5"/>
            </w:tcBorders>
          </w:tcPr>
          <w:p>
            <w:pPr>
              <w:spacing w:after="0"/>
              <w:rPr>
                <w:sz w:val="2"/>
                <w:szCs w:val="2"/>
                <w:color w:val="auto"/>
              </w:rPr>
            </w:pPr>
          </w:p>
        </w:tc>
        <w:tc>
          <w:tcPr>
            <w:tcW w:w="340" w:type="dxa"/>
            <w:vAlign w:val="bottom"/>
            <w:tcBorders>
              <w:bottom w:val="single" w:sz="8" w:color="D2EEF5"/>
            </w:tcBorders>
          </w:tcPr>
          <w:p>
            <w:pPr>
              <w:spacing w:after="0"/>
              <w:rPr>
                <w:sz w:val="2"/>
                <w:szCs w:val="2"/>
                <w:color w:val="auto"/>
              </w:rPr>
            </w:pPr>
          </w:p>
        </w:tc>
        <w:tc>
          <w:tcPr>
            <w:tcW w:w="40" w:type="dxa"/>
            <w:vAlign w:val="bottom"/>
            <w:tcBorders>
              <w:bottom w:val="single" w:sz="8" w:color="D2EEF5"/>
            </w:tcBorders>
          </w:tcPr>
          <w:p>
            <w:pPr>
              <w:spacing w:after="0"/>
              <w:rPr>
                <w:sz w:val="2"/>
                <w:szCs w:val="2"/>
                <w:color w:val="auto"/>
              </w:rPr>
            </w:pPr>
          </w:p>
        </w:tc>
        <w:tc>
          <w:tcPr>
            <w:tcW w:w="60" w:type="dxa"/>
            <w:vAlign w:val="bottom"/>
            <w:tcBorders>
              <w:bottom w:val="single" w:sz="8" w:color="D2EEF5"/>
            </w:tcBorders>
          </w:tcPr>
          <w:p>
            <w:pPr>
              <w:spacing w:after="0"/>
              <w:rPr>
                <w:sz w:val="2"/>
                <w:szCs w:val="2"/>
                <w:color w:val="auto"/>
              </w:rPr>
            </w:pPr>
          </w:p>
        </w:tc>
        <w:tc>
          <w:tcPr>
            <w:tcW w:w="40" w:type="dxa"/>
            <w:vAlign w:val="bottom"/>
            <w:tcBorders>
              <w:bottom w:val="single" w:sz="8" w:color="D2EEF5"/>
            </w:tcBorders>
          </w:tcPr>
          <w:p>
            <w:pPr>
              <w:spacing w:after="0"/>
              <w:rPr>
                <w:sz w:val="2"/>
                <w:szCs w:val="2"/>
                <w:color w:val="auto"/>
              </w:rPr>
            </w:pPr>
          </w:p>
        </w:tc>
        <w:tc>
          <w:tcPr>
            <w:tcW w:w="120" w:type="dxa"/>
            <w:vAlign w:val="bottom"/>
            <w:tcBorders>
              <w:bottom w:val="single" w:sz="8" w:color="D2EEF5"/>
            </w:tcBorders>
          </w:tcPr>
          <w:p>
            <w:pPr>
              <w:spacing w:after="0"/>
              <w:rPr>
                <w:sz w:val="2"/>
                <w:szCs w:val="2"/>
                <w:color w:val="auto"/>
              </w:rPr>
            </w:pPr>
          </w:p>
        </w:tc>
        <w:tc>
          <w:tcPr>
            <w:tcW w:w="40" w:type="dxa"/>
            <w:vAlign w:val="bottom"/>
            <w:tcBorders>
              <w:bottom w:val="single" w:sz="8" w:color="D2EEF5"/>
            </w:tcBorders>
          </w:tcPr>
          <w:p>
            <w:pPr>
              <w:spacing w:after="0"/>
              <w:rPr>
                <w:sz w:val="2"/>
                <w:szCs w:val="2"/>
                <w:color w:val="auto"/>
              </w:rPr>
            </w:pPr>
          </w:p>
        </w:tc>
        <w:tc>
          <w:tcPr>
            <w:tcW w:w="120" w:type="dxa"/>
            <w:vAlign w:val="bottom"/>
            <w:tcBorders>
              <w:bottom w:val="single" w:sz="8" w:color="D2EEF5"/>
            </w:tcBorders>
          </w:tcPr>
          <w:p>
            <w:pPr>
              <w:spacing w:after="0"/>
              <w:rPr>
                <w:sz w:val="2"/>
                <w:szCs w:val="2"/>
                <w:color w:val="auto"/>
              </w:rPr>
            </w:pPr>
          </w:p>
        </w:tc>
        <w:tc>
          <w:tcPr>
            <w:tcW w:w="340" w:type="dxa"/>
            <w:vAlign w:val="bottom"/>
            <w:tcBorders>
              <w:bottom w:val="single" w:sz="8" w:color="D2EEF5"/>
            </w:tcBorders>
          </w:tcPr>
          <w:p>
            <w:pPr>
              <w:spacing w:after="0"/>
              <w:rPr>
                <w:sz w:val="2"/>
                <w:szCs w:val="2"/>
                <w:color w:val="auto"/>
              </w:rPr>
            </w:pPr>
          </w:p>
        </w:tc>
        <w:tc>
          <w:tcPr>
            <w:tcW w:w="20" w:type="dxa"/>
            <w:vAlign w:val="bottom"/>
            <w:tcBorders>
              <w:bottom w:val="single" w:sz="8" w:color="D2EEF5"/>
            </w:tcBorders>
          </w:tcPr>
          <w:p>
            <w:pPr>
              <w:spacing w:after="0"/>
              <w:rPr>
                <w:sz w:val="2"/>
                <w:szCs w:val="2"/>
                <w:color w:val="auto"/>
              </w:rPr>
            </w:pPr>
          </w:p>
        </w:tc>
        <w:tc>
          <w:tcPr>
            <w:tcW w:w="240" w:type="dxa"/>
            <w:vAlign w:val="bottom"/>
            <w:tcBorders>
              <w:bottom w:val="single" w:sz="8" w:color="D2EEF5"/>
            </w:tcBorders>
          </w:tcPr>
          <w:p>
            <w:pPr>
              <w:spacing w:after="0"/>
              <w:rPr>
                <w:sz w:val="2"/>
                <w:szCs w:val="2"/>
                <w:color w:val="auto"/>
              </w:rPr>
            </w:pPr>
          </w:p>
        </w:tc>
        <w:tc>
          <w:tcPr>
            <w:tcW w:w="240" w:type="dxa"/>
            <w:vAlign w:val="bottom"/>
            <w:tcBorders>
              <w:bottom w:val="single" w:sz="8" w:color="D2EEF5"/>
            </w:tcBorders>
          </w:tcPr>
          <w:p>
            <w:pPr>
              <w:spacing w:after="0"/>
              <w:rPr>
                <w:sz w:val="2"/>
                <w:szCs w:val="2"/>
                <w:color w:val="auto"/>
              </w:rPr>
            </w:pPr>
          </w:p>
        </w:tc>
        <w:tc>
          <w:tcPr>
            <w:tcW w:w="40" w:type="dxa"/>
            <w:vAlign w:val="bottom"/>
            <w:tcBorders>
              <w:bottom w:val="single" w:sz="8" w:color="D2EEF5"/>
            </w:tcBorders>
          </w:tcPr>
          <w:p>
            <w:pPr>
              <w:spacing w:after="0"/>
              <w:rPr>
                <w:sz w:val="2"/>
                <w:szCs w:val="2"/>
                <w:color w:val="auto"/>
              </w:rPr>
            </w:pPr>
          </w:p>
        </w:tc>
        <w:tc>
          <w:tcPr>
            <w:tcW w:w="260" w:type="dxa"/>
            <w:vAlign w:val="bottom"/>
            <w:tcBorders>
              <w:bottom w:val="single" w:sz="8" w:color="D2EEF5"/>
            </w:tcBorders>
          </w:tcPr>
          <w:p>
            <w:pPr>
              <w:spacing w:after="0"/>
              <w:rPr>
                <w:sz w:val="2"/>
                <w:szCs w:val="2"/>
                <w:color w:val="auto"/>
              </w:rPr>
            </w:pPr>
          </w:p>
        </w:tc>
        <w:tc>
          <w:tcPr>
            <w:tcW w:w="900" w:type="dxa"/>
            <w:vAlign w:val="bottom"/>
            <w:tcBorders>
              <w:bottom w:val="single" w:sz="8" w:color="D2EEF5"/>
            </w:tcBorders>
          </w:tcPr>
          <w:p>
            <w:pPr>
              <w:spacing w:after="0"/>
              <w:rPr>
                <w:sz w:val="2"/>
                <w:szCs w:val="2"/>
                <w:color w:val="auto"/>
              </w:rPr>
            </w:pPr>
          </w:p>
        </w:tc>
        <w:tc>
          <w:tcPr>
            <w:tcW w:w="340" w:type="dxa"/>
            <w:vAlign w:val="bottom"/>
            <w:tcBorders>
              <w:bottom w:val="single" w:sz="8" w:color="D2EEF5"/>
            </w:tcBorders>
          </w:tcPr>
          <w:p>
            <w:pPr>
              <w:spacing w:after="0"/>
              <w:rPr>
                <w:sz w:val="2"/>
                <w:szCs w:val="2"/>
                <w:color w:val="auto"/>
              </w:rPr>
            </w:pPr>
          </w:p>
        </w:tc>
        <w:tc>
          <w:tcPr>
            <w:tcW w:w="180" w:type="dxa"/>
            <w:vAlign w:val="bottom"/>
            <w:tcBorders>
              <w:bottom w:val="single" w:sz="8" w:color="D2EEF5"/>
            </w:tcBorders>
          </w:tcPr>
          <w:p>
            <w:pPr>
              <w:spacing w:after="0"/>
              <w:rPr>
                <w:sz w:val="2"/>
                <w:szCs w:val="2"/>
                <w:color w:val="auto"/>
              </w:rPr>
            </w:pPr>
          </w:p>
        </w:tc>
        <w:tc>
          <w:tcPr>
            <w:tcW w:w="860" w:type="dxa"/>
            <w:vAlign w:val="bottom"/>
            <w:tcBorders>
              <w:bottom w:val="single" w:sz="8" w:color="D2EEF5"/>
            </w:tcBorders>
          </w:tcPr>
          <w:p>
            <w:pPr>
              <w:spacing w:after="0"/>
              <w:rPr>
                <w:sz w:val="2"/>
                <w:szCs w:val="2"/>
                <w:color w:val="auto"/>
              </w:rPr>
            </w:pPr>
          </w:p>
        </w:tc>
        <w:tc>
          <w:tcPr>
            <w:tcW w:w="300" w:type="dxa"/>
            <w:vAlign w:val="bottom"/>
            <w:tcBorders>
              <w:bottom w:val="single" w:sz="8" w:color="D2EEF5"/>
            </w:tcBorders>
          </w:tcPr>
          <w:p>
            <w:pPr>
              <w:spacing w:after="0"/>
              <w:rPr>
                <w:sz w:val="2"/>
                <w:szCs w:val="2"/>
                <w:color w:val="auto"/>
              </w:rPr>
            </w:pPr>
          </w:p>
        </w:tc>
        <w:tc>
          <w:tcPr>
            <w:tcW w:w="600" w:type="dxa"/>
            <w:vAlign w:val="bottom"/>
            <w:tcBorders>
              <w:bottom w:val="single" w:sz="8" w:color="D2EEF5"/>
            </w:tcBorders>
          </w:tcPr>
          <w:p>
            <w:pPr>
              <w:spacing w:after="0"/>
              <w:rPr>
                <w:sz w:val="2"/>
                <w:szCs w:val="2"/>
                <w:color w:val="auto"/>
              </w:rPr>
            </w:pPr>
          </w:p>
        </w:tc>
        <w:tc>
          <w:tcPr>
            <w:tcW w:w="620" w:type="dxa"/>
            <w:vAlign w:val="bottom"/>
            <w:tcBorders>
              <w:bottom w:val="single" w:sz="8" w:color="D2EEF5"/>
            </w:tcBorders>
          </w:tcPr>
          <w:p>
            <w:pPr>
              <w:spacing w:after="0"/>
              <w:rPr>
                <w:sz w:val="2"/>
                <w:szCs w:val="2"/>
                <w:color w:val="auto"/>
              </w:rPr>
            </w:pPr>
          </w:p>
        </w:tc>
        <w:tc>
          <w:tcPr>
            <w:tcW w:w="1120" w:type="dxa"/>
            <w:vAlign w:val="bottom"/>
            <w:tcBorders>
              <w:bottom w:val="single" w:sz="8" w:color="D2EEF5"/>
            </w:tcBorders>
          </w:tcPr>
          <w:p>
            <w:pPr>
              <w:spacing w:after="0"/>
              <w:rPr>
                <w:sz w:val="2"/>
                <w:szCs w:val="2"/>
                <w:color w:val="auto"/>
              </w:rPr>
            </w:pPr>
          </w:p>
        </w:tc>
        <w:tc>
          <w:tcPr>
            <w:tcW w:w="300" w:type="dxa"/>
            <w:vAlign w:val="bottom"/>
            <w:tcBorders>
              <w:bottom w:val="single" w:sz="8" w:color="D2EEF5"/>
            </w:tcBorders>
          </w:tcPr>
          <w:p>
            <w:pPr>
              <w:spacing w:after="0"/>
              <w:rPr>
                <w:sz w:val="2"/>
                <w:szCs w:val="2"/>
                <w:color w:val="auto"/>
              </w:rPr>
            </w:pPr>
          </w:p>
        </w:tc>
        <w:tc>
          <w:tcPr>
            <w:tcW w:w="140" w:type="dxa"/>
            <w:vAlign w:val="bottom"/>
            <w:tcBorders>
              <w:bottom w:val="single" w:sz="8" w:color="D2EEF5"/>
            </w:tcBorders>
          </w:tcPr>
          <w:p>
            <w:pPr>
              <w:spacing w:after="0"/>
              <w:rPr>
                <w:sz w:val="2"/>
                <w:szCs w:val="2"/>
                <w:color w:val="auto"/>
              </w:rPr>
            </w:pPr>
          </w:p>
        </w:tc>
        <w:tc>
          <w:tcPr>
            <w:tcW w:w="40" w:type="dxa"/>
            <w:vAlign w:val="bottom"/>
            <w:tcBorders>
              <w:bottom w:val="single" w:sz="8" w:color="D2EEF5"/>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75"/>
        </w:trPr>
        <w:tc>
          <w:tcPr>
            <w:tcW w:w="880" w:type="dxa"/>
            <w:vAlign w:val="bottom"/>
            <w:shd w:val="clear" w:color="auto" w:fill="D2EEF5"/>
          </w:tcPr>
          <w:p>
            <w:pPr>
              <w:ind w:left="40"/>
              <w:spacing w:after="0"/>
              <w:rPr>
                <w:sz w:val="20"/>
                <w:szCs w:val="20"/>
                <w:color w:val="auto"/>
              </w:rPr>
            </w:pPr>
            <w:r>
              <w:rPr>
                <w:rFonts w:ascii="Arial" w:cs="Arial" w:eastAsia="Arial" w:hAnsi="Arial"/>
                <w:sz w:val="20"/>
                <w:szCs w:val="20"/>
                <w:b w:val="1"/>
                <w:bCs w:val="1"/>
                <w:color w:val="auto"/>
              </w:rPr>
              <w:t>PART I</w:t>
            </w:r>
          </w:p>
        </w:tc>
        <w:tc>
          <w:tcPr>
            <w:tcW w:w="520" w:type="dxa"/>
            <w:vAlign w:val="bottom"/>
            <w:shd w:val="clear" w:color="auto" w:fill="D2EEF5"/>
          </w:tcPr>
          <w:p>
            <w:pPr>
              <w:spacing w:after="0"/>
              <w:rPr>
                <w:sz w:val="23"/>
                <w:szCs w:val="23"/>
                <w:color w:val="auto"/>
              </w:rPr>
            </w:pPr>
          </w:p>
        </w:tc>
        <w:tc>
          <w:tcPr>
            <w:tcW w:w="360" w:type="dxa"/>
            <w:vAlign w:val="bottom"/>
            <w:shd w:val="clear" w:color="auto" w:fill="D2EEF5"/>
          </w:tcPr>
          <w:p>
            <w:pPr>
              <w:spacing w:after="0"/>
              <w:rPr>
                <w:sz w:val="23"/>
                <w:szCs w:val="23"/>
                <w:color w:val="auto"/>
              </w:rPr>
            </w:pPr>
          </w:p>
        </w:tc>
        <w:tc>
          <w:tcPr>
            <w:tcW w:w="34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340" w:type="dxa"/>
            <w:vAlign w:val="bottom"/>
            <w:shd w:val="clear" w:color="auto" w:fill="D2EEF5"/>
          </w:tcPr>
          <w:p>
            <w:pPr>
              <w:spacing w:after="0"/>
              <w:rPr>
                <w:sz w:val="23"/>
                <w:szCs w:val="23"/>
                <w:color w:val="auto"/>
              </w:rPr>
            </w:pPr>
          </w:p>
        </w:tc>
        <w:tc>
          <w:tcPr>
            <w:tcW w:w="20" w:type="dxa"/>
            <w:vAlign w:val="bottom"/>
            <w:shd w:val="clear" w:color="auto" w:fill="D2EEF5"/>
          </w:tcPr>
          <w:p>
            <w:pPr>
              <w:spacing w:after="0"/>
              <w:rPr>
                <w:sz w:val="23"/>
                <w:szCs w:val="23"/>
                <w:color w:val="auto"/>
              </w:rPr>
            </w:pPr>
          </w:p>
        </w:tc>
        <w:tc>
          <w:tcPr>
            <w:tcW w:w="240" w:type="dxa"/>
            <w:vAlign w:val="bottom"/>
            <w:shd w:val="clear" w:color="auto" w:fill="D2EEF5"/>
          </w:tcPr>
          <w:p>
            <w:pPr>
              <w:spacing w:after="0"/>
              <w:rPr>
                <w:sz w:val="23"/>
                <w:szCs w:val="23"/>
                <w:color w:val="auto"/>
              </w:rPr>
            </w:pPr>
          </w:p>
        </w:tc>
        <w:tc>
          <w:tcPr>
            <w:tcW w:w="24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260" w:type="dxa"/>
            <w:vAlign w:val="bottom"/>
            <w:shd w:val="clear" w:color="auto" w:fill="D2EEF5"/>
          </w:tcPr>
          <w:p>
            <w:pPr>
              <w:spacing w:after="0"/>
              <w:rPr>
                <w:sz w:val="23"/>
                <w:szCs w:val="23"/>
                <w:color w:val="auto"/>
              </w:rPr>
            </w:pPr>
          </w:p>
        </w:tc>
        <w:tc>
          <w:tcPr>
            <w:tcW w:w="900" w:type="dxa"/>
            <w:vAlign w:val="bottom"/>
            <w:shd w:val="clear" w:color="auto" w:fill="D2EEF5"/>
          </w:tcPr>
          <w:p>
            <w:pPr>
              <w:spacing w:after="0"/>
              <w:rPr>
                <w:sz w:val="23"/>
                <w:szCs w:val="23"/>
                <w:color w:val="auto"/>
              </w:rPr>
            </w:pPr>
          </w:p>
        </w:tc>
        <w:tc>
          <w:tcPr>
            <w:tcW w:w="34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860" w:type="dxa"/>
            <w:vAlign w:val="bottom"/>
            <w:shd w:val="clear" w:color="auto" w:fill="D2EEF5"/>
          </w:tcPr>
          <w:p>
            <w:pPr>
              <w:spacing w:after="0"/>
              <w:rPr>
                <w:sz w:val="23"/>
                <w:szCs w:val="23"/>
                <w:color w:val="auto"/>
              </w:rPr>
            </w:pPr>
          </w:p>
        </w:tc>
        <w:tc>
          <w:tcPr>
            <w:tcW w:w="300" w:type="dxa"/>
            <w:vAlign w:val="bottom"/>
            <w:shd w:val="clear" w:color="auto" w:fill="D2EEF5"/>
          </w:tcPr>
          <w:p>
            <w:pPr>
              <w:spacing w:after="0"/>
              <w:rPr>
                <w:sz w:val="23"/>
                <w:szCs w:val="23"/>
                <w:color w:val="auto"/>
              </w:rPr>
            </w:pPr>
          </w:p>
        </w:tc>
        <w:tc>
          <w:tcPr>
            <w:tcW w:w="600" w:type="dxa"/>
            <w:vAlign w:val="bottom"/>
            <w:shd w:val="clear" w:color="auto" w:fill="D2EEF5"/>
          </w:tcPr>
          <w:p>
            <w:pPr>
              <w:spacing w:after="0"/>
              <w:rPr>
                <w:sz w:val="23"/>
                <w:szCs w:val="23"/>
                <w:color w:val="auto"/>
              </w:rPr>
            </w:pPr>
          </w:p>
        </w:tc>
        <w:tc>
          <w:tcPr>
            <w:tcW w:w="620" w:type="dxa"/>
            <w:vAlign w:val="bottom"/>
            <w:shd w:val="clear" w:color="auto" w:fill="D2EEF5"/>
          </w:tcPr>
          <w:p>
            <w:pPr>
              <w:spacing w:after="0"/>
              <w:rPr>
                <w:sz w:val="23"/>
                <w:szCs w:val="23"/>
                <w:color w:val="auto"/>
              </w:rPr>
            </w:pPr>
          </w:p>
        </w:tc>
        <w:tc>
          <w:tcPr>
            <w:tcW w:w="1120" w:type="dxa"/>
            <w:vAlign w:val="bottom"/>
            <w:shd w:val="clear" w:color="auto" w:fill="D2EEF5"/>
          </w:tcPr>
          <w:p>
            <w:pPr>
              <w:spacing w:after="0"/>
              <w:rPr>
                <w:sz w:val="23"/>
                <w:szCs w:val="23"/>
                <w:color w:val="auto"/>
              </w:rPr>
            </w:pPr>
          </w:p>
        </w:tc>
        <w:tc>
          <w:tcPr>
            <w:tcW w:w="300" w:type="dxa"/>
            <w:vAlign w:val="bottom"/>
            <w:shd w:val="clear" w:color="auto" w:fill="D2EEF5"/>
          </w:tcPr>
          <w:p>
            <w:pPr>
              <w:spacing w:after="0"/>
              <w:rPr>
                <w:sz w:val="23"/>
                <w:szCs w:val="23"/>
                <w:color w:val="auto"/>
              </w:rPr>
            </w:pPr>
          </w:p>
        </w:tc>
        <w:tc>
          <w:tcPr>
            <w:tcW w:w="14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44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10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460" w:type="dxa"/>
            <w:vAlign w:val="bottom"/>
            <w:shd w:val="clear" w:color="auto" w:fill="D2EEF5"/>
          </w:tcPr>
          <w:p>
            <w:pPr>
              <w:spacing w:after="0"/>
              <w:rPr>
                <w:sz w:val="23"/>
                <w:szCs w:val="23"/>
                <w:color w:val="auto"/>
              </w:rPr>
            </w:pPr>
          </w:p>
        </w:tc>
      </w:tr>
      <w:tr>
        <w:trPr>
          <w:trHeight w:val="208"/>
        </w:trPr>
        <w:tc>
          <w:tcPr>
            <w:tcW w:w="880" w:type="dxa"/>
            <w:vAlign w:val="bottom"/>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Pr>
          <w:p>
            <w:pPr>
              <w:ind w:left="20"/>
              <w:spacing w:after="0" w:line="207" w:lineRule="exact"/>
              <w:rPr>
                <w:sz w:val="20"/>
                <w:szCs w:val="20"/>
                <w:color w:val="auto"/>
              </w:rPr>
            </w:pPr>
            <w:r>
              <w:rPr>
                <w:rFonts w:ascii="Arial" w:cs="Arial" w:eastAsia="Arial" w:hAnsi="Arial"/>
                <w:sz w:val="20"/>
                <w:szCs w:val="20"/>
                <w:color w:val="auto"/>
              </w:rPr>
              <w:t>1.</w:t>
            </w:r>
          </w:p>
        </w:tc>
        <w:tc>
          <w:tcPr>
            <w:tcW w:w="7620" w:type="dxa"/>
            <w:vAlign w:val="bottom"/>
            <w:gridSpan w:val="24"/>
          </w:tcPr>
          <w:p>
            <w:pPr>
              <w:spacing w:after="0" w:line="207" w:lineRule="exact"/>
              <w:rPr>
                <w:sz w:val="20"/>
                <w:szCs w:val="20"/>
                <w:color w:val="auto"/>
              </w:rPr>
            </w:pPr>
            <w:r>
              <w:rPr>
                <w:rFonts w:ascii="Arial" w:cs="Arial" w:eastAsia="Arial" w:hAnsi="Arial"/>
                <w:sz w:val="20"/>
                <w:szCs w:val="20"/>
                <w:color w:val="1C2790"/>
              </w:rPr>
              <w:t>Business</w:t>
            </w:r>
          </w:p>
        </w:tc>
        <w:tc>
          <w:tcPr>
            <w:tcW w:w="680" w:type="dxa"/>
            <w:vAlign w:val="bottom"/>
            <w:gridSpan w:val="5"/>
          </w:tcPr>
          <w:p>
            <w:pPr>
              <w:jc w:val="center"/>
              <w:ind w:left="480"/>
              <w:spacing w:after="0" w:line="207" w:lineRule="exact"/>
              <w:rPr>
                <w:sz w:val="20"/>
                <w:szCs w:val="20"/>
                <w:color w:val="auto"/>
              </w:rPr>
            </w:pPr>
            <w:r>
              <w:rPr>
                <w:rFonts w:ascii="Arial" w:cs="Arial" w:eastAsia="Arial" w:hAnsi="Arial"/>
                <w:sz w:val="20"/>
                <w:szCs w:val="20"/>
                <w:color w:val="1C2790"/>
                <w:w w:val="89"/>
              </w:rPr>
              <w:t>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57"/>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8"/>
        </w:trPr>
        <w:tc>
          <w:tcPr>
            <w:tcW w:w="880" w:type="dxa"/>
            <w:vAlign w:val="bottom"/>
            <w:shd w:val="clear" w:color="auto" w:fill="D2EEF5"/>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shd w:val="clear" w:color="auto" w:fill="D2EEF5"/>
          </w:tcPr>
          <w:p>
            <w:pPr>
              <w:ind w:left="20"/>
              <w:spacing w:after="0" w:line="207" w:lineRule="exact"/>
              <w:rPr>
                <w:sz w:val="20"/>
                <w:szCs w:val="20"/>
                <w:color w:val="auto"/>
              </w:rPr>
            </w:pPr>
            <w:r>
              <w:rPr>
                <w:rFonts w:ascii="Arial" w:cs="Arial" w:eastAsia="Arial" w:hAnsi="Arial"/>
                <w:sz w:val="20"/>
                <w:szCs w:val="20"/>
                <w:color w:val="auto"/>
              </w:rPr>
              <w:t>1A.</w:t>
            </w:r>
          </w:p>
        </w:tc>
        <w:tc>
          <w:tcPr>
            <w:tcW w:w="1000" w:type="dxa"/>
            <w:vAlign w:val="bottom"/>
            <w:gridSpan w:val="7"/>
            <w:shd w:val="clear" w:color="auto" w:fill="D2EEF5"/>
          </w:tcPr>
          <w:p>
            <w:pPr>
              <w:spacing w:after="0" w:line="207" w:lineRule="exact"/>
              <w:rPr>
                <w:sz w:val="20"/>
                <w:szCs w:val="20"/>
                <w:color w:val="auto"/>
              </w:rPr>
            </w:pPr>
            <w:r>
              <w:rPr>
                <w:rFonts w:ascii="Arial" w:cs="Arial" w:eastAsia="Arial" w:hAnsi="Arial"/>
                <w:sz w:val="20"/>
                <w:szCs w:val="20"/>
                <w:color w:val="1C2790"/>
                <w:w w:val="88"/>
              </w:rPr>
              <w:t>Risk Factors</w:t>
            </w:r>
          </w:p>
        </w:tc>
        <w:tc>
          <w:tcPr>
            <w:tcW w:w="6620" w:type="dxa"/>
            <w:vAlign w:val="bottom"/>
            <w:gridSpan w:val="17"/>
            <w:shd w:val="clear" w:color="auto" w:fill="D2EEF5"/>
          </w:tcPr>
          <w:p>
            <w:pPr>
              <w:spacing w:after="0"/>
              <w:rPr>
                <w:sz w:val="18"/>
                <w:szCs w:val="18"/>
                <w:color w:val="auto"/>
              </w:rPr>
            </w:pPr>
          </w:p>
        </w:tc>
        <w:tc>
          <w:tcPr>
            <w:tcW w:w="740" w:type="dxa"/>
            <w:vAlign w:val="bottom"/>
            <w:gridSpan w:val="6"/>
            <w:shd w:val="clear" w:color="auto" w:fill="D2EEF5"/>
          </w:tcPr>
          <w:p>
            <w:pPr>
              <w:jc w:val="center"/>
              <w:ind w:left="440"/>
              <w:spacing w:after="0" w:line="207" w:lineRule="exact"/>
              <w:rPr>
                <w:sz w:val="20"/>
                <w:szCs w:val="20"/>
                <w:color w:val="auto"/>
              </w:rPr>
            </w:pPr>
            <w:r>
              <w:rPr>
                <w:rFonts w:ascii="Arial" w:cs="Arial" w:eastAsia="Arial" w:hAnsi="Arial"/>
                <w:sz w:val="20"/>
                <w:szCs w:val="20"/>
                <w:color w:val="1C2790"/>
                <w:w w:val="89"/>
              </w:rPr>
              <w:t>14</w:t>
            </w:r>
          </w:p>
        </w:tc>
        <w:tc>
          <w:tcPr>
            <w:tcW w:w="40" w:type="dxa"/>
            <w:vAlign w:val="bottom"/>
            <w:shd w:val="clear" w:color="auto" w:fill="D2EEF5"/>
          </w:tcPr>
          <w:p>
            <w:pPr>
              <w:spacing w:after="0"/>
              <w:rPr>
                <w:sz w:val="18"/>
                <w:szCs w:val="18"/>
                <w:color w:val="auto"/>
              </w:rPr>
            </w:pPr>
          </w:p>
        </w:tc>
        <w:tc>
          <w:tcPr>
            <w:tcW w:w="460" w:type="dxa"/>
            <w:vAlign w:val="bottom"/>
            <w:shd w:val="clear" w:color="auto" w:fill="D2EEF5"/>
          </w:tcPr>
          <w:p>
            <w:pPr>
              <w:spacing w:after="0"/>
              <w:rPr>
                <w:sz w:val="18"/>
                <w:szCs w:val="18"/>
                <w:color w:val="auto"/>
              </w:rPr>
            </w:pPr>
          </w:p>
        </w:tc>
      </w:tr>
      <w:tr>
        <w:trPr>
          <w:trHeight w:val="57"/>
        </w:trPr>
        <w:tc>
          <w:tcPr>
            <w:tcW w:w="880" w:type="dxa"/>
            <w:vAlign w:val="bottom"/>
            <w:tcBorders>
              <w:top w:val="single" w:sz="8" w:color="D2EEF5"/>
            </w:tcBorders>
            <w:shd w:val="clear" w:color="auto" w:fill="D2EEF5"/>
          </w:tcPr>
          <w:p>
            <w:pPr>
              <w:spacing w:after="0"/>
              <w:rPr>
                <w:sz w:val="4"/>
                <w:szCs w:val="4"/>
                <w:color w:val="auto"/>
              </w:rPr>
            </w:pPr>
          </w:p>
        </w:tc>
        <w:tc>
          <w:tcPr>
            <w:tcW w:w="520" w:type="dxa"/>
            <w:vAlign w:val="bottom"/>
            <w:tcBorders>
              <w:top w:val="single" w:sz="8" w:color="D2EEF5"/>
            </w:tcBorders>
            <w:shd w:val="clear" w:color="auto" w:fill="D2EEF5"/>
          </w:tcPr>
          <w:p>
            <w:pPr>
              <w:spacing w:after="0"/>
              <w:rPr>
                <w:sz w:val="4"/>
                <w:szCs w:val="4"/>
                <w:color w:val="auto"/>
              </w:rPr>
            </w:pPr>
          </w:p>
        </w:tc>
        <w:tc>
          <w:tcPr>
            <w:tcW w:w="360" w:type="dxa"/>
            <w:vAlign w:val="bottom"/>
            <w:tcBorders>
              <w:top w:val="single" w:sz="8" w:color="1C2790"/>
            </w:tcBorders>
            <w:shd w:val="clear" w:color="auto" w:fill="D2EEF5"/>
          </w:tcPr>
          <w:p>
            <w:pPr>
              <w:spacing w:after="0"/>
              <w:rPr>
                <w:sz w:val="4"/>
                <w:szCs w:val="4"/>
                <w:color w:val="auto"/>
              </w:rPr>
            </w:pPr>
          </w:p>
        </w:tc>
        <w:tc>
          <w:tcPr>
            <w:tcW w:w="34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6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2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20" w:type="dxa"/>
            <w:vAlign w:val="bottom"/>
            <w:tcBorders>
              <w:top w:val="single" w:sz="8" w:color="D2EEF5"/>
            </w:tcBorders>
            <w:shd w:val="clear" w:color="auto" w:fill="D2EEF5"/>
          </w:tcPr>
          <w:p>
            <w:pPr>
              <w:spacing w:after="0"/>
              <w:rPr>
                <w:sz w:val="4"/>
                <w:szCs w:val="4"/>
                <w:color w:val="auto"/>
              </w:rPr>
            </w:pPr>
          </w:p>
        </w:tc>
        <w:tc>
          <w:tcPr>
            <w:tcW w:w="340" w:type="dxa"/>
            <w:vAlign w:val="bottom"/>
            <w:tcBorders>
              <w:top w:val="single" w:sz="8" w:color="D2EEF5"/>
            </w:tcBorders>
            <w:shd w:val="clear" w:color="auto" w:fill="D2EEF5"/>
          </w:tcPr>
          <w:p>
            <w:pPr>
              <w:spacing w:after="0"/>
              <w:rPr>
                <w:sz w:val="4"/>
                <w:szCs w:val="4"/>
                <w:color w:val="auto"/>
              </w:rPr>
            </w:pPr>
          </w:p>
        </w:tc>
        <w:tc>
          <w:tcPr>
            <w:tcW w:w="20" w:type="dxa"/>
            <w:vAlign w:val="bottom"/>
            <w:tcBorders>
              <w:top w:val="single" w:sz="8" w:color="D2EEF5"/>
            </w:tcBorders>
            <w:shd w:val="clear" w:color="auto" w:fill="D2EEF5"/>
          </w:tcPr>
          <w:p>
            <w:pPr>
              <w:spacing w:after="0"/>
              <w:rPr>
                <w:sz w:val="4"/>
                <w:szCs w:val="4"/>
                <w:color w:val="auto"/>
              </w:rPr>
            </w:pPr>
          </w:p>
        </w:tc>
        <w:tc>
          <w:tcPr>
            <w:tcW w:w="240" w:type="dxa"/>
            <w:vAlign w:val="bottom"/>
            <w:tcBorders>
              <w:top w:val="single" w:sz="8" w:color="D2EEF5"/>
            </w:tcBorders>
            <w:shd w:val="clear" w:color="auto" w:fill="D2EEF5"/>
          </w:tcPr>
          <w:p>
            <w:pPr>
              <w:spacing w:after="0"/>
              <w:rPr>
                <w:sz w:val="4"/>
                <w:szCs w:val="4"/>
                <w:color w:val="auto"/>
              </w:rPr>
            </w:pPr>
          </w:p>
        </w:tc>
        <w:tc>
          <w:tcPr>
            <w:tcW w:w="24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260" w:type="dxa"/>
            <w:vAlign w:val="bottom"/>
            <w:tcBorders>
              <w:top w:val="single" w:sz="8" w:color="D2EEF5"/>
            </w:tcBorders>
            <w:shd w:val="clear" w:color="auto" w:fill="D2EEF5"/>
          </w:tcPr>
          <w:p>
            <w:pPr>
              <w:spacing w:after="0"/>
              <w:rPr>
                <w:sz w:val="4"/>
                <w:szCs w:val="4"/>
                <w:color w:val="auto"/>
              </w:rPr>
            </w:pPr>
          </w:p>
        </w:tc>
        <w:tc>
          <w:tcPr>
            <w:tcW w:w="900" w:type="dxa"/>
            <w:vAlign w:val="bottom"/>
            <w:tcBorders>
              <w:top w:val="single" w:sz="8" w:color="D2EEF5"/>
            </w:tcBorders>
            <w:shd w:val="clear" w:color="auto" w:fill="D2EEF5"/>
          </w:tcPr>
          <w:p>
            <w:pPr>
              <w:spacing w:after="0"/>
              <w:rPr>
                <w:sz w:val="4"/>
                <w:szCs w:val="4"/>
                <w:color w:val="auto"/>
              </w:rPr>
            </w:pPr>
          </w:p>
        </w:tc>
        <w:tc>
          <w:tcPr>
            <w:tcW w:w="340" w:type="dxa"/>
            <w:vAlign w:val="bottom"/>
            <w:tcBorders>
              <w:top w:val="single" w:sz="8" w:color="D2EEF5"/>
            </w:tcBorders>
            <w:shd w:val="clear" w:color="auto" w:fill="D2EEF5"/>
          </w:tcPr>
          <w:p>
            <w:pPr>
              <w:spacing w:after="0"/>
              <w:rPr>
                <w:sz w:val="4"/>
                <w:szCs w:val="4"/>
                <w:color w:val="auto"/>
              </w:rPr>
            </w:pPr>
          </w:p>
        </w:tc>
        <w:tc>
          <w:tcPr>
            <w:tcW w:w="180" w:type="dxa"/>
            <w:vAlign w:val="bottom"/>
            <w:tcBorders>
              <w:top w:val="single" w:sz="8" w:color="D2EEF5"/>
            </w:tcBorders>
            <w:shd w:val="clear" w:color="auto" w:fill="D2EEF5"/>
          </w:tcPr>
          <w:p>
            <w:pPr>
              <w:spacing w:after="0"/>
              <w:rPr>
                <w:sz w:val="4"/>
                <w:szCs w:val="4"/>
                <w:color w:val="auto"/>
              </w:rPr>
            </w:pPr>
          </w:p>
        </w:tc>
        <w:tc>
          <w:tcPr>
            <w:tcW w:w="860" w:type="dxa"/>
            <w:vAlign w:val="bottom"/>
            <w:tcBorders>
              <w:top w:val="single" w:sz="8" w:color="D2EEF5"/>
            </w:tcBorders>
            <w:shd w:val="clear" w:color="auto" w:fill="D2EEF5"/>
          </w:tcPr>
          <w:p>
            <w:pPr>
              <w:spacing w:after="0"/>
              <w:rPr>
                <w:sz w:val="4"/>
                <w:szCs w:val="4"/>
                <w:color w:val="auto"/>
              </w:rPr>
            </w:pPr>
          </w:p>
        </w:tc>
        <w:tc>
          <w:tcPr>
            <w:tcW w:w="300" w:type="dxa"/>
            <w:vAlign w:val="bottom"/>
            <w:tcBorders>
              <w:top w:val="single" w:sz="8" w:color="D2EEF5"/>
            </w:tcBorders>
            <w:shd w:val="clear" w:color="auto" w:fill="D2EEF5"/>
          </w:tcPr>
          <w:p>
            <w:pPr>
              <w:spacing w:after="0"/>
              <w:rPr>
                <w:sz w:val="4"/>
                <w:szCs w:val="4"/>
                <w:color w:val="auto"/>
              </w:rPr>
            </w:pPr>
          </w:p>
        </w:tc>
        <w:tc>
          <w:tcPr>
            <w:tcW w:w="600" w:type="dxa"/>
            <w:vAlign w:val="bottom"/>
            <w:tcBorders>
              <w:top w:val="single" w:sz="8" w:color="D2EEF5"/>
            </w:tcBorders>
            <w:shd w:val="clear" w:color="auto" w:fill="D2EEF5"/>
          </w:tcPr>
          <w:p>
            <w:pPr>
              <w:spacing w:after="0"/>
              <w:rPr>
                <w:sz w:val="4"/>
                <w:szCs w:val="4"/>
                <w:color w:val="auto"/>
              </w:rPr>
            </w:pPr>
          </w:p>
        </w:tc>
        <w:tc>
          <w:tcPr>
            <w:tcW w:w="620" w:type="dxa"/>
            <w:vAlign w:val="bottom"/>
            <w:tcBorders>
              <w:top w:val="single" w:sz="8" w:color="D2EEF5"/>
            </w:tcBorders>
            <w:shd w:val="clear" w:color="auto" w:fill="D2EEF5"/>
          </w:tcPr>
          <w:p>
            <w:pPr>
              <w:spacing w:after="0"/>
              <w:rPr>
                <w:sz w:val="4"/>
                <w:szCs w:val="4"/>
                <w:color w:val="auto"/>
              </w:rPr>
            </w:pPr>
          </w:p>
        </w:tc>
        <w:tc>
          <w:tcPr>
            <w:tcW w:w="1120" w:type="dxa"/>
            <w:vAlign w:val="bottom"/>
            <w:tcBorders>
              <w:top w:val="single" w:sz="8" w:color="D2EEF5"/>
            </w:tcBorders>
            <w:shd w:val="clear" w:color="auto" w:fill="D2EEF5"/>
          </w:tcPr>
          <w:p>
            <w:pPr>
              <w:spacing w:after="0"/>
              <w:rPr>
                <w:sz w:val="4"/>
                <w:szCs w:val="4"/>
                <w:color w:val="auto"/>
              </w:rPr>
            </w:pPr>
          </w:p>
        </w:tc>
        <w:tc>
          <w:tcPr>
            <w:tcW w:w="300" w:type="dxa"/>
            <w:vAlign w:val="bottom"/>
            <w:tcBorders>
              <w:top w:val="single" w:sz="8" w:color="D2EEF5"/>
            </w:tcBorders>
            <w:shd w:val="clear" w:color="auto" w:fill="D2EEF5"/>
          </w:tcPr>
          <w:p>
            <w:pPr>
              <w:spacing w:after="0"/>
              <w:rPr>
                <w:sz w:val="4"/>
                <w:szCs w:val="4"/>
                <w:color w:val="auto"/>
              </w:rPr>
            </w:pPr>
          </w:p>
        </w:tc>
        <w:tc>
          <w:tcPr>
            <w:tcW w:w="14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440" w:type="dxa"/>
            <w:vAlign w:val="bottom"/>
            <w:tcBorders>
              <w:top w:val="single" w:sz="8" w:color="D2EEF5"/>
            </w:tcBorders>
            <w:shd w:val="clear" w:color="auto" w:fill="D2EEF5"/>
          </w:tcPr>
          <w:p>
            <w:pPr>
              <w:spacing w:after="0"/>
              <w:rPr>
                <w:sz w:val="4"/>
                <w:szCs w:val="4"/>
                <w:color w:val="auto"/>
              </w:rPr>
            </w:pPr>
          </w:p>
        </w:tc>
        <w:tc>
          <w:tcPr>
            <w:tcW w:w="6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00" w:type="dxa"/>
            <w:vAlign w:val="bottom"/>
            <w:tcBorders>
              <w:top w:val="single" w:sz="8" w:color="1C2790"/>
            </w:tcBorders>
            <w:shd w:val="clear" w:color="auto" w:fill="D2EEF5"/>
          </w:tcPr>
          <w:p>
            <w:pPr>
              <w:spacing w:after="0"/>
              <w:rPr>
                <w:sz w:val="4"/>
                <w:szCs w:val="4"/>
                <w:color w:val="auto"/>
              </w:rPr>
            </w:pPr>
          </w:p>
        </w:tc>
        <w:tc>
          <w:tcPr>
            <w:tcW w:w="6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460" w:type="dxa"/>
            <w:vAlign w:val="bottom"/>
            <w:tcBorders>
              <w:top w:val="single" w:sz="8" w:color="D2EEF5"/>
            </w:tcBorders>
            <w:shd w:val="clear" w:color="auto" w:fill="D2EEF5"/>
          </w:tcPr>
          <w:p>
            <w:pPr>
              <w:spacing w:after="0"/>
              <w:rPr>
                <w:sz w:val="4"/>
                <w:szCs w:val="4"/>
                <w:color w:val="auto"/>
              </w:rPr>
            </w:pPr>
          </w:p>
        </w:tc>
      </w:tr>
      <w:tr>
        <w:trPr>
          <w:trHeight w:val="208"/>
        </w:trPr>
        <w:tc>
          <w:tcPr>
            <w:tcW w:w="880" w:type="dxa"/>
            <w:vAlign w:val="bottom"/>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Pr>
          <w:p>
            <w:pPr>
              <w:ind w:left="20"/>
              <w:spacing w:after="0" w:line="207" w:lineRule="exact"/>
              <w:rPr>
                <w:sz w:val="20"/>
                <w:szCs w:val="20"/>
                <w:color w:val="auto"/>
              </w:rPr>
            </w:pPr>
            <w:r>
              <w:rPr>
                <w:rFonts w:ascii="Arial" w:cs="Arial" w:eastAsia="Arial" w:hAnsi="Arial"/>
                <w:sz w:val="20"/>
                <w:szCs w:val="20"/>
                <w:color w:val="auto"/>
              </w:rPr>
              <w:t>1B.</w:t>
            </w:r>
          </w:p>
        </w:tc>
        <w:tc>
          <w:tcPr>
            <w:tcW w:w="7620" w:type="dxa"/>
            <w:vAlign w:val="bottom"/>
            <w:gridSpan w:val="24"/>
          </w:tcPr>
          <w:p>
            <w:pPr>
              <w:spacing w:after="0" w:line="207" w:lineRule="exact"/>
              <w:rPr>
                <w:sz w:val="20"/>
                <w:szCs w:val="20"/>
                <w:color w:val="auto"/>
              </w:rPr>
            </w:pPr>
            <w:r>
              <w:rPr>
                <w:rFonts w:ascii="Arial" w:cs="Arial" w:eastAsia="Arial" w:hAnsi="Arial"/>
                <w:sz w:val="20"/>
                <w:szCs w:val="20"/>
                <w:color w:val="1C2790"/>
              </w:rPr>
              <w:t>Unresolved Staff Comments</w:t>
            </w:r>
          </w:p>
        </w:tc>
        <w:tc>
          <w:tcPr>
            <w:tcW w:w="740" w:type="dxa"/>
            <w:vAlign w:val="bottom"/>
            <w:gridSpan w:val="6"/>
          </w:tcPr>
          <w:p>
            <w:pPr>
              <w:jc w:val="center"/>
              <w:ind w:left="440"/>
              <w:spacing w:after="0" w:line="207" w:lineRule="exact"/>
              <w:rPr>
                <w:sz w:val="20"/>
                <w:szCs w:val="20"/>
                <w:color w:val="auto"/>
              </w:rPr>
            </w:pPr>
            <w:r>
              <w:rPr>
                <w:rFonts w:ascii="Arial" w:cs="Arial" w:eastAsia="Arial" w:hAnsi="Arial"/>
                <w:sz w:val="20"/>
                <w:szCs w:val="20"/>
                <w:color w:val="1C2790"/>
                <w:w w:val="89"/>
              </w:rPr>
              <w:t>40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57"/>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2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260" w:type="dxa"/>
            <w:vAlign w:val="bottom"/>
            <w:tcBorders>
              <w:top w:val="single" w:sz="8" w:color="1C2790"/>
            </w:tcBorders>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8"/>
        </w:trPr>
        <w:tc>
          <w:tcPr>
            <w:tcW w:w="880" w:type="dxa"/>
            <w:vAlign w:val="bottom"/>
            <w:shd w:val="clear" w:color="auto" w:fill="D2EEF5"/>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shd w:val="clear" w:color="auto" w:fill="D2EEF5"/>
          </w:tcPr>
          <w:p>
            <w:pPr>
              <w:ind w:left="20"/>
              <w:spacing w:after="0" w:line="207" w:lineRule="exact"/>
              <w:rPr>
                <w:sz w:val="20"/>
                <w:szCs w:val="20"/>
                <w:color w:val="auto"/>
              </w:rPr>
            </w:pPr>
            <w:r>
              <w:rPr>
                <w:rFonts w:ascii="Arial" w:cs="Arial" w:eastAsia="Arial" w:hAnsi="Arial"/>
                <w:sz w:val="20"/>
                <w:szCs w:val="20"/>
                <w:color w:val="auto"/>
              </w:rPr>
              <w:t>1C.</w:t>
            </w:r>
          </w:p>
        </w:tc>
        <w:tc>
          <w:tcPr>
            <w:tcW w:w="1120" w:type="dxa"/>
            <w:vAlign w:val="bottom"/>
            <w:gridSpan w:val="8"/>
            <w:shd w:val="clear" w:color="auto" w:fill="D2EEF5"/>
          </w:tcPr>
          <w:p>
            <w:pPr>
              <w:spacing w:after="0" w:line="207" w:lineRule="exact"/>
              <w:rPr>
                <w:sz w:val="20"/>
                <w:szCs w:val="20"/>
                <w:color w:val="auto"/>
              </w:rPr>
            </w:pPr>
            <w:r>
              <w:rPr>
                <w:rFonts w:ascii="Arial" w:cs="Arial" w:eastAsia="Arial" w:hAnsi="Arial"/>
                <w:sz w:val="20"/>
                <w:szCs w:val="20"/>
                <w:color w:val="1C2790"/>
                <w:w w:val="89"/>
              </w:rPr>
              <w:t>Cybersecurity</w:t>
            </w:r>
          </w:p>
        </w:tc>
        <w:tc>
          <w:tcPr>
            <w:tcW w:w="6500" w:type="dxa"/>
            <w:vAlign w:val="bottom"/>
            <w:gridSpan w:val="16"/>
            <w:shd w:val="clear" w:color="auto" w:fill="D2EEF5"/>
          </w:tcPr>
          <w:p>
            <w:pPr>
              <w:spacing w:after="0"/>
              <w:rPr>
                <w:sz w:val="18"/>
                <w:szCs w:val="18"/>
                <w:color w:val="auto"/>
              </w:rPr>
            </w:pPr>
          </w:p>
        </w:tc>
        <w:tc>
          <w:tcPr>
            <w:tcW w:w="740" w:type="dxa"/>
            <w:vAlign w:val="bottom"/>
            <w:gridSpan w:val="6"/>
            <w:shd w:val="clear" w:color="auto" w:fill="D2EEF5"/>
          </w:tcPr>
          <w:p>
            <w:pPr>
              <w:jc w:val="center"/>
              <w:ind w:left="440"/>
              <w:spacing w:after="0" w:line="207" w:lineRule="exact"/>
              <w:rPr>
                <w:sz w:val="20"/>
                <w:szCs w:val="20"/>
                <w:color w:val="auto"/>
              </w:rPr>
            </w:pPr>
            <w:r>
              <w:rPr>
                <w:rFonts w:ascii="Arial" w:cs="Arial" w:eastAsia="Arial" w:hAnsi="Arial"/>
                <w:sz w:val="20"/>
                <w:szCs w:val="20"/>
                <w:color w:val="1C2790"/>
                <w:w w:val="89"/>
              </w:rPr>
              <w:t>40</w:t>
            </w:r>
          </w:p>
        </w:tc>
        <w:tc>
          <w:tcPr>
            <w:tcW w:w="40" w:type="dxa"/>
            <w:vAlign w:val="bottom"/>
            <w:shd w:val="clear" w:color="auto" w:fill="D2EEF5"/>
          </w:tcPr>
          <w:p>
            <w:pPr>
              <w:spacing w:after="0"/>
              <w:rPr>
                <w:sz w:val="18"/>
                <w:szCs w:val="18"/>
                <w:color w:val="auto"/>
              </w:rPr>
            </w:pPr>
          </w:p>
        </w:tc>
        <w:tc>
          <w:tcPr>
            <w:tcW w:w="460" w:type="dxa"/>
            <w:vAlign w:val="bottom"/>
            <w:shd w:val="clear" w:color="auto" w:fill="D2EEF5"/>
          </w:tcPr>
          <w:p>
            <w:pPr>
              <w:spacing w:after="0"/>
              <w:rPr>
                <w:sz w:val="18"/>
                <w:szCs w:val="18"/>
                <w:color w:val="auto"/>
              </w:rPr>
            </w:pPr>
          </w:p>
        </w:tc>
      </w:tr>
      <w:tr>
        <w:trPr>
          <w:trHeight w:val="57"/>
        </w:trPr>
        <w:tc>
          <w:tcPr>
            <w:tcW w:w="880" w:type="dxa"/>
            <w:vAlign w:val="bottom"/>
            <w:tcBorders>
              <w:top w:val="single" w:sz="8" w:color="D2EEF5"/>
            </w:tcBorders>
            <w:shd w:val="clear" w:color="auto" w:fill="D2EEF5"/>
          </w:tcPr>
          <w:p>
            <w:pPr>
              <w:spacing w:after="0"/>
              <w:rPr>
                <w:sz w:val="4"/>
                <w:szCs w:val="4"/>
                <w:color w:val="auto"/>
              </w:rPr>
            </w:pPr>
          </w:p>
        </w:tc>
        <w:tc>
          <w:tcPr>
            <w:tcW w:w="520" w:type="dxa"/>
            <w:vAlign w:val="bottom"/>
            <w:tcBorders>
              <w:top w:val="single" w:sz="8" w:color="D2EEF5"/>
            </w:tcBorders>
            <w:shd w:val="clear" w:color="auto" w:fill="D2EEF5"/>
          </w:tcPr>
          <w:p>
            <w:pPr>
              <w:spacing w:after="0"/>
              <w:rPr>
                <w:sz w:val="4"/>
                <w:szCs w:val="4"/>
                <w:color w:val="auto"/>
              </w:rPr>
            </w:pPr>
          </w:p>
        </w:tc>
        <w:tc>
          <w:tcPr>
            <w:tcW w:w="360" w:type="dxa"/>
            <w:vAlign w:val="bottom"/>
            <w:tcBorders>
              <w:top w:val="single" w:sz="8" w:color="1C2790"/>
            </w:tcBorders>
            <w:shd w:val="clear" w:color="auto" w:fill="D2EEF5"/>
          </w:tcPr>
          <w:p>
            <w:pPr>
              <w:spacing w:after="0"/>
              <w:rPr>
                <w:sz w:val="4"/>
                <w:szCs w:val="4"/>
                <w:color w:val="auto"/>
              </w:rPr>
            </w:pPr>
          </w:p>
        </w:tc>
        <w:tc>
          <w:tcPr>
            <w:tcW w:w="34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6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2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20" w:type="dxa"/>
            <w:vAlign w:val="bottom"/>
            <w:tcBorders>
              <w:top w:val="single" w:sz="8" w:color="1C2790"/>
            </w:tcBorders>
            <w:shd w:val="clear" w:color="auto" w:fill="D2EEF5"/>
          </w:tcPr>
          <w:p>
            <w:pPr>
              <w:spacing w:after="0"/>
              <w:rPr>
                <w:sz w:val="4"/>
                <w:szCs w:val="4"/>
                <w:color w:val="auto"/>
              </w:rPr>
            </w:pPr>
          </w:p>
        </w:tc>
        <w:tc>
          <w:tcPr>
            <w:tcW w:w="340" w:type="dxa"/>
            <w:vAlign w:val="bottom"/>
            <w:tcBorders>
              <w:top w:val="single" w:sz="8" w:color="D2EEF5"/>
            </w:tcBorders>
            <w:shd w:val="clear" w:color="auto" w:fill="D2EEF5"/>
          </w:tcPr>
          <w:p>
            <w:pPr>
              <w:spacing w:after="0"/>
              <w:rPr>
                <w:sz w:val="4"/>
                <w:szCs w:val="4"/>
                <w:color w:val="auto"/>
              </w:rPr>
            </w:pPr>
          </w:p>
        </w:tc>
        <w:tc>
          <w:tcPr>
            <w:tcW w:w="20" w:type="dxa"/>
            <w:vAlign w:val="bottom"/>
            <w:tcBorders>
              <w:top w:val="single" w:sz="8" w:color="D2EEF5"/>
            </w:tcBorders>
            <w:shd w:val="clear" w:color="auto" w:fill="D2EEF5"/>
          </w:tcPr>
          <w:p>
            <w:pPr>
              <w:spacing w:after="0"/>
              <w:rPr>
                <w:sz w:val="4"/>
                <w:szCs w:val="4"/>
                <w:color w:val="auto"/>
              </w:rPr>
            </w:pPr>
          </w:p>
        </w:tc>
        <w:tc>
          <w:tcPr>
            <w:tcW w:w="240" w:type="dxa"/>
            <w:vAlign w:val="bottom"/>
            <w:tcBorders>
              <w:top w:val="single" w:sz="8" w:color="D2EEF5"/>
            </w:tcBorders>
            <w:shd w:val="clear" w:color="auto" w:fill="D2EEF5"/>
          </w:tcPr>
          <w:p>
            <w:pPr>
              <w:spacing w:after="0"/>
              <w:rPr>
                <w:sz w:val="4"/>
                <w:szCs w:val="4"/>
                <w:color w:val="auto"/>
              </w:rPr>
            </w:pPr>
          </w:p>
        </w:tc>
        <w:tc>
          <w:tcPr>
            <w:tcW w:w="24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260" w:type="dxa"/>
            <w:vAlign w:val="bottom"/>
            <w:tcBorders>
              <w:top w:val="single" w:sz="8" w:color="D2EEF5"/>
            </w:tcBorders>
            <w:shd w:val="clear" w:color="auto" w:fill="D2EEF5"/>
          </w:tcPr>
          <w:p>
            <w:pPr>
              <w:spacing w:after="0"/>
              <w:rPr>
                <w:sz w:val="4"/>
                <w:szCs w:val="4"/>
                <w:color w:val="auto"/>
              </w:rPr>
            </w:pPr>
          </w:p>
        </w:tc>
        <w:tc>
          <w:tcPr>
            <w:tcW w:w="900" w:type="dxa"/>
            <w:vAlign w:val="bottom"/>
            <w:tcBorders>
              <w:top w:val="single" w:sz="8" w:color="D2EEF5"/>
            </w:tcBorders>
            <w:shd w:val="clear" w:color="auto" w:fill="D2EEF5"/>
          </w:tcPr>
          <w:p>
            <w:pPr>
              <w:spacing w:after="0"/>
              <w:rPr>
                <w:sz w:val="4"/>
                <w:szCs w:val="4"/>
                <w:color w:val="auto"/>
              </w:rPr>
            </w:pPr>
          </w:p>
        </w:tc>
        <w:tc>
          <w:tcPr>
            <w:tcW w:w="340" w:type="dxa"/>
            <w:vAlign w:val="bottom"/>
            <w:tcBorders>
              <w:top w:val="single" w:sz="8" w:color="D2EEF5"/>
            </w:tcBorders>
            <w:shd w:val="clear" w:color="auto" w:fill="D2EEF5"/>
          </w:tcPr>
          <w:p>
            <w:pPr>
              <w:spacing w:after="0"/>
              <w:rPr>
                <w:sz w:val="4"/>
                <w:szCs w:val="4"/>
                <w:color w:val="auto"/>
              </w:rPr>
            </w:pPr>
          </w:p>
        </w:tc>
        <w:tc>
          <w:tcPr>
            <w:tcW w:w="180" w:type="dxa"/>
            <w:vAlign w:val="bottom"/>
            <w:tcBorders>
              <w:top w:val="single" w:sz="8" w:color="D2EEF5"/>
            </w:tcBorders>
            <w:shd w:val="clear" w:color="auto" w:fill="D2EEF5"/>
          </w:tcPr>
          <w:p>
            <w:pPr>
              <w:spacing w:after="0"/>
              <w:rPr>
                <w:sz w:val="4"/>
                <w:szCs w:val="4"/>
                <w:color w:val="auto"/>
              </w:rPr>
            </w:pPr>
          </w:p>
        </w:tc>
        <w:tc>
          <w:tcPr>
            <w:tcW w:w="860" w:type="dxa"/>
            <w:vAlign w:val="bottom"/>
            <w:tcBorders>
              <w:top w:val="single" w:sz="8" w:color="D2EEF5"/>
            </w:tcBorders>
            <w:shd w:val="clear" w:color="auto" w:fill="D2EEF5"/>
          </w:tcPr>
          <w:p>
            <w:pPr>
              <w:spacing w:after="0"/>
              <w:rPr>
                <w:sz w:val="4"/>
                <w:szCs w:val="4"/>
                <w:color w:val="auto"/>
              </w:rPr>
            </w:pPr>
          </w:p>
        </w:tc>
        <w:tc>
          <w:tcPr>
            <w:tcW w:w="300" w:type="dxa"/>
            <w:vAlign w:val="bottom"/>
            <w:tcBorders>
              <w:top w:val="single" w:sz="8" w:color="D2EEF5"/>
            </w:tcBorders>
            <w:shd w:val="clear" w:color="auto" w:fill="D2EEF5"/>
          </w:tcPr>
          <w:p>
            <w:pPr>
              <w:spacing w:after="0"/>
              <w:rPr>
                <w:sz w:val="4"/>
                <w:szCs w:val="4"/>
                <w:color w:val="auto"/>
              </w:rPr>
            </w:pPr>
          </w:p>
        </w:tc>
        <w:tc>
          <w:tcPr>
            <w:tcW w:w="600" w:type="dxa"/>
            <w:vAlign w:val="bottom"/>
            <w:tcBorders>
              <w:top w:val="single" w:sz="8" w:color="D2EEF5"/>
            </w:tcBorders>
            <w:shd w:val="clear" w:color="auto" w:fill="D2EEF5"/>
          </w:tcPr>
          <w:p>
            <w:pPr>
              <w:spacing w:after="0"/>
              <w:rPr>
                <w:sz w:val="4"/>
                <w:szCs w:val="4"/>
                <w:color w:val="auto"/>
              </w:rPr>
            </w:pPr>
          </w:p>
        </w:tc>
        <w:tc>
          <w:tcPr>
            <w:tcW w:w="620" w:type="dxa"/>
            <w:vAlign w:val="bottom"/>
            <w:tcBorders>
              <w:top w:val="single" w:sz="8" w:color="D2EEF5"/>
            </w:tcBorders>
            <w:shd w:val="clear" w:color="auto" w:fill="D2EEF5"/>
          </w:tcPr>
          <w:p>
            <w:pPr>
              <w:spacing w:after="0"/>
              <w:rPr>
                <w:sz w:val="4"/>
                <w:szCs w:val="4"/>
                <w:color w:val="auto"/>
              </w:rPr>
            </w:pPr>
          </w:p>
        </w:tc>
        <w:tc>
          <w:tcPr>
            <w:tcW w:w="1120" w:type="dxa"/>
            <w:vAlign w:val="bottom"/>
            <w:tcBorders>
              <w:top w:val="single" w:sz="8" w:color="D2EEF5"/>
            </w:tcBorders>
            <w:shd w:val="clear" w:color="auto" w:fill="D2EEF5"/>
          </w:tcPr>
          <w:p>
            <w:pPr>
              <w:spacing w:after="0"/>
              <w:rPr>
                <w:sz w:val="4"/>
                <w:szCs w:val="4"/>
                <w:color w:val="auto"/>
              </w:rPr>
            </w:pPr>
          </w:p>
        </w:tc>
        <w:tc>
          <w:tcPr>
            <w:tcW w:w="300" w:type="dxa"/>
            <w:vAlign w:val="bottom"/>
            <w:tcBorders>
              <w:top w:val="single" w:sz="8" w:color="D2EEF5"/>
            </w:tcBorders>
            <w:shd w:val="clear" w:color="auto" w:fill="D2EEF5"/>
          </w:tcPr>
          <w:p>
            <w:pPr>
              <w:spacing w:after="0"/>
              <w:rPr>
                <w:sz w:val="4"/>
                <w:szCs w:val="4"/>
                <w:color w:val="auto"/>
              </w:rPr>
            </w:pPr>
          </w:p>
        </w:tc>
        <w:tc>
          <w:tcPr>
            <w:tcW w:w="14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440" w:type="dxa"/>
            <w:vAlign w:val="bottom"/>
            <w:tcBorders>
              <w:top w:val="single" w:sz="8" w:color="D2EEF5"/>
            </w:tcBorders>
            <w:shd w:val="clear" w:color="auto" w:fill="D2EEF5"/>
          </w:tcPr>
          <w:p>
            <w:pPr>
              <w:spacing w:after="0"/>
              <w:rPr>
                <w:sz w:val="4"/>
                <w:szCs w:val="4"/>
                <w:color w:val="auto"/>
              </w:rPr>
            </w:pPr>
          </w:p>
        </w:tc>
        <w:tc>
          <w:tcPr>
            <w:tcW w:w="6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00" w:type="dxa"/>
            <w:vAlign w:val="bottom"/>
            <w:tcBorders>
              <w:top w:val="single" w:sz="8" w:color="1C2790"/>
            </w:tcBorders>
            <w:shd w:val="clear" w:color="auto" w:fill="D2EEF5"/>
          </w:tcPr>
          <w:p>
            <w:pPr>
              <w:spacing w:after="0"/>
              <w:rPr>
                <w:sz w:val="4"/>
                <w:szCs w:val="4"/>
                <w:color w:val="auto"/>
              </w:rPr>
            </w:pPr>
          </w:p>
        </w:tc>
        <w:tc>
          <w:tcPr>
            <w:tcW w:w="6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460" w:type="dxa"/>
            <w:vAlign w:val="bottom"/>
            <w:tcBorders>
              <w:top w:val="single" w:sz="8" w:color="D2EEF5"/>
            </w:tcBorders>
            <w:shd w:val="clear" w:color="auto" w:fill="D2EEF5"/>
          </w:tcPr>
          <w:p>
            <w:pPr>
              <w:spacing w:after="0"/>
              <w:rPr>
                <w:sz w:val="4"/>
                <w:szCs w:val="4"/>
                <w:color w:val="auto"/>
              </w:rPr>
            </w:pPr>
          </w:p>
        </w:tc>
      </w:tr>
      <w:tr>
        <w:trPr>
          <w:trHeight w:val="208"/>
        </w:trPr>
        <w:tc>
          <w:tcPr>
            <w:tcW w:w="880" w:type="dxa"/>
            <w:vAlign w:val="bottom"/>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Pr>
          <w:p>
            <w:pPr>
              <w:ind w:left="20"/>
              <w:spacing w:after="0" w:line="207" w:lineRule="exact"/>
              <w:rPr>
                <w:sz w:val="20"/>
                <w:szCs w:val="20"/>
                <w:color w:val="auto"/>
              </w:rPr>
            </w:pPr>
            <w:r>
              <w:rPr>
                <w:rFonts w:ascii="Arial" w:cs="Arial" w:eastAsia="Arial" w:hAnsi="Arial"/>
                <w:sz w:val="20"/>
                <w:szCs w:val="20"/>
                <w:color w:val="auto"/>
              </w:rPr>
              <w:t>2.</w:t>
            </w:r>
          </w:p>
        </w:tc>
        <w:tc>
          <w:tcPr>
            <w:tcW w:w="1120" w:type="dxa"/>
            <w:vAlign w:val="bottom"/>
            <w:gridSpan w:val="8"/>
          </w:tcPr>
          <w:p>
            <w:pPr>
              <w:spacing w:after="0" w:line="207" w:lineRule="exact"/>
              <w:rPr>
                <w:sz w:val="20"/>
                <w:szCs w:val="20"/>
                <w:color w:val="auto"/>
              </w:rPr>
            </w:pPr>
            <w:r>
              <w:rPr>
                <w:rFonts w:ascii="Arial" w:cs="Arial" w:eastAsia="Arial" w:hAnsi="Arial"/>
                <w:sz w:val="20"/>
                <w:szCs w:val="20"/>
                <w:color w:val="1C2790"/>
              </w:rPr>
              <w:t>Properties</w:t>
            </w:r>
          </w:p>
        </w:tc>
        <w:tc>
          <w:tcPr>
            <w:tcW w:w="6500" w:type="dxa"/>
            <w:vAlign w:val="bottom"/>
            <w:gridSpan w:val="16"/>
          </w:tcPr>
          <w:p>
            <w:pPr>
              <w:spacing w:after="0"/>
              <w:rPr>
                <w:sz w:val="18"/>
                <w:szCs w:val="18"/>
                <w:color w:val="auto"/>
              </w:rPr>
            </w:pPr>
          </w:p>
        </w:tc>
        <w:tc>
          <w:tcPr>
            <w:tcW w:w="740" w:type="dxa"/>
            <w:vAlign w:val="bottom"/>
            <w:gridSpan w:val="6"/>
          </w:tcPr>
          <w:p>
            <w:pPr>
              <w:jc w:val="center"/>
              <w:ind w:left="440"/>
              <w:spacing w:after="0" w:line="207" w:lineRule="exact"/>
              <w:rPr>
                <w:sz w:val="20"/>
                <w:szCs w:val="20"/>
                <w:color w:val="auto"/>
              </w:rPr>
            </w:pPr>
            <w:r>
              <w:rPr>
                <w:rFonts w:ascii="Arial" w:cs="Arial" w:eastAsia="Arial" w:hAnsi="Arial"/>
                <w:sz w:val="20"/>
                <w:szCs w:val="20"/>
                <w:color w:val="1C2790"/>
                <w:w w:val="89"/>
              </w:rPr>
              <w:t>42</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57"/>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8"/>
        </w:trPr>
        <w:tc>
          <w:tcPr>
            <w:tcW w:w="880" w:type="dxa"/>
            <w:vAlign w:val="bottom"/>
            <w:shd w:val="clear" w:color="auto" w:fill="D2EEF5"/>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shd w:val="clear" w:color="auto" w:fill="D2EEF5"/>
          </w:tcPr>
          <w:p>
            <w:pPr>
              <w:ind w:left="20"/>
              <w:spacing w:after="0" w:line="207" w:lineRule="exact"/>
              <w:rPr>
                <w:sz w:val="20"/>
                <w:szCs w:val="20"/>
                <w:color w:val="auto"/>
              </w:rPr>
            </w:pPr>
            <w:r>
              <w:rPr>
                <w:rFonts w:ascii="Arial" w:cs="Arial" w:eastAsia="Arial" w:hAnsi="Arial"/>
                <w:sz w:val="20"/>
                <w:szCs w:val="20"/>
                <w:color w:val="auto"/>
              </w:rPr>
              <w:t>3.</w:t>
            </w:r>
          </w:p>
        </w:tc>
        <w:tc>
          <w:tcPr>
            <w:tcW w:w="1480" w:type="dxa"/>
            <w:vAlign w:val="bottom"/>
            <w:gridSpan w:val="10"/>
            <w:shd w:val="clear" w:color="auto" w:fill="D2EEF5"/>
          </w:tcPr>
          <w:p>
            <w:pPr>
              <w:spacing w:after="0" w:line="207" w:lineRule="exact"/>
              <w:rPr>
                <w:sz w:val="20"/>
                <w:szCs w:val="20"/>
                <w:color w:val="auto"/>
              </w:rPr>
            </w:pPr>
            <w:r>
              <w:rPr>
                <w:rFonts w:ascii="Arial" w:cs="Arial" w:eastAsia="Arial" w:hAnsi="Arial"/>
                <w:sz w:val="20"/>
                <w:szCs w:val="20"/>
                <w:color w:val="1C2790"/>
                <w:w w:val="88"/>
              </w:rPr>
              <w:t>Legal Proceedings</w:t>
            </w:r>
          </w:p>
        </w:tc>
        <w:tc>
          <w:tcPr>
            <w:tcW w:w="6140" w:type="dxa"/>
            <w:vAlign w:val="bottom"/>
            <w:gridSpan w:val="14"/>
            <w:shd w:val="clear" w:color="auto" w:fill="D2EEF5"/>
          </w:tcPr>
          <w:p>
            <w:pPr>
              <w:spacing w:after="0"/>
              <w:rPr>
                <w:sz w:val="18"/>
                <w:szCs w:val="18"/>
                <w:color w:val="auto"/>
              </w:rPr>
            </w:pPr>
          </w:p>
        </w:tc>
        <w:tc>
          <w:tcPr>
            <w:tcW w:w="740" w:type="dxa"/>
            <w:vAlign w:val="bottom"/>
            <w:gridSpan w:val="6"/>
            <w:shd w:val="clear" w:color="auto" w:fill="D2EEF5"/>
          </w:tcPr>
          <w:p>
            <w:pPr>
              <w:jc w:val="center"/>
              <w:ind w:left="440"/>
              <w:spacing w:after="0" w:line="207" w:lineRule="exact"/>
              <w:rPr>
                <w:sz w:val="20"/>
                <w:szCs w:val="20"/>
                <w:color w:val="auto"/>
              </w:rPr>
            </w:pPr>
            <w:r>
              <w:rPr>
                <w:rFonts w:ascii="Arial" w:cs="Arial" w:eastAsia="Arial" w:hAnsi="Arial"/>
                <w:sz w:val="20"/>
                <w:szCs w:val="20"/>
                <w:color w:val="1C2790"/>
                <w:w w:val="89"/>
              </w:rPr>
              <w:t>42</w:t>
            </w:r>
          </w:p>
        </w:tc>
        <w:tc>
          <w:tcPr>
            <w:tcW w:w="40" w:type="dxa"/>
            <w:vAlign w:val="bottom"/>
            <w:shd w:val="clear" w:color="auto" w:fill="D2EEF5"/>
          </w:tcPr>
          <w:p>
            <w:pPr>
              <w:spacing w:after="0"/>
              <w:rPr>
                <w:sz w:val="18"/>
                <w:szCs w:val="18"/>
                <w:color w:val="auto"/>
              </w:rPr>
            </w:pPr>
          </w:p>
        </w:tc>
        <w:tc>
          <w:tcPr>
            <w:tcW w:w="460" w:type="dxa"/>
            <w:vAlign w:val="bottom"/>
            <w:shd w:val="clear" w:color="auto" w:fill="D2EEF5"/>
          </w:tcPr>
          <w:p>
            <w:pPr>
              <w:spacing w:after="0"/>
              <w:rPr>
                <w:sz w:val="18"/>
                <w:szCs w:val="18"/>
                <w:color w:val="auto"/>
              </w:rPr>
            </w:pPr>
          </w:p>
        </w:tc>
      </w:tr>
      <w:tr>
        <w:trPr>
          <w:trHeight w:val="57"/>
        </w:trPr>
        <w:tc>
          <w:tcPr>
            <w:tcW w:w="880" w:type="dxa"/>
            <w:vAlign w:val="bottom"/>
            <w:tcBorders>
              <w:top w:val="single" w:sz="8" w:color="D2EEF5"/>
            </w:tcBorders>
            <w:shd w:val="clear" w:color="auto" w:fill="D2EEF5"/>
          </w:tcPr>
          <w:p>
            <w:pPr>
              <w:spacing w:after="0"/>
              <w:rPr>
                <w:sz w:val="4"/>
                <w:szCs w:val="4"/>
                <w:color w:val="auto"/>
              </w:rPr>
            </w:pPr>
          </w:p>
        </w:tc>
        <w:tc>
          <w:tcPr>
            <w:tcW w:w="520" w:type="dxa"/>
            <w:vAlign w:val="bottom"/>
            <w:tcBorders>
              <w:top w:val="single" w:sz="8" w:color="D2EEF5"/>
            </w:tcBorders>
            <w:shd w:val="clear" w:color="auto" w:fill="D2EEF5"/>
          </w:tcPr>
          <w:p>
            <w:pPr>
              <w:spacing w:after="0"/>
              <w:rPr>
                <w:sz w:val="4"/>
                <w:szCs w:val="4"/>
                <w:color w:val="auto"/>
              </w:rPr>
            </w:pPr>
          </w:p>
        </w:tc>
        <w:tc>
          <w:tcPr>
            <w:tcW w:w="360" w:type="dxa"/>
            <w:vAlign w:val="bottom"/>
            <w:tcBorders>
              <w:top w:val="single" w:sz="8" w:color="1C2790"/>
            </w:tcBorders>
            <w:shd w:val="clear" w:color="auto" w:fill="D2EEF5"/>
          </w:tcPr>
          <w:p>
            <w:pPr>
              <w:spacing w:after="0"/>
              <w:rPr>
                <w:sz w:val="4"/>
                <w:szCs w:val="4"/>
                <w:color w:val="auto"/>
              </w:rPr>
            </w:pPr>
          </w:p>
        </w:tc>
        <w:tc>
          <w:tcPr>
            <w:tcW w:w="34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6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2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20" w:type="dxa"/>
            <w:vAlign w:val="bottom"/>
            <w:tcBorders>
              <w:top w:val="single" w:sz="8" w:color="1C2790"/>
            </w:tcBorders>
            <w:shd w:val="clear" w:color="auto" w:fill="D2EEF5"/>
          </w:tcPr>
          <w:p>
            <w:pPr>
              <w:spacing w:after="0"/>
              <w:rPr>
                <w:sz w:val="4"/>
                <w:szCs w:val="4"/>
                <w:color w:val="auto"/>
              </w:rPr>
            </w:pPr>
          </w:p>
        </w:tc>
        <w:tc>
          <w:tcPr>
            <w:tcW w:w="340" w:type="dxa"/>
            <w:vAlign w:val="bottom"/>
            <w:tcBorders>
              <w:top w:val="single" w:sz="8" w:color="1C2790"/>
            </w:tcBorders>
            <w:shd w:val="clear" w:color="auto" w:fill="D2EEF5"/>
          </w:tcPr>
          <w:p>
            <w:pPr>
              <w:spacing w:after="0"/>
              <w:rPr>
                <w:sz w:val="4"/>
                <w:szCs w:val="4"/>
                <w:color w:val="auto"/>
              </w:rPr>
            </w:pPr>
          </w:p>
        </w:tc>
        <w:tc>
          <w:tcPr>
            <w:tcW w:w="20" w:type="dxa"/>
            <w:vAlign w:val="bottom"/>
            <w:tcBorders>
              <w:top w:val="single" w:sz="8" w:color="1C2790"/>
            </w:tcBorders>
            <w:shd w:val="clear" w:color="auto" w:fill="D2EEF5"/>
          </w:tcPr>
          <w:p>
            <w:pPr>
              <w:spacing w:after="0"/>
              <w:rPr>
                <w:sz w:val="4"/>
                <w:szCs w:val="4"/>
                <w:color w:val="auto"/>
              </w:rPr>
            </w:pPr>
          </w:p>
        </w:tc>
        <w:tc>
          <w:tcPr>
            <w:tcW w:w="240" w:type="dxa"/>
            <w:vAlign w:val="bottom"/>
            <w:tcBorders>
              <w:top w:val="single" w:sz="8" w:color="D2EEF5"/>
            </w:tcBorders>
            <w:shd w:val="clear" w:color="auto" w:fill="D2EEF5"/>
          </w:tcPr>
          <w:p>
            <w:pPr>
              <w:spacing w:after="0"/>
              <w:rPr>
                <w:sz w:val="4"/>
                <w:szCs w:val="4"/>
                <w:color w:val="auto"/>
              </w:rPr>
            </w:pPr>
          </w:p>
        </w:tc>
        <w:tc>
          <w:tcPr>
            <w:tcW w:w="24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260" w:type="dxa"/>
            <w:vAlign w:val="bottom"/>
            <w:tcBorders>
              <w:top w:val="single" w:sz="8" w:color="D2EEF5"/>
            </w:tcBorders>
            <w:shd w:val="clear" w:color="auto" w:fill="D2EEF5"/>
          </w:tcPr>
          <w:p>
            <w:pPr>
              <w:spacing w:after="0"/>
              <w:rPr>
                <w:sz w:val="4"/>
                <w:szCs w:val="4"/>
                <w:color w:val="auto"/>
              </w:rPr>
            </w:pPr>
          </w:p>
        </w:tc>
        <w:tc>
          <w:tcPr>
            <w:tcW w:w="900" w:type="dxa"/>
            <w:vAlign w:val="bottom"/>
            <w:tcBorders>
              <w:top w:val="single" w:sz="8" w:color="D2EEF5"/>
            </w:tcBorders>
            <w:shd w:val="clear" w:color="auto" w:fill="D2EEF5"/>
          </w:tcPr>
          <w:p>
            <w:pPr>
              <w:spacing w:after="0"/>
              <w:rPr>
                <w:sz w:val="4"/>
                <w:szCs w:val="4"/>
                <w:color w:val="auto"/>
              </w:rPr>
            </w:pPr>
          </w:p>
        </w:tc>
        <w:tc>
          <w:tcPr>
            <w:tcW w:w="340" w:type="dxa"/>
            <w:vAlign w:val="bottom"/>
            <w:tcBorders>
              <w:top w:val="single" w:sz="8" w:color="D2EEF5"/>
            </w:tcBorders>
            <w:shd w:val="clear" w:color="auto" w:fill="D2EEF5"/>
          </w:tcPr>
          <w:p>
            <w:pPr>
              <w:spacing w:after="0"/>
              <w:rPr>
                <w:sz w:val="4"/>
                <w:szCs w:val="4"/>
                <w:color w:val="auto"/>
              </w:rPr>
            </w:pPr>
          </w:p>
        </w:tc>
        <w:tc>
          <w:tcPr>
            <w:tcW w:w="180" w:type="dxa"/>
            <w:vAlign w:val="bottom"/>
            <w:tcBorders>
              <w:top w:val="single" w:sz="8" w:color="D2EEF5"/>
            </w:tcBorders>
            <w:shd w:val="clear" w:color="auto" w:fill="D2EEF5"/>
          </w:tcPr>
          <w:p>
            <w:pPr>
              <w:spacing w:after="0"/>
              <w:rPr>
                <w:sz w:val="4"/>
                <w:szCs w:val="4"/>
                <w:color w:val="auto"/>
              </w:rPr>
            </w:pPr>
          </w:p>
        </w:tc>
        <w:tc>
          <w:tcPr>
            <w:tcW w:w="860" w:type="dxa"/>
            <w:vAlign w:val="bottom"/>
            <w:tcBorders>
              <w:top w:val="single" w:sz="8" w:color="D2EEF5"/>
            </w:tcBorders>
            <w:shd w:val="clear" w:color="auto" w:fill="D2EEF5"/>
          </w:tcPr>
          <w:p>
            <w:pPr>
              <w:spacing w:after="0"/>
              <w:rPr>
                <w:sz w:val="4"/>
                <w:szCs w:val="4"/>
                <w:color w:val="auto"/>
              </w:rPr>
            </w:pPr>
          </w:p>
        </w:tc>
        <w:tc>
          <w:tcPr>
            <w:tcW w:w="300" w:type="dxa"/>
            <w:vAlign w:val="bottom"/>
            <w:tcBorders>
              <w:top w:val="single" w:sz="8" w:color="D2EEF5"/>
            </w:tcBorders>
            <w:shd w:val="clear" w:color="auto" w:fill="D2EEF5"/>
          </w:tcPr>
          <w:p>
            <w:pPr>
              <w:spacing w:after="0"/>
              <w:rPr>
                <w:sz w:val="4"/>
                <w:szCs w:val="4"/>
                <w:color w:val="auto"/>
              </w:rPr>
            </w:pPr>
          </w:p>
        </w:tc>
        <w:tc>
          <w:tcPr>
            <w:tcW w:w="600" w:type="dxa"/>
            <w:vAlign w:val="bottom"/>
            <w:tcBorders>
              <w:top w:val="single" w:sz="8" w:color="D2EEF5"/>
            </w:tcBorders>
            <w:shd w:val="clear" w:color="auto" w:fill="D2EEF5"/>
          </w:tcPr>
          <w:p>
            <w:pPr>
              <w:spacing w:after="0"/>
              <w:rPr>
                <w:sz w:val="4"/>
                <w:szCs w:val="4"/>
                <w:color w:val="auto"/>
              </w:rPr>
            </w:pPr>
          </w:p>
        </w:tc>
        <w:tc>
          <w:tcPr>
            <w:tcW w:w="620" w:type="dxa"/>
            <w:vAlign w:val="bottom"/>
            <w:tcBorders>
              <w:top w:val="single" w:sz="8" w:color="D2EEF5"/>
            </w:tcBorders>
            <w:shd w:val="clear" w:color="auto" w:fill="D2EEF5"/>
          </w:tcPr>
          <w:p>
            <w:pPr>
              <w:spacing w:after="0"/>
              <w:rPr>
                <w:sz w:val="4"/>
                <w:szCs w:val="4"/>
                <w:color w:val="auto"/>
              </w:rPr>
            </w:pPr>
          </w:p>
        </w:tc>
        <w:tc>
          <w:tcPr>
            <w:tcW w:w="1120" w:type="dxa"/>
            <w:vAlign w:val="bottom"/>
            <w:tcBorders>
              <w:top w:val="single" w:sz="8" w:color="D2EEF5"/>
            </w:tcBorders>
            <w:shd w:val="clear" w:color="auto" w:fill="D2EEF5"/>
          </w:tcPr>
          <w:p>
            <w:pPr>
              <w:spacing w:after="0"/>
              <w:rPr>
                <w:sz w:val="4"/>
                <w:szCs w:val="4"/>
                <w:color w:val="auto"/>
              </w:rPr>
            </w:pPr>
          </w:p>
        </w:tc>
        <w:tc>
          <w:tcPr>
            <w:tcW w:w="300" w:type="dxa"/>
            <w:vAlign w:val="bottom"/>
            <w:tcBorders>
              <w:top w:val="single" w:sz="8" w:color="D2EEF5"/>
            </w:tcBorders>
            <w:shd w:val="clear" w:color="auto" w:fill="D2EEF5"/>
          </w:tcPr>
          <w:p>
            <w:pPr>
              <w:spacing w:after="0"/>
              <w:rPr>
                <w:sz w:val="4"/>
                <w:szCs w:val="4"/>
                <w:color w:val="auto"/>
              </w:rPr>
            </w:pPr>
          </w:p>
        </w:tc>
        <w:tc>
          <w:tcPr>
            <w:tcW w:w="14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440" w:type="dxa"/>
            <w:vAlign w:val="bottom"/>
            <w:tcBorders>
              <w:top w:val="single" w:sz="8" w:color="D2EEF5"/>
            </w:tcBorders>
            <w:shd w:val="clear" w:color="auto" w:fill="D2EEF5"/>
          </w:tcPr>
          <w:p>
            <w:pPr>
              <w:spacing w:after="0"/>
              <w:rPr>
                <w:sz w:val="4"/>
                <w:szCs w:val="4"/>
                <w:color w:val="auto"/>
              </w:rPr>
            </w:pPr>
          </w:p>
        </w:tc>
        <w:tc>
          <w:tcPr>
            <w:tcW w:w="6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00" w:type="dxa"/>
            <w:vAlign w:val="bottom"/>
            <w:tcBorders>
              <w:top w:val="single" w:sz="8" w:color="1C2790"/>
            </w:tcBorders>
            <w:shd w:val="clear" w:color="auto" w:fill="D2EEF5"/>
          </w:tcPr>
          <w:p>
            <w:pPr>
              <w:spacing w:after="0"/>
              <w:rPr>
                <w:sz w:val="4"/>
                <w:szCs w:val="4"/>
                <w:color w:val="auto"/>
              </w:rPr>
            </w:pPr>
          </w:p>
        </w:tc>
        <w:tc>
          <w:tcPr>
            <w:tcW w:w="6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460" w:type="dxa"/>
            <w:vAlign w:val="bottom"/>
            <w:tcBorders>
              <w:top w:val="single" w:sz="8" w:color="D2EEF5"/>
            </w:tcBorders>
            <w:shd w:val="clear" w:color="auto" w:fill="D2EEF5"/>
          </w:tcPr>
          <w:p>
            <w:pPr>
              <w:spacing w:after="0"/>
              <w:rPr>
                <w:sz w:val="4"/>
                <w:szCs w:val="4"/>
                <w:color w:val="auto"/>
              </w:rPr>
            </w:pPr>
          </w:p>
        </w:tc>
      </w:tr>
      <w:tr>
        <w:trPr>
          <w:trHeight w:val="208"/>
        </w:trPr>
        <w:tc>
          <w:tcPr>
            <w:tcW w:w="880" w:type="dxa"/>
            <w:vAlign w:val="bottom"/>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Pr>
          <w:p>
            <w:pPr>
              <w:ind w:left="20"/>
              <w:spacing w:after="0" w:line="207" w:lineRule="exact"/>
              <w:rPr>
                <w:sz w:val="20"/>
                <w:szCs w:val="20"/>
                <w:color w:val="auto"/>
              </w:rPr>
            </w:pPr>
            <w:r>
              <w:rPr>
                <w:rFonts w:ascii="Arial" w:cs="Arial" w:eastAsia="Arial" w:hAnsi="Arial"/>
                <w:sz w:val="20"/>
                <w:szCs w:val="20"/>
                <w:color w:val="auto"/>
              </w:rPr>
              <w:t>4.</w:t>
            </w:r>
          </w:p>
        </w:tc>
        <w:tc>
          <w:tcPr>
            <w:tcW w:w="7620" w:type="dxa"/>
            <w:vAlign w:val="bottom"/>
            <w:gridSpan w:val="24"/>
          </w:tcPr>
          <w:p>
            <w:pPr>
              <w:spacing w:after="0" w:line="207" w:lineRule="exact"/>
              <w:rPr>
                <w:sz w:val="20"/>
                <w:szCs w:val="20"/>
                <w:color w:val="auto"/>
              </w:rPr>
            </w:pPr>
            <w:r>
              <w:rPr>
                <w:rFonts w:ascii="Arial" w:cs="Arial" w:eastAsia="Arial" w:hAnsi="Arial"/>
                <w:sz w:val="20"/>
                <w:szCs w:val="20"/>
                <w:color w:val="1C2790"/>
              </w:rPr>
              <w:t>Mine Safety Disclosures</w:t>
            </w:r>
          </w:p>
        </w:tc>
        <w:tc>
          <w:tcPr>
            <w:tcW w:w="740" w:type="dxa"/>
            <w:vAlign w:val="bottom"/>
            <w:gridSpan w:val="6"/>
          </w:tcPr>
          <w:p>
            <w:pPr>
              <w:jc w:val="center"/>
              <w:ind w:left="440"/>
              <w:spacing w:after="0" w:line="207" w:lineRule="exact"/>
              <w:rPr>
                <w:sz w:val="20"/>
                <w:szCs w:val="20"/>
                <w:color w:val="auto"/>
              </w:rPr>
            </w:pPr>
            <w:r>
              <w:rPr>
                <w:rFonts w:ascii="Arial" w:cs="Arial" w:eastAsia="Arial" w:hAnsi="Arial"/>
                <w:sz w:val="20"/>
                <w:szCs w:val="20"/>
                <w:color w:val="1C2790"/>
                <w:w w:val="89"/>
              </w:rPr>
              <w:t>43</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57"/>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2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85"/>
        </w:trPr>
        <w:tc>
          <w:tcPr>
            <w:tcW w:w="880" w:type="dxa"/>
            <w:vAlign w:val="bottom"/>
            <w:shd w:val="clear" w:color="auto" w:fill="D2EEF5"/>
          </w:tcPr>
          <w:p>
            <w:pPr>
              <w:spacing w:after="0"/>
              <w:rPr>
                <w:sz w:val="24"/>
                <w:szCs w:val="24"/>
                <w:color w:val="auto"/>
              </w:rPr>
            </w:pPr>
          </w:p>
        </w:tc>
        <w:tc>
          <w:tcPr>
            <w:tcW w:w="520" w:type="dxa"/>
            <w:vAlign w:val="bottom"/>
            <w:shd w:val="clear" w:color="auto" w:fill="D2EEF5"/>
          </w:tcPr>
          <w:p>
            <w:pPr>
              <w:spacing w:after="0"/>
              <w:rPr>
                <w:sz w:val="24"/>
                <w:szCs w:val="24"/>
                <w:color w:val="auto"/>
              </w:rPr>
            </w:pPr>
          </w:p>
        </w:tc>
        <w:tc>
          <w:tcPr>
            <w:tcW w:w="36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0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86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600" w:type="dxa"/>
            <w:vAlign w:val="bottom"/>
            <w:shd w:val="clear" w:color="auto" w:fill="D2EEF5"/>
          </w:tcPr>
          <w:p>
            <w:pPr>
              <w:spacing w:after="0"/>
              <w:rPr>
                <w:sz w:val="24"/>
                <w:szCs w:val="24"/>
                <w:color w:val="auto"/>
              </w:rPr>
            </w:pPr>
          </w:p>
        </w:tc>
        <w:tc>
          <w:tcPr>
            <w:tcW w:w="620" w:type="dxa"/>
            <w:vAlign w:val="bottom"/>
            <w:shd w:val="clear" w:color="auto" w:fill="D2EEF5"/>
          </w:tcPr>
          <w:p>
            <w:pPr>
              <w:spacing w:after="0"/>
              <w:rPr>
                <w:sz w:val="24"/>
                <w:szCs w:val="24"/>
                <w:color w:val="auto"/>
              </w:rPr>
            </w:pPr>
          </w:p>
        </w:tc>
        <w:tc>
          <w:tcPr>
            <w:tcW w:w="112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4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0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460" w:type="dxa"/>
            <w:vAlign w:val="bottom"/>
            <w:shd w:val="clear" w:color="auto" w:fill="D2EEF5"/>
          </w:tcPr>
          <w:p>
            <w:pPr>
              <w:spacing w:after="0"/>
              <w:rPr>
                <w:sz w:val="24"/>
                <w:szCs w:val="24"/>
                <w:color w:val="auto"/>
              </w:rPr>
            </w:pPr>
          </w:p>
        </w:tc>
      </w:tr>
      <w:tr>
        <w:trPr>
          <w:trHeight w:val="275"/>
        </w:trPr>
        <w:tc>
          <w:tcPr>
            <w:tcW w:w="880" w:type="dxa"/>
            <w:vAlign w:val="bottom"/>
          </w:tcPr>
          <w:p>
            <w:pPr>
              <w:ind w:left="40"/>
              <w:spacing w:after="0"/>
              <w:rPr>
                <w:sz w:val="20"/>
                <w:szCs w:val="20"/>
                <w:color w:val="auto"/>
              </w:rPr>
            </w:pPr>
            <w:r>
              <w:rPr>
                <w:rFonts w:ascii="Arial" w:cs="Arial" w:eastAsia="Arial" w:hAnsi="Arial"/>
                <w:sz w:val="20"/>
                <w:szCs w:val="20"/>
                <w:b w:val="1"/>
                <w:bCs w:val="1"/>
                <w:color w:val="auto"/>
              </w:rPr>
              <w:t>PART II</w:t>
            </w: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18"/>
        </w:trPr>
        <w:tc>
          <w:tcPr>
            <w:tcW w:w="880" w:type="dxa"/>
            <w:vAlign w:val="bottom"/>
            <w:shd w:val="clear" w:color="auto" w:fill="D2EEF5"/>
          </w:tcPr>
          <w:p>
            <w:pPr>
              <w:jc w:val="right"/>
              <w:spacing w:after="0" w:line="218" w:lineRule="exact"/>
              <w:rPr>
                <w:sz w:val="20"/>
                <w:szCs w:val="20"/>
                <w:color w:val="auto"/>
              </w:rPr>
            </w:pPr>
            <w:r>
              <w:rPr>
                <w:rFonts w:ascii="Arial" w:cs="Arial" w:eastAsia="Arial" w:hAnsi="Arial"/>
                <w:sz w:val="20"/>
                <w:szCs w:val="20"/>
                <w:color w:val="auto"/>
              </w:rPr>
              <w:t>Item</w:t>
            </w:r>
          </w:p>
        </w:tc>
        <w:tc>
          <w:tcPr>
            <w:tcW w:w="520" w:type="dxa"/>
            <w:vAlign w:val="bottom"/>
            <w:shd w:val="clear" w:color="auto" w:fill="D2EEF5"/>
          </w:tcPr>
          <w:p>
            <w:pPr>
              <w:ind w:left="20"/>
              <w:spacing w:after="0" w:line="218" w:lineRule="exact"/>
              <w:rPr>
                <w:sz w:val="20"/>
                <w:szCs w:val="20"/>
                <w:color w:val="auto"/>
              </w:rPr>
            </w:pPr>
            <w:r>
              <w:rPr>
                <w:rFonts w:ascii="Arial" w:cs="Arial" w:eastAsia="Arial" w:hAnsi="Arial"/>
                <w:sz w:val="20"/>
                <w:szCs w:val="20"/>
                <w:color w:val="auto"/>
              </w:rPr>
              <w:t>5.</w:t>
            </w:r>
          </w:p>
        </w:tc>
        <w:tc>
          <w:tcPr>
            <w:tcW w:w="7620" w:type="dxa"/>
            <w:vAlign w:val="bottom"/>
            <w:gridSpan w:val="24"/>
            <w:shd w:val="clear" w:color="auto" w:fill="D2EEF5"/>
          </w:tcPr>
          <w:p>
            <w:pPr>
              <w:spacing w:after="0" w:line="218" w:lineRule="exact"/>
              <w:rPr>
                <w:sz w:val="20"/>
                <w:szCs w:val="20"/>
                <w:color w:val="auto"/>
              </w:rPr>
            </w:pPr>
            <w:r>
              <w:rPr>
                <w:rFonts w:ascii="Arial" w:cs="Arial" w:eastAsia="Arial" w:hAnsi="Arial"/>
                <w:sz w:val="20"/>
                <w:szCs w:val="20"/>
                <w:color w:val="1C2790"/>
                <w:w w:val="91"/>
              </w:rPr>
              <w:t>Market for Registrant’s Common Equity, Related Stockholder Matters and Issuer Purchases of</w:t>
            </w:r>
          </w:p>
        </w:tc>
        <w:tc>
          <w:tcPr>
            <w:tcW w:w="740" w:type="dxa"/>
            <w:vAlign w:val="bottom"/>
            <w:gridSpan w:val="6"/>
            <w:shd w:val="clear" w:color="auto" w:fill="D2EEF5"/>
          </w:tcPr>
          <w:p>
            <w:pPr>
              <w:jc w:val="center"/>
              <w:ind w:left="440"/>
              <w:spacing w:after="0" w:line="218" w:lineRule="exact"/>
              <w:rPr>
                <w:sz w:val="20"/>
                <w:szCs w:val="20"/>
                <w:color w:val="auto"/>
              </w:rPr>
            </w:pPr>
            <w:r>
              <w:rPr>
                <w:rFonts w:ascii="Arial" w:cs="Arial" w:eastAsia="Arial" w:hAnsi="Arial"/>
                <w:sz w:val="20"/>
                <w:szCs w:val="20"/>
                <w:color w:val="1C2790"/>
                <w:w w:val="89"/>
              </w:rPr>
              <w:t>44</w:t>
            </w:r>
          </w:p>
        </w:tc>
        <w:tc>
          <w:tcPr>
            <w:tcW w:w="40" w:type="dxa"/>
            <w:vAlign w:val="bottom"/>
            <w:shd w:val="clear" w:color="auto" w:fill="D2EEF5"/>
          </w:tcPr>
          <w:p>
            <w:pPr>
              <w:spacing w:after="0"/>
              <w:rPr>
                <w:sz w:val="18"/>
                <w:szCs w:val="18"/>
                <w:color w:val="auto"/>
              </w:rPr>
            </w:pPr>
          </w:p>
        </w:tc>
        <w:tc>
          <w:tcPr>
            <w:tcW w:w="460" w:type="dxa"/>
            <w:vAlign w:val="bottom"/>
            <w:shd w:val="clear" w:color="auto" w:fill="D2EEF5"/>
          </w:tcPr>
          <w:p>
            <w:pPr>
              <w:spacing w:after="0"/>
              <w:rPr>
                <w:sz w:val="18"/>
                <w:szCs w:val="18"/>
                <w:color w:val="auto"/>
              </w:rPr>
            </w:pPr>
          </w:p>
        </w:tc>
      </w:tr>
      <w:tr>
        <w:trPr>
          <w:trHeight w:val="220"/>
        </w:trPr>
        <w:tc>
          <w:tcPr>
            <w:tcW w:w="880" w:type="dxa"/>
            <w:vAlign w:val="bottom"/>
            <w:tcBorders>
              <w:top w:val="single" w:sz="8" w:color="D2EEF5"/>
            </w:tcBorders>
            <w:shd w:val="clear" w:color="auto" w:fill="D2EEF5"/>
          </w:tcPr>
          <w:p>
            <w:pPr>
              <w:spacing w:after="0"/>
              <w:rPr>
                <w:sz w:val="19"/>
                <w:szCs w:val="19"/>
                <w:color w:val="auto"/>
              </w:rPr>
            </w:pPr>
          </w:p>
        </w:tc>
        <w:tc>
          <w:tcPr>
            <w:tcW w:w="520" w:type="dxa"/>
            <w:vAlign w:val="bottom"/>
            <w:tcBorders>
              <w:top w:val="single" w:sz="8" w:color="D2EEF5"/>
            </w:tcBorders>
            <w:shd w:val="clear" w:color="auto" w:fill="D2EEF5"/>
          </w:tcPr>
          <w:p>
            <w:pPr>
              <w:spacing w:after="0"/>
              <w:rPr>
                <w:sz w:val="19"/>
                <w:szCs w:val="19"/>
                <w:color w:val="auto"/>
              </w:rPr>
            </w:pPr>
          </w:p>
        </w:tc>
        <w:tc>
          <w:tcPr>
            <w:tcW w:w="360" w:type="dxa"/>
            <w:vAlign w:val="bottom"/>
            <w:tcBorders>
              <w:top w:val="single" w:sz="8" w:color="1C2790"/>
            </w:tcBorders>
            <w:shd w:val="clear" w:color="auto" w:fill="D2EEF5"/>
          </w:tcPr>
          <w:p>
            <w:pPr>
              <w:spacing w:after="0"/>
              <w:rPr>
                <w:sz w:val="19"/>
                <w:szCs w:val="19"/>
                <w:color w:val="auto"/>
              </w:rPr>
            </w:pPr>
          </w:p>
        </w:tc>
        <w:tc>
          <w:tcPr>
            <w:tcW w:w="7260" w:type="dxa"/>
            <w:vAlign w:val="bottom"/>
            <w:tcBorders>
              <w:top w:val="single" w:sz="8" w:color="1C2790"/>
            </w:tcBorders>
            <w:gridSpan w:val="23"/>
            <w:shd w:val="clear" w:color="auto" w:fill="D2EEF5"/>
          </w:tcPr>
          <w:p>
            <w:pPr>
              <w:spacing w:after="0" w:line="220" w:lineRule="exact"/>
              <w:rPr>
                <w:sz w:val="20"/>
                <w:szCs w:val="20"/>
                <w:color w:val="auto"/>
              </w:rPr>
            </w:pPr>
            <w:r>
              <w:rPr>
                <w:rFonts w:ascii="Arial" w:cs="Arial" w:eastAsia="Arial" w:hAnsi="Arial"/>
                <w:sz w:val="20"/>
                <w:szCs w:val="20"/>
                <w:color w:val="1C2790"/>
              </w:rPr>
              <w:t>Equity Securities</w:t>
            </w:r>
          </w:p>
        </w:tc>
        <w:tc>
          <w:tcPr>
            <w:tcW w:w="40" w:type="dxa"/>
            <w:vAlign w:val="bottom"/>
            <w:tcBorders>
              <w:top w:val="single" w:sz="8" w:color="D2EEF5"/>
            </w:tcBorders>
            <w:shd w:val="clear" w:color="auto" w:fill="D2EEF5"/>
          </w:tcPr>
          <w:p>
            <w:pPr>
              <w:spacing w:after="0"/>
              <w:rPr>
                <w:sz w:val="19"/>
                <w:szCs w:val="19"/>
                <w:color w:val="auto"/>
              </w:rPr>
            </w:pPr>
          </w:p>
        </w:tc>
        <w:tc>
          <w:tcPr>
            <w:tcW w:w="440" w:type="dxa"/>
            <w:vAlign w:val="bottom"/>
            <w:tcBorders>
              <w:top w:val="single" w:sz="8" w:color="D2EEF5"/>
            </w:tcBorders>
            <w:shd w:val="clear" w:color="auto" w:fill="D2EEF5"/>
          </w:tcPr>
          <w:p>
            <w:pPr>
              <w:spacing w:after="0"/>
              <w:rPr>
                <w:sz w:val="19"/>
                <w:szCs w:val="19"/>
                <w:color w:val="auto"/>
              </w:rPr>
            </w:pPr>
          </w:p>
        </w:tc>
        <w:tc>
          <w:tcPr>
            <w:tcW w:w="60" w:type="dxa"/>
            <w:vAlign w:val="bottom"/>
            <w:tcBorders>
              <w:top w:val="single" w:sz="8" w:color="D2EEF5"/>
            </w:tcBorders>
            <w:shd w:val="clear" w:color="auto" w:fill="D2EEF5"/>
          </w:tcPr>
          <w:p>
            <w:pPr>
              <w:spacing w:after="0"/>
              <w:rPr>
                <w:sz w:val="19"/>
                <w:szCs w:val="19"/>
                <w:color w:val="auto"/>
              </w:rPr>
            </w:pPr>
          </w:p>
        </w:tc>
        <w:tc>
          <w:tcPr>
            <w:tcW w:w="40" w:type="dxa"/>
            <w:vAlign w:val="bottom"/>
            <w:tcBorders>
              <w:top w:val="single" w:sz="8" w:color="1C2790"/>
            </w:tcBorders>
            <w:shd w:val="clear" w:color="auto" w:fill="D2EEF5"/>
          </w:tcPr>
          <w:p>
            <w:pPr>
              <w:spacing w:after="0"/>
              <w:rPr>
                <w:sz w:val="19"/>
                <w:szCs w:val="19"/>
                <w:color w:val="auto"/>
              </w:rPr>
            </w:pPr>
          </w:p>
        </w:tc>
        <w:tc>
          <w:tcPr>
            <w:tcW w:w="100" w:type="dxa"/>
            <w:vAlign w:val="bottom"/>
            <w:tcBorders>
              <w:top w:val="single" w:sz="8" w:color="1C2790"/>
            </w:tcBorders>
            <w:shd w:val="clear" w:color="auto" w:fill="D2EEF5"/>
          </w:tcPr>
          <w:p>
            <w:pPr>
              <w:spacing w:after="0"/>
              <w:rPr>
                <w:sz w:val="19"/>
                <w:szCs w:val="19"/>
                <w:color w:val="auto"/>
              </w:rPr>
            </w:pPr>
          </w:p>
        </w:tc>
        <w:tc>
          <w:tcPr>
            <w:tcW w:w="60" w:type="dxa"/>
            <w:vAlign w:val="bottom"/>
            <w:tcBorders>
              <w:top w:val="single" w:sz="8" w:color="1C2790"/>
            </w:tcBorders>
            <w:shd w:val="clear" w:color="auto" w:fill="D2EEF5"/>
          </w:tcPr>
          <w:p>
            <w:pPr>
              <w:spacing w:after="0"/>
              <w:rPr>
                <w:sz w:val="19"/>
                <w:szCs w:val="19"/>
                <w:color w:val="auto"/>
              </w:rPr>
            </w:pPr>
          </w:p>
        </w:tc>
        <w:tc>
          <w:tcPr>
            <w:tcW w:w="40" w:type="dxa"/>
            <w:vAlign w:val="bottom"/>
            <w:tcBorders>
              <w:top w:val="single" w:sz="8" w:color="D2EEF5"/>
            </w:tcBorders>
            <w:shd w:val="clear" w:color="auto" w:fill="D2EEF5"/>
          </w:tcPr>
          <w:p>
            <w:pPr>
              <w:spacing w:after="0"/>
              <w:rPr>
                <w:sz w:val="19"/>
                <w:szCs w:val="19"/>
                <w:color w:val="auto"/>
              </w:rPr>
            </w:pPr>
          </w:p>
        </w:tc>
        <w:tc>
          <w:tcPr>
            <w:tcW w:w="460" w:type="dxa"/>
            <w:vAlign w:val="bottom"/>
            <w:tcBorders>
              <w:top w:val="single" w:sz="8" w:color="D2EEF5"/>
            </w:tcBorders>
            <w:shd w:val="clear" w:color="auto" w:fill="D2EEF5"/>
          </w:tcPr>
          <w:p>
            <w:pPr>
              <w:spacing w:after="0"/>
              <w:rPr>
                <w:sz w:val="19"/>
                <w:szCs w:val="19"/>
                <w:color w:val="auto"/>
              </w:rPr>
            </w:pPr>
          </w:p>
        </w:tc>
      </w:tr>
      <w:tr>
        <w:trPr>
          <w:trHeight w:val="57"/>
        </w:trPr>
        <w:tc>
          <w:tcPr>
            <w:tcW w:w="880" w:type="dxa"/>
            <w:vAlign w:val="bottom"/>
            <w:tcBorders>
              <w:top w:val="single" w:sz="8" w:color="D2EEF5"/>
            </w:tcBorders>
            <w:shd w:val="clear" w:color="auto" w:fill="D2EEF5"/>
          </w:tcPr>
          <w:p>
            <w:pPr>
              <w:spacing w:after="0"/>
              <w:rPr>
                <w:sz w:val="4"/>
                <w:szCs w:val="4"/>
                <w:color w:val="auto"/>
              </w:rPr>
            </w:pPr>
          </w:p>
        </w:tc>
        <w:tc>
          <w:tcPr>
            <w:tcW w:w="520" w:type="dxa"/>
            <w:vAlign w:val="bottom"/>
            <w:tcBorders>
              <w:top w:val="single" w:sz="8" w:color="D2EEF5"/>
            </w:tcBorders>
            <w:shd w:val="clear" w:color="auto" w:fill="D2EEF5"/>
          </w:tcPr>
          <w:p>
            <w:pPr>
              <w:spacing w:after="0"/>
              <w:rPr>
                <w:sz w:val="4"/>
                <w:szCs w:val="4"/>
                <w:color w:val="auto"/>
              </w:rPr>
            </w:pPr>
          </w:p>
        </w:tc>
        <w:tc>
          <w:tcPr>
            <w:tcW w:w="360" w:type="dxa"/>
            <w:vAlign w:val="bottom"/>
            <w:tcBorders>
              <w:top w:val="single" w:sz="8" w:color="D2EEF5"/>
            </w:tcBorders>
            <w:shd w:val="clear" w:color="auto" w:fill="D2EEF5"/>
          </w:tcPr>
          <w:p>
            <w:pPr>
              <w:spacing w:after="0"/>
              <w:rPr>
                <w:sz w:val="4"/>
                <w:szCs w:val="4"/>
                <w:color w:val="auto"/>
              </w:rPr>
            </w:pPr>
          </w:p>
        </w:tc>
        <w:tc>
          <w:tcPr>
            <w:tcW w:w="34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6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2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20" w:type="dxa"/>
            <w:vAlign w:val="bottom"/>
            <w:tcBorders>
              <w:top w:val="single" w:sz="8" w:color="1C2790"/>
            </w:tcBorders>
            <w:shd w:val="clear" w:color="auto" w:fill="D2EEF5"/>
          </w:tcPr>
          <w:p>
            <w:pPr>
              <w:spacing w:after="0"/>
              <w:rPr>
                <w:sz w:val="4"/>
                <w:szCs w:val="4"/>
                <w:color w:val="auto"/>
              </w:rPr>
            </w:pPr>
          </w:p>
        </w:tc>
        <w:tc>
          <w:tcPr>
            <w:tcW w:w="340" w:type="dxa"/>
            <w:vAlign w:val="bottom"/>
            <w:tcBorders>
              <w:top w:val="single" w:sz="8" w:color="1C2790"/>
            </w:tcBorders>
            <w:shd w:val="clear" w:color="auto" w:fill="D2EEF5"/>
          </w:tcPr>
          <w:p>
            <w:pPr>
              <w:spacing w:after="0"/>
              <w:rPr>
                <w:sz w:val="4"/>
                <w:szCs w:val="4"/>
                <w:color w:val="auto"/>
              </w:rPr>
            </w:pPr>
          </w:p>
        </w:tc>
        <w:tc>
          <w:tcPr>
            <w:tcW w:w="20" w:type="dxa"/>
            <w:vAlign w:val="bottom"/>
            <w:tcBorders>
              <w:top w:val="single" w:sz="8" w:color="1C2790"/>
            </w:tcBorders>
            <w:shd w:val="clear" w:color="auto" w:fill="D2EEF5"/>
          </w:tcPr>
          <w:p>
            <w:pPr>
              <w:spacing w:after="0"/>
              <w:rPr>
                <w:sz w:val="4"/>
                <w:szCs w:val="4"/>
                <w:color w:val="auto"/>
              </w:rPr>
            </w:pPr>
          </w:p>
        </w:tc>
        <w:tc>
          <w:tcPr>
            <w:tcW w:w="240" w:type="dxa"/>
            <w:vAlign w:val="bottom"/>
            <w:tcBorders>
              <w:top w:val="single" w:sz="8" w:color="1C2790"/>
            </w:tcBorders>
            <w:shd w:val="clear" w:color="auto" w:fill="D2EEF5"/>
          </w:tcPr>
          <w:p>
            <w:pPr>
              <w:spacing w:after="0"/>
              <w:rPr>
                <w:sz w:val="4"/>
                <w:szCs w:val="4"/>
                <w:color w:val="auto"/>
              </w:rPr>
            </w:pPr>
          </w:p>
        </w:tc>
        <w:tc>
          <w:tcPr>
            <w:tcW w:w="24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260" w:type="dxa"/>
            <w:vAlign w:val="bottom"/>
            <w:tcBorders>
              <w:top w:val="single" w:sz="8" w:color="D2EEF5"/>
            </w:tcBorders>
            <w:shd w:val="clear" w:color="auto" w:fill="D2EEF5"/>
          </w:tcPr>
          <w:p>
            <w:pPr>
              <w:spacing w:after="0"/>
              <w:rPr>
                <w:sz w:val="4"/>
                <w:szCs w:val="4"/>
                <w:color w:val="auto"/>
              </w:rPr>
            </w:pPr>
          </w:p>
        </w:tc>
        <w:tc>
          <w:tcPr>
            <w:tcW w:w="900" w:type="dxa"/>
            <w:vAlign w:val="bottom"/>
            <w:tcBorders>
              <w:top w:val="single" w:sz="8" w:color="D2EEF5"/>
            </w:tcBorders>
            <w:shd w:val="clear" w:color="auto" w:fill="D2EEF5"/>
          </w:tcPr>
          <w:p>
            <w:pPr>
              <w:spacing w:after="0"/>
              <w:rPr>
                <w:sz w:val="4"/>
                <w:szCs w:val="4"/>
                <w:color w:val="auto"/>
              </w:rPr>
            </w:pPr>
          </w:p>
        </w:tc>
        <w:tc>
          <w:tcPr>
            <w:tcW w:w="340" w:type="dxa"/>
            <w:vAlign w:val="bottom"/>
            <w:tcBorders>
              <w:top w:val="single" w:sz="8" w:color="D2EEF5"/>
            </w:tcBorders>
            <w:shd w:val="clear" w:color="auto" w:fill="D2EEF5"/>
          </w:tcPr>
          <w:p>
            <w:pPr>
              <w:spacing w:after="0"/>
              <w:rPr>
                <w:sz w:val="4"/>
                <w:szCs w:val="4"/>
                <w:color w:val="auto"/>
              </w:rPr>
            </w:pPr>
          </w:p>
        </w:tc>
        <w:tc>
          <w:tcPr>
            <w:tcW w:w="180" w:type="dxa"/>
            <w:vAlign w:val="bottom"/>
            <w:tcBorders>
              <w:top w:val="single" w:sz="8" w:color="D2EEF5"/>
            </w:tcBorders>
            <w:shd w:val="clear" w:color="auto" w:fill="D2EEF5"/>
          </w:tcPr>
          <w:p>
            <w:pPr>
              <w:spacing w:after="0"/>
              <w:rPr>
                <w:sz w:val="4"/>
                <w:szCs w:val="4"/>
                <w:color w:val="auto"/>
              </w:rPr>
            </w:pPr>
          </w:p>
        </w:tc>
        <w:tc>
          <w:tcPr>
            <w:tcW w:w="860" w:type="dxa"/>
            <w:vAlign w:val="bottom"/>
            <w:tcBorders>
              <w:top w:val="single" w:sz="8" w:color="D2EEF5"/>
            </w:tcBorders>
            <w:shd w:val="clear" w:color="auto" w:fill="D2EEF5"/>
          </w:tcPr>
          <w:p>
            <w:pPr>
              <w:spacing w:after="0"/>
              <w:rPr>
                <w:sz w:val="4"/>
                <w:szCs w:val="4"/>
                <w:color w:val="auto"/>
              </w:rPr>
            </w:pPr>
          </w:p>
        </w:tc>
        <w:tc>
          <w:tcPr>
            <w:tcW w:w="300" w:type="dxa"/>
            <w:vAlign w:val="bottom"/>
            <w:tcBorders>
              <w:top w:val="single" w:sz="8" w:color="D2EEF5"/>
            </w:tcBorders>
            <w:shd w:val="clear" w:color="auto" w:fill="D2EEF5"/>
          </w:tcPr>
          <w:p>
            <w:pPr>
              <w:spacing w:after="0"/>
              <w:rPr>
                <w:sz w:val="4"/>
                <w:szCs w:val="4"/>
                <w:color w:val="auto"/>
              </w:rPr>
            </w:pPr>
          </w:p>
        </w:tc>
        <w:tc>
          <w:tcPr>
            <w:tcW w:w="600" w:type="dxa"/>
            <w:vAlign w:val="bottom"/>
            <w:tcBorders>
              <w:top w:val="single" w:sz="8" w:color="D2EEF5"/>
            </w:tcBorders>
            <w:shd w:val="clear" w:color="auto" w:fill="D2EEF5"/>
          </w:tcPr>
          <w:p>
            <w:pPr>
              <w:spacing w:after="0"/>
              <w:rPr>
                <w:sz w:val="4"/>
                <w:szCs w:val="4"/>
                <w:color w:val="auto"/>
              </w:rPr>
            </w:pPr>
          </w:p>
        </w:tc>
        <w:tc>
          <w:tcPr>
            <w:tcW w:w="620" w:type="dxa"/>
            <w:vAlign w:val="bottom"/>
            <w:tcBorders>
              <w:top w:val="single" w:sz="8" w:color="D2EEF5"/>
            </w:tcBorders>
            <w:shd w:val="clear" w:color="auto" w:fill="D2EEF5"/>
          </w:tcPr>
          <w:p>
            <w:pPr>
              <w:spacing w:after="0"/>
              <w:rPr>
                <w:sz w:val="4"/>
                <w:szCs w:val="4"/>
                <w:color w:val="auto"/>
              </w:rPr>
            </w:pPr>
          </w:p>
        </w:tc>
        <w:tc>
          <w:tcPr>
            <w:tcW w:w="1120" w:type="dxa"/>
            <w:vAlign w:val="bottom"/>
            <w:tcBorders>
              <w:top w:val="single" w:sz="8" w:color="D2EEF5"/>
            </w:tcBorders>
            <w:shd w:val="clear" w:color="auto" w:fill="D2EEF5"/>
          </w:tcPr>
          <w:p>
            <w:pPr>
              <w:spacing w:after="0"/>
              <w:rPr>
                <w:sz w:val="4"/>
                <w:szCs w:val="4"/>
                <w:color w:val="auto"/>
              </w:rPr>
            </w:pPr>
          </w:p>
        </w:tc>
        <w:tc>
          <w:tcPr>
            <w:tcW w:w="300" w:type="dxa"/>
            <w:vAlign w:val="bottom"/>
            <w:tcBorders>
              <w:top w:val="single" w:sz="8" w:color="D2EEF5"/>
            </w:tcBorders>
            <w:shd w:val="clear" w:color="auto" w:fill="D2EEF5"/>
          </w:tcPr>
          <w:p>
            <w:pPr>
              <w:spacing w:after="0"/>
              <w:rPr>
                <w:sz w:val="4"/>
                <w:szCs w:val="4"/>
                <w:color w:val="auto"/>
              </w:rPr>
            </w:pPr>
          </w:p>
        </w:tc>
        <w:tc>
          <w:tcPr>
            <w:tcW w:w="14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440" w:type="dxa"/>
            <w:vAlign w:val="bottom"/>
            <w:tcBorders>
              <w:top w:val="single" w:sz="8" w:color="D2EEF5"/>
            </w:tcBorders>
            <w:shd w:val="clear" w:color="auto" w:fill="D2EEF5"/>
          </w:tcPr>
          <w:p>
            <w:pPr>
              <w:spacing w:after="0"/>
              <w:rPr>
                <w:sz w:val="4"/>
                <w:szCs w:val="4"/>
                <w:color w:val="auto"/>
              </w:rPr>
            </w:pPr>
          </w:p>
        </w:tc>
        <w:tc>
          <w:tcPr>
            <w:tcW w:w="6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100" w:type="dxa"/>
            <w:vAlign w:val="bottom"/>
            <w:tcBorders>
              <w:top w:val="single" w:sz="8" w:color="D2EEF5"/>
            </w:tcBorders>
            <w:shd w:val="clear" w:color="auto" w:fill="D2EEF5"/>
          </w:tcPr>
          <w:p>
            <w:pPr>
              <w:spacing w:after="0"/>
              <w:rPr>
                <w:sz w:val="4"/>
                <w:szCs w:val="4"/>
                <w:color w:val="auto"/>
              </w:rPr>
            </w:pPr>
          </w:p>
        </w:tc>
        <w:tc>
          <w:tcPr>
            <w:tcW w:w="6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460" w:type="dxa"/>
            <w:vAlign w:val="bottom"/>
            <w:tcBorders>
              <w:top w:val="single" w:sz="8" w:color="D2EEF5"/>
            </w:tcBorders>
            <w:shd w:val="clear" w:color="auto" w:fill="D2EEF5"/>
          </w:tcPr>
          <w:p>
            <w:pPr>
              <w:spacing w:after="0"/>
              <w:rPr>
                <w:sz w:val="4"/>
                <w:szCs w:val="4"/>
                <w:color w:val="auto"/>
              </w:rPr>
            </w:pPr>
          </w:p>
        </w:tc>
      </w:tr>
      <w:tr>
        <w:trPr>
          <w:trHeight w:val="208"/>
        </w:trPr>
        <w:tc>
          <w:tcPr>
            <w:tcW w:w="880" w:type="dxa"/>
            <w:vAlign w:val="bottom"/>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Pr>
          <w:p>
            <w:pPr>
              <w:ind w:left="20"/>
              <w:spacing w:after="0" w:line="207" w:lineRule="exact"/>
              <w:rPr>
                <w:sz w:val="20"/>
                <w:szCs w:val="20"/>
                <w:color w:val="auto"/>
              </w:rPr>
            </w:pPr>
            <w:r>
              <w:rPr>
                <w:rFonts w:ascii="Arial" w:cs="Arial" w:eastAsia="Arial" w:hAnsi="Arial"/>
                <w:sz w:val="20"/>
                <w:szCs w:val="20"/>
                <w:color w:val="auto"/>
              </w:rPr>
              <w:t>6.</w:t>
            </w:r>
          </w:p>
        </w:tc>
        <w:tc>
          <w:tcPr>
            <w:tcW w:w="7620" w:type="dxa"/>
            <w:vAlign w:val="bottom"/>
            <w:gridSpan w:val="24"/>
          </w:tcPr>
          <w:p>
            <w:pPr>
              <w:spacing w:after="0" w:line="207" w:lineRule="exact"/>
              <w:rPr>
                <w:sz w:val="20"/>
                <w:szCs w:val="20"/>
                <w:color w:val="auto"/>
              </w:rPr>
            </w:pPr>
            <w:r>
              <w:rPr>
                <w:rFonts w:ascii="Arial" w:cs="Arial" w:eastAsia="Arial" w:hAnsi="Arial"/>
                <w:sz w:val="20"/>
                <w:szCs w:val="20"/>
                <w:color w:val="1C2790"/>
              </w:rPr>
              <w:t>Reserved</w:t>
            </w:r>
          </w:p>
        </w:tc>
        <w:tc>
          <w:tcPr>
            <w:tcW w:w="740" w:type="dxa"/>
            <w:vAlign w:val="bottom"/>
            <w:gridSpan w:val="6"/>
          </w:tcPr>
          <w:p>
            <w:pPr>
              <w:jc w:val="center"/>
              <w:ind w:left="440"/>
              <w:spacing w:after="0" w:line="207" w:lineRule="exact"/>
              <w:rPr>
                <w:sz w:val="20"/>
                <w:szCs w:val="20"/>
                <w:color w:val="auto"/>
              </w:rPr>
            </w:pPr>
            <w:r>
              <w:rPr>
                <w:rFonts w:ascii="Arial" w:cs="Arial" w:eastAsia="Arial" w:hAnsi="Arial"/>
                <w:sz w:val="20"/>
                <w:szCs w:val="20"/>
                <w:color w:val="1C2790"/>
                <w:w w:val="89"/>
              </w:rPr>
              <w:t>45</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57"/>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8"/>
        </w:trPr>
        <w:tc>
          <w:tcPr>
            <w:tcW w:w="880" w:type="dxa"/>
            <w:vAlign w:val="bottom"/>
            <w:shd w:val="clear" w:color="auto" w:fill="D2EEF5"/>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shd w:val="clear" w:color="auto" w:fill="D2EEF5"/>
          </w:tcPr>
          <w:p>
            <w:pPr>
              <w:ind w:left="20"/>
              <w:spacing w:after="0" w:line="207" w:lineRule="exact"/>
              <w:rPr>
                <w:sz w:val="20"/>
                <w:szCs w:val="20"/>
                <w:color w:val="auto"/>
              </w:rPr>
            </w:pPr>
            <w:r>
              <w:rPr>
                <w:rFonts w:ascii="Arial" w:cs="Arial" w:eastAsia="Arial" w:hAnsi="Arial"/>
                <w:sz w:val="20"/>
                <w:szCs w:val="20"/>
                <w:color w:val="auto"/>
              </w:rPr>
              <w:t>7.</w:t>
            </w:r>
          </w:p>
        </w:tc>
        <w:tc>
          <w:tcPr>
            <w:tcW w:w="7180" w:type="dxa"/>
            <w:vAlign w:val="bottom"/>
            <w:gridSpan w:val="22"/>
            <w:shd w:val="clear" w:color="auto" w:fill="D2EEF5"/>
          </w:tcPr>
          <w:p>
            <w:pPr>
              <w:spacing w:after="0" w:line="207" w:lineRule="exact"/>
              <w:rPr>
                <w:sz w:val="20"/>
                <w:szCs w:val="20"/>
                <w:color w:val="auto"/>
              </w:rPr>
            </w:pPr>
            <w:r>
              <w:rPr>
                <w:rFonts w:ascii="Arial" w:cs="Arial" w:eastAsia="Arial" w:hAnsi="Arial"/>
                <w:sz w:val="20"/>
                <w:szCs w:val="20"/>
                <w:color w:val="1C2790"/>
                <w:w w:val="90"/>
              </w:rPr>
              <w:t>Management’s Discussion and Analysis of Financial Condition and Results of Operations</w:t>
            </w:r>
          </w:p>
        </w:tc>
        <w:tc>
          <w:tcPr>
            <w:tcW w:w="440" w:type="dxa"/>
            <w:vAlign w:val="bottom"/>
            <w:gridSpan w:val="2"/>
            <w:shd w:val="clear" w:color="auto" w:fill="D2EEF5"/>
          </w:tcPr>
          <w:p>
            <w:pPr>
              <w:spacing w:after="0"/>
              <w:rPr>
                <w:sz w:val="18"/>
                <w:szCs w:val="18"/>
                <w:color w:val="auto"/>
              </w:rPr>
            </w:pPr>
          </w:p>
        </w:tc>
        <w:tc>
          <w:tcPr>
            <w:tcW w:w="740" w:type="dxa"/>
            <w:vAlign w:val="bottom"/>
            <w:gridSpan w:val="6"/>
            <w:shd w:val="clear" w:color="auto" w:fill="D2EEF5"/>
          </w:tcPr>
          <w:p>
            <w:pPr>
              <w:jc w:val="center"/>
              <w:ind w:left="440"/>
              <w:spacing w:after="0" w:line="207" w:lineRule="exact"/>
              <w:rPr>
                <w:sz w:val="20"/>
                <w:szCs w:val="20"/>
                <w:color w:val="auto"/>
              </w:rPr>
            </w:pPr>
            <w:r>
              <w:rPr>
                <w:rFonts w:ascii="Arial" w:cs="Arial" w:eastAsia="Arial" w:hAnsi="Arial"/>
                <w:sz w:val="20"/>
                <w:szCs w:val="20"/>
                <w:color w:val="1C2790"/>
                <w:w w:val="89"/>
              </w:rPr>
              <w:t>45</w:t>
            </w:r>
          </w:p>
        </w:tc>
        <w:tc>
          <w:tcPr>
            <w:tcW w:w="40" w:type="dxa"/>
            <w:vAlign w:val="bottom"/>
            <w:shd w:val="clear" w:color="auto" w:fill="D2EEF5"/>
          </w:tcPr>
          <w:p>
            <w:pPr>
              <w:spacing w:after="0"/>
              <w:rPr>
                <w:sz w:val="18"/>
                <w:szCs w:val="18"/>
                <w:color w:val="auto"/>
              </w:rPr>
            </w:pPr>
          </w:p>
        </w:tc>
        <w:tc>
          <w:tcPr>
            <w:tcW w:w="460" w:type="dxa"/>
            <w:vAlign w:val="bottom"/>
            <w:shd w:val="clear" w:color="auto" w:fill="D2EEF5"/>
          </w:tcPr>
          <w:p>
            <w:pPr>
              <w:spacing w:after="0"/>
              <w:rPr>
                <w:sz w:val="18"/>
                <w:szCs w:val="18"/>
                <w:color w:val="auto"/>
              </w:rPr>
            </w:pPr>
          </w:p>
        </w:tc>
      </w:tr>
      <w:tr>
        <w:trPr>
          <w:trHeight w:val="57"/>
        </w:trPr>
        <w:tc>
          <w:tcPr>
            <w:tcW w:w="880" w:type="dxa"/>
            <w:vAlign w:val="bottom"/>
            <w:tcBorders>
              <w:top w:val="single" w:sz="8" w:color="D2EEF5"/>
            </w:tcBorders>
            <w:shd w:val="clear" w:color="auto" w:fill="D2EEF5"/>
          </w:tcPr>
          <w:p>
            <w:pPr>
              <w:spacing w:after="0"/>
              <w:rPr>
                <w:sz w:val="4"/>
                <w:szCs w:val="4"/>
                <w:color w:val="auto"/>
              </w:rPr>
            </w:pPr>
          </w:p>
        </w:tc>
        <w:tc>
          <w:tcPr>
            <w:tcW w:w="520" w:type="dxa"/>
            <w:vAlign w:val="bottom"/>
            <w:tcBorders>
              <w:top w:val="single" w:sz="8" w:color="D2EEF5"/>
            </w:tcBorders>
            <w:shd w:val="clear" w:color="auto" w:fill="D2EEF5"/>
          </w:tcPr>
          <w:p>
            <w:pPr>
              <w:spacing w:after="0"/>
              <w:rPr>
                <w:sz w:val="4"/>
                <w:szCs w:val="4"/>
                <w:color w:val="auto"/>
              </w:rPr>
            </w:pPr>
          </w:p>
        </w:tc>
        <w:tc>
          <w:tcPr>
            <w:tcW w:w="360" w:type="dxa"/>
            <w:vAlign w:val="bottom"/>
            <w:tcBorders>
              <w:top w:val="single" w:sz="8" w:color="1C2790"/>
            </w:tcBorders>
            <w:shd w:val="clear" w:color="auto" w:fill="D2EEF5"/>
          </w:tcPr>
          <w:p>
            <w:pPr>
              <w:spacing w:after="0"/>
              <w:rPr>
                <w:sz w:val="4"/>
                <w:szCs w:val="4"/>
                <w:color w:val="auto"/>
              </w:rPr>
            </w:pPr>
          </w:p>
        </w:tc>
        <w:tc>
          <w:tcPr>
            <w:tcW w:w="34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6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2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20" w:type="dxa"/>
            <w:vAlign w:val="bottom"/>
            <w:tcBorders>
              <w:top w:val="single" w:sz="8" w:color="1C2790"/>
            </w:tcBorders>
            <w:shd w:val="clear" w:color="auto" w:fill="D2EEF5"/>
          </w:tcPr>
          <w:p>
            <w:pPr>
              <w:spacing w:after="0"/>
              <w:rPr>
                <w:sz w:val="4"/>
                <w:szCs w:val="4"/>
                <w:color w:val="auto"/>
              </w:rPr>
            </w:pPr>
          </w:p>
        </w:tc>
        <w:tc>
          <w:tcPr>
            <w:tcW w:w="340" w:type="dxa"/>
            <w:vAlign w:val="bottom"/>
            <w:tcBorders>
              <w:top w:val="single" w:sz="8" w:color="1C2790"/>
            </w:tcBorders>
            <w:shd w:val="clear" w:color="auto" w:fill="D2EEF5"/>
          </w:tcPr>
          <w:p>
            <w:pPr>
              <w:spacing w:after="0"/>
              <w:rPr>
                <w:sz w:val="4"/>
                <w:szCs w:val="4"/>
                <w:color w:val="auto"/>
              </w:rPr>
            </w:pPr>
          </w:p>
        </w:tc>
        <w:tc>
          <w:tcPr>
            <w:tcW w:w="20" w:type="dxa"/>
            <w:vAlign w:val="bottom"/>
            <w:tcBorders>
              <w:top w:val="single" w:sz="8" w:color="1C2790"/>
            </w:tcBorders>
            <w:shd w:val="clear" w:color="auto" w:fill="D2EEF5"/>
          </w:tcPr>
          <w:p>
            <w:pPr>
              <w:spacing w:after="0"/>
              <w:rPr>
                <w:sz w:val="4"/>
                <w:szCs w:val="4"/>
                <w:color w:val="auto"/>
              </w:rPr>
            </w:pPr>
          </w:p>
        </w:tc>
        <w:tc>
          <w:tcPr>
            <w:tcW w:w="240" w:type="dxa"/>
            <w:vAlign w:val="bottom"/>
            <w:tcBorders>
              <w:top w:val="single" w:sz="8" w:color="1C2790"/>
            </w:tcBorders>
            <w:shd w:val="clear" w:color="auto" w:fill="D2EEF5"/>
          </w:tcPr>
          <w:p>
            <w:pPr>
              <w:spacing w:after="0"/>
              <w:rPr>
                <w:sz w:val="4"/>
                <w:szCs w:val="4"/>
                <w:color w:val="auto"/>
              </w:rPr>
            </w:pPr>
          </w:p>
        </w:tc>
        <w:tc>
          <w:tcPr>
            <w:tcW w:w="24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260" w:type="dxa"/>
            <w:vAlign w:val="bottom"/>
            <w:tcBorders>
              <w:top w:val="single" w:sz="8" w:color="1C2790"/>
            </w:tcBorders>
            <w:shd w:val="clear" w:color="auto" w:fill="D2EEF5"/>
          </w:tcPr>
          <w:p>
            <w:pPr>
              <w:spacing w:after="0"/>
              <w:rPr>
                <w:sz w:val="4"/>
                <w:szCs w:val="4"/>
                <w:color w:val="auto"/>
              </w:rPr>
            </w:pPr>
          </w:p>
        </w:tc>
        <w:tc>
          <w:tcPr>
            <w:tcW w:w="900" w:type="dxa"/>
            <w:vAlign w:val="bottom"/>
            <w:tcBorders>
              <w:top w:val="single" w:sz="8" w:color="1C2790"/>
            </w:tcBorders>
            <w:shd w:val="clear" w:color="auto" w:fill="D2EEF5"/>
          </w:tcPr>
          <w:p>
            <w:pPr>
              <w:spacing w:after="0"/>
              <w:rPr>
                <w:sz w:val="4"/>
                <w:szCs w:val="4"/>
                <w:color w:val="auto"/>
              </w:rPr>
            </w:pPr>
          </w:p>
        </w:tc>
        <w:tc>
          <w:tcPr>
            <w:tcW w:w="340" w:type="dxa"/>
            <w:vAlign w:val="bottom"/>
            <w:tcBorders>
              <w:top w:val="single" w:sz="8" w:color="1C2790"/>
            </w:tcBorders>
            <w:shd w:val="clear" w:color="auto" w:fill="D2EEF5"/>
          </w:tcPr>
          <w:p>
            <w:pPr>
              <w:spacing w:after="0"/>
              <w:rPr>
                <w:sz w:val="4"/>
                <w:szCs w:val="4"/>
                <w:color w:val="auto"/>
              </w:rPr>
            </w:pPr>
          </w:p>
        </w:tc>
        <w:tc>
          <w:tcPr>
            <w:tcW w:w="180" w:type="dxa"/>
            <w:vAlign w:val="bottom"/>
            <w:tcBorders>
              <w:top w:val="single" w:sz="8" w:color="1C2790"/>
            </w:tcBorders>
            <w:shd w:val="clear" w:color="auto" w:fill="D2EEF5"/>
          </w:tcPr>
          <w:p>
            <w:pPr>
              <w:spacing w:after="0"/>
              <w:rPr>
                <w:sz w:val="4"/>
                <w:szCs w:val="4"/>
                <w:color w:val="auto"/>
              </w:rPr>
            </w:pPr>
          </w:p>
        </w:tc>
        <w:tc>
          <w:tcPr>
            <w:tcW w:w="860" w:type="dxa"/>
            <w:vAlign w:val="bottom"/>
            <w:tcBorders>
              <w:top w:val="single" w:sz="8" w:color="1C2790"/>
            </w:tcBorders>
            <w:shd w:val="clear" w:color="auto" w:fill="D2EEF5"/>
          </w:tcPr>
          <w:p>
            <w:pPr>
              <w:spacing w:after="0"/>
              <w:rPr>
                <w:sz w:val="4"/>
                <w:szCs w:val="4"/>
                <w:color w:val="auto"/>
              </w:rPr>
            </w:pPr>
          </w:p>
        </w:tc>
        <w:tc>
          <w:tcPr>
            <w:tcW w:w="300" w:type="dxa"/>
            <w:vAlign w:val="bottom"/>
            <w:tcBorders>
              <w:top w:val="single" w:sz="8" w:color="1C2790"/>
            </w:tcBorders>
            <w:shd w:val="clear" w:color="auto" w:fill="D2EEF5"/>
          </w:tcPr>
          <w:p>
            <w:pPr>
              <w:spacing w:after="0"/>
              <w:rPr>
                <w:sz w:val="4"/>
                <w:szCs w:val="4"/>
                <w:color w:val="auto"/>
              </w:rPr>
            </w:pPr>
          </w:p>
        </w:tc>
        <w:tc>
          <w:tcPr>
            <w:tcW w:w="600" w:type="dxa"/>
            <w:vAlign w:val="bottom"/>
            <w:tcBorders>
              <w:top w:val="single" w:sz="8" w:color="1C2790"/>
            </w:tcBorders>
            <w:shd w:val="clear" w:color="auto" w:fill="D2EEF5"/>
          </w:tcPr>
          <w:p>
            <w:pPr>
              <w:spacing w:after="0"/>
              <w:rPr>
                <w:sz w:val="4"/>
                <w:szCs w:val="4"/>
                <w:color w:val="auto"/>
              </w:rPr>
            </w:pPr>
          </w:p>
        </w:tc>
        <w:tc>
          <w:tcPr>
            <w:tcW w:w="620" w:type="dxa"/>
            <w:vAlign w:val="bottom"/>
            <w:tcBorders>
              <w:top w:val="single" w:sz="8" w:color="1C2790"/>
            </w:tcBorders>
            <w:shd w:val="clear" w:color="auto" w:fill="D2EEF5"/>
          </w:tcPr>
          <w:p>
            <w:pPr>
              <w:spacing w:after="0"/>
              <w:rPr>
                <w:sz w:val="4"/>
                <w:szCs w:val="4"/>
                <w:color w:val="auto"/>
              </w:rPr>
            </w:pPr>
          </w:p>
        </w:tc>
        <w:tc>
          <w:tcPr>
            <w:tcW w:w="1120" w:type="dxa"/>
            <w:vAlign w:val="bottom"/>
            <w:tcBorders>
              <w:top w:val="single" w:sz="8" w:color="1C2790"/>
            </w:tcBorders>
            <w:shd w:val="clear" w:color="auto" w:fill="D2EEF5"/>
          </w:tcPr>
          <w:p>
            <w:pPr>
              <w:spacing w:after="0"/>
              <w:rPr>
                <w:sz w:val="4"/>
                <w:szCs w:val="4"/>
                <w:color w:val="auto"/>
              </w:rPr>
            </w:pPr>
          </w:p>
        </w:tc>
        <w:tc>
          <w:tcPr>
            <w:tcW w:w="300" w:type="dxa"/>
            <w:vAlign w:val="bottom"/>
            <w:tcBorders>
              <w:top w:val="single" w:sz="8" w:color="D2EEF5"/>
            </w:tcBorders>
            <w:shd w:val="clear" w:color="auto" w:fill="D2EEF5"/>
          </w:tcPr>
          <w:p>
            <w:pPr>
              <w:spacing w:after="0"/>
              <w:rPr>
                <w:sz w:val="4"/>
                <w:szCs w:val="4"/>
                <w:color w:val="auto"/>
              </w:rPr>
            </w:pPr>
          </w:p>
        </w:tc>
        <w:tc>
          <w:tcPr>
            <w:tcW w:w="14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440" w:type="dxa"/>
            <w:vAlign w:val="bottom"/>
            <w:tcBorders>
              <w:top w:val="single" w:sz="8" w:color="D2EEF5"/>
            </w:tcBorders>
            <w:shd w:val="clear" w:color="auto" w:fill="D2EEF5"/>
          </w:tcPr>
          <w:p>
            <w:pPr>
              <w:spacing w:after="0"/>
              <w:rPr>
                <w:sz w:val="4"/>
                <w:szCs w:val="4"/>
                <w:color w:val="auto"/>
              </w:rPr>
            </w:pPr>
          </w:p>
        </w:tc>
        <w:tc>
          <w:tcPr>
            <w:tcW w:w="6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00" w:type="dxa"/>
            <w:vAlign w:val="bottom"/>
            <w:tcBorders>
              <w:top w:val="single" w:sz="8" w:color="1C2790"/>
            </w:tcBorders>
            <w:shd w:val="clear" w:color="auto" w:fill="D2EEF5"/>
          </w:tcPr>
          <w:p>
            <w:pPr>
              <w:spacing w:after="0"/>
              <w:rPr>
                <w:sz w:val="4"/>
                <w:szCs w:val="4"/>
                <w:color w:val="auto"/>
              </w:rPr>
            </w:pPr>
          </w:p>
        </w:tc>
        <w:tc>
          <w:tcPr>
            <w:tcW w:w="6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460" w:type="dxa"/>
            <w:vAlign w:val="bottom"/>
            <w:tcBorders>
              <w:top w:val="single" w:sz="8" w:color="D2EEF5"/>
            </w:tcBorders>
            <w:shd w:val="clear" w:color="auto" w:fill="D2EEF5"/>
          </w:tcPr>
          <w:p>
            <w:pPr>
              <w:spacing w:after="0"/>
              <w:rPr>
                <w:sz w:val="4"/>
                <w:szCs w:val="4"/>
                <w:color w:val="auto"/>
              </w:rPr>
            </w:pPr>
          </w:p>
        </w:tc>
      </w:tr>
      <w:tr>
        <w:trPr>
          <w:trHeight w:val="208"/>
        </w:trPr>
        <w:tc>
          <w:tcPr>
            <w:tcW w:w="880" w:type="dxa"/>
            <w:vAlign w:val="bottom"/>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Pr>
          <w:p>
            <w:pPr>
              <w:ind w:left="20"/>
              <w:spacing w:after="0" w:line="207" w:lineRule="exact"/>
              <w:rPr>
                <w:sz w:val="20"/>
                <w:szCs w:val="20"/>
                <w:color w:val="auto"/>
              </w:rPr>
            </w:pPr>
            <w:r>
              <w:rPr>
                <w:rFonts w:ascii="Arial" w:cs="Arial" w:eastAsia="Arial" w:hAnsi="Arial"/>
                <w:sz w:val="20"/>
                <w:szCs w:val="20"/>
                <w:color w:val="auto"/>
              </w:rPr>
              <w:t>7A.</w:t>
            </w:r>
          </w:p>
        </w:tc>
        <w:tc>
          <w:tcPr>
            <w:tcW w:w="7180" w:type="dxa"/>
            <w:vAlign w:val="bottom"/>
            <w:gridSpan w:val="22"/>
          </w:tcPr>
          <w:p>
            <w:pPr>
              <w:spacing w:after="0" w:line="207" w:lineRule="exact"/>
              <w:rPr>
                <w:sz w:val="20"/>
                <w:szCs w:val="20"/>
                <w:color w:val="auto"/>
              </w:rPr>
            </w:pPr>
            <w:r>
              <w:rPr>
                <w:rFonts w:ascii="Arial" w:cs="Arial" w:eastAsia="Arial" w:hAnsi="Arial"/>
                <w:sz w:val="20"/>
                <w:szCs w:val="20"/>
                <w:color w:val="1C2790"/>
              </w:rPr>
              <w:t>Quantitative and Qualitative Disclosures About Market Risk</w:t>
            </w:r>
          </w:p>
        </w:tc>
        <w:tc>
          <w:tcPr>
            <w:tcW w:w="440" w:type="dxa"/>
            <w:vAlign w:val="bottom"/>
            <w:gridSpan w:val="2"/>
          </w:tcPr>
          <w:p>
            <w:pPr>
              <w:spacing w:after="0"/>
              <w:rPr>
                <w:sz w:val="18"/>
                <w:szCs w:val="18"/>
                <w:color w:val="auto"/>
              </w:rPr>
            </w:pPr>
          </w:p>
        </w:tc>
        <w:tc>
          <w:tcPr>
            <w:tcW w:w="740" w:type="dxa"/>
            <w:vAlign w:val="bottom"/>
            <w:gridSpan w:val="6"/>
          </w:tcPr>
          <w:p>
            <w:pPr>
              <w:jc w:val="center"/>
              <w:ind w:left="440"/>
              <w:spacing w:after="0" w:line="207" w:lineRule="exact"/>
              <w:rPr>
                <w:sz w:val="20"/>
                <w:szCs w:val="20"/>
                <w:color w:val="auto"/>
              </w:rPr>
            </w:pPr>
            <w:r>
              <w:rPr>
                <w:rFonts w:ascii="Arial" w:cs="Arial" w:eastAsia="Arial" w:hAnsi="Arial"/>
                <w:sz w:val="20"/>
                <w:szCs w:val="20"/>
                <w:color w:val="1C2790"/>
                <w:w w:val="89"/>
              </w:rPr>
              <w:t>61</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57"/>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2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260" w:type="dxa"/>
            <w:vAlign w:val="bottom"/>
            <w:tcBorders>
              <w:top w:val="single" w:sz="8" w:color="1C2790"/>
            </w:tcBorders>
          </w:tcPr>
          <w:p>
            <w:pPr>
              <w:spacing w:after="0"/>
              <w:rPr>
                <w:sz w:val="4"/>
                <w:szCs w:val="4"/>
                <w:color w:val="auto"/>
              </w:rPr>
            </w:pPr>
          </w:p>
        </w:tc>
        <w:tc>
          <w:tcPr>
            <w:tcW w:w="90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180" w:type="dxa"/>
            <w:vAlign w:val="bottom"/>
            <w:tcBorders>
              <w:top w:val="single" w:sz="8" w:color="1C2790"/>
            </w:tcBorders>
          </w:tcPr>
          <w:p>
            <w:pPr>
              <w:spacing w:after="0"/>
              <w:rPr>
                <w:sz w:val="4"/>
                <w:szCs w:val="4"/>
                <w:color w:val="auto"/>
              </w:rPr>
            </w:pPr>
          </w:p>
        </w:tc>
        <w:tc>
          <w:tcPr>
            <w:tcW w:w="860" w:type="dxa"/>
            <w:vAlign w:val="bottom"/>
            <w:tcBorders>
              <w:top w:val="single" w:sz="8" w:color="1C2790"/>
            </w:tcBorders>
          </w:tcPr>
          <w:p>
            <w:pPr>
              <w:spacing w:after="0"/>
              <w:rPr>
                <w:sz w:val="4"/>
                <w:szCs w:val="4"/>
                <w:color w:val="auto"/>
              </w:rPr>
            </w:pPr>
          </w:p>
        </w:tc>
        <w:tc>
          <w:tcPr>
            <w:tcW w:w="300" w:type="dxa"/>
            <w:vAlign w:val="bottom"/>
            <w:tcBorders>
              <w:top w:val="single" w:sz="8" w:color="1C2790"/>
            </w:tcBorders>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8"/>
        </w:trPr>
        <w:tc>
          <w:tcPr>
            <w:tcW w:w="880" w:type="dxa"/>
            <w:vAlign w:val="bottom"/>
            <w:shd w:val="clear" w:color="auto" w:fill="D2EEF5"/>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shd w:val="clear" w:color="auto" w:fill="D2EEF5"/>
          </w:tcPr>
          <w:p>
            <w:pPr>
              <w:ind w:left="20"/>
              <w:spacing w:after="0" w:line="207" w:lineRule="exact"/>
              <w:rPr>
                <w:sz w:val="20"/>
                <w:szCs w:val="20"/>
                <w:color w:val="auto"/>
              </w:rPr>
            </w:pPr>
            <w:r>
              <w:rPr>
                <w:rFonts w:ascii="Arial" w:cs="Arial" w:eastAsia="Arial" w:hAnsi="Arial"/>
                <w:sz w:val="20"/>
                <w:szCs w:val="20"/>
                <w:color w:val="auto"/>
              </w:rPr>
              <w:t>8.</w:t>
            </w:r>
          </w:p>
        </w:tc>
        <w:tc>
          <w:tcPr>
            <w:tcW w:w="7620" w:type="dxa"/>
            <w:vAlign w:val="bottom"/>
            <w:gridSpan w:val="24"/>
            <w:shd w:val="clear" w:color="auto" w:fill="D2EEF5"/>
          </w:tcPr>
          <w:p>
            <w:pPr>
              <w:spacing w:after="0" w:line="207" w:lineRule="exact"/>
              <w:rPr>
                <w:sz w:val="20"/>
                <w:szCs w:val="20"/>
                <w:color w:val="auto"/>
              </w:rPr>
            </w:pPr>
            <w:r>
              <w:rPr>
                <w:rFonts w:ascii="Arial" w:cs="Arial" w:eastAsia="Arial" w:hAnsi="Arial"/>
                <w:sz w:val="20"/>
                <w:szCs w:val="20"/>
                <w:color w:val="1C2790"/>
              </w:rPr>
              <w:t>Financial Statements and Supplementary Data</w:t>
            </w:r>
          </w:p>
        </w:tc>
        <w:tc>
          <w:tcPr>
            <w:tcW w:w="740" w:type="dxa"/>
            <w:vAlign w:val="bottom"/>
            <w:gridSpan w:val="6"/>
            <w:shd w:val="clear" w:color="auto" w:fill="D2EEF5"/>
          </w:tcPr>
          <w:p>
            <w:pPr>
              <w:jc w:val="center"/>
              <w:ind w:left="440"/>
              <w:spacing w:after="0" w:line="207" w:lineRule="exact"/>
              <w:rPr>
                <w:sz w:val="20"/>
                <w:szCs w:val="20"/>
                <w:color w:val="auto"/>
              </w:rPr>
            </w:pPr>
            <w:r>
              <w:rPr>
                <w:rFonts w:ascii="Arial" w:cs="Arial" w:eastAsia="Arial" w:hAnsi="Arial"/>
                <w:sz w:val="20"/>
                <w:szCs w:val="20"/>
                <w:color w:val="1C2790"/>
                <w:w w:val="89"/>
              </w:rPr>
              <w:t>63</w:t>
            </w:r>
          </w:p>
        </w:tc>
        <w:tc>
          <w:tcPr>
            <w:tcW w:w="40" w:type="dxa"/>
            <w:vAlign w:val="bottom"/>
            <w:shd w:val="clear" w:color="auto" w:fill="D2EEF5"/>
          </w:tcPr>
          <w:p>
            <w:pPr>
              <w:spacing w:after="0"/>
              <w:rPr>
                <w:sz w:val="18"/>
                <w:szCs w:val="18"/>
                <w:color w:val="auto"/>
              </w:rPr>
            </w:pPr>
          </w:p>
        </w:tc>
        <w:tc>
          <w:tcPr>
            <w:tcW w:w="460" w:type="dxa"/>
            <w:vAlign w:val="bottom"/>
            <w:shd w:val="clear" w:color="auto" w:fill="D2EEF5"/>
          </w:tcPr>
          <w:p>
            <w:pPr>
              <w:spacing w:after="0"/>
              <w:rPr>
                <w:sz w:val="18"/>
                <w:szCs w:val="18"/>
                <w:color w:val="auto"/>
              </w:rPr>
            </w:pPr>
          </w:p>
        </w:tc>
      </w:tr>
      <w:tr>
        <w:trPr>
          <w:trHeight w:val="57"/>
        </w:trPr>
        <w:tc>
          <w:tcPr>
            <w:tcW w:w="880" w:type="dxa"/>
            <w:vAlign w:val="bottom"/>
            <w:tcBorders>
              <w:top w:val="single" w:sz="8" w:color="D2EEF5"/>
            </w:tcBorders>
            <w:shd w:val="clear" w:color="auto" w:fill="D2EEF5"/>
          </w:tcPr>
          <w:p>
            <w:pPr>
              <w:spacing w:after="0"/>
              <w:rPr>
                <w:sz w:val="4"/>
                <w:szCs w:val="4"/>
                <w:color w:val="auto"/>
              </w:rPr>
            </w:pPr>
          </w:p>
        </w:tc>
        <w:tc>
          <w:tcPr>
            <w:tcW w:w="520" w:type="dxa"/>
            <w:vAlign w:val="bottom"/>
            <w:tcBorders>
              <w:top w:val="single" w:sz="8" w:color="D2EEF5"/>
            </w:tcBorders>
            <w:shd w:val="clear" w:color="auto" w:fill="D2EEF5"/>
          </w:tcPr>
          <w:p>
            <w:pPr>
              <w:spacing w:after="0"/>
              <w:rPr>
                <w:sz w:val="4"/>
                <w:szCs w:val="4"/>
                <w:color w:val="auto"/>
              </w:rPr>
            </w:pPr>
          </w:p>
        </w:tc>
        <w:tc>
          <w:tcPr>
            <w:tcW w:w="360" w:type="dxa"/>
            <w:vAlign w:val="bottom"/>
            <w:tcBorders>
              <w:top w:val="single" w:sz="8" w:color="1C2790"/>
            </w:tcBorders>
            <w:shd w:val="clear" w:color="auto" w:fill="D2EEF5"/>
          </w:tcPr>
          <w:p>
            <w:pPr>
              <w:spacing w:after="0"/>
              <w:rPr>
                <w:sz w:val="4"/>
                <w:szCs w:val="4"/>
                <w:color w:val="auto"/>
              </w:rPr>
            </w:pPr>
          </w:p>
        </w:tc>
        <w:tc>
          <w:tcPr>
            <w:tcW w:w="34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6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2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20" w:type="dxa"/>
            <w:vAlign w:val="bottom"/>
            <w:tcBorders>
              <w:top w:val="single" w:sz="8" w:color="1C2790"/>
            </w:tcBorders>
            <w:shd w:val="clear" w:color="auto" w:fill="D2EEF5"/>
          </w:tcPr>
          <w:p>
            <w:pPr>
              <w:spacing w:after="0"/>
              <w:rPr>
                <w:sz w:val="4"/>
                <w:szCs w:val="4"/>
                <w:color w:val="auto"/>
              </w:rPr>
            </w:pPr>
          </w:p>
        </w:tc>
        <w:tc>
          <w:tcPr>
            <w:tcW w:w="340" w:type="dxa"/>
            <w:vAlign w:val="bottom"/>
            <w:tcBorders>
              <w:top w:val="single" w:sz="8" w:color="1C2790"/>
            </w:tcBorders>
            <w:shd w:val="clear" w:color="auto" w:fill="D2EEF5"/>
          </w:tcPr>
          <w:p>
            <w:pPr>
              <w:spacing w:after="0"/>
              <w:rPr>
                <w:sz w:val="4"/>
                <w:szCs w:val="4"/>
                <w:color w:val="auto"/>
              </w:rPr>
            </w:pPr>
          </w:p>
        </w:tc>
        <w:tc>
          <w:tcPr>
            <w:tcW w:w="20" w:type="dxa"/>
            <w:vAlign w:val="bottom"/>
            <w:tcBorders>
              <w:top w:val="single" w:sz="8" w:color="1C2790"/>
            </w:tcBorders>
            <w:shd w:val="clear" w:color="auto" w:fill="D2EEF5"/>
          </w:tcPr>
          <w:p>
            <w:pPr>
              <w:spacing w:after="0"/>
              <w:rPr>
                <w:sz w:val="4"/>
                <w:szCs w:val="4"/>
                <w:color w:val="auto"/>
              </w:rPr>
            </w:pPr>
          </w:p>
        </w:tc>
        <w:tc>
          <w:tcPr>
            <w:tcW w:w="240" w:type="dxa"/>
            <w:vAlign w:val="bottom"/>
            <w:tcBorders>
              <w:top w:val="single" w:sz="8" w:color="1C2790"/>
            </w:tcBorders>
            <w:shd w:val="clear" w:color="auto" w:fill="D2EEF5"/>
          </w:tcPr>
          <w:p>
            <w:pPr>
              <w:spacing w:after="0"/>
              <w:rPr>
                <w:sz w:val="4"/>
                <w:szCs w:val="4"/>
                <w:color w:val="auto"/>
              </w:rPr>
            </w:pPr>
          </w:p>
        </w:tc>
        <w:tc>
          <w:tcPr>
            <w:tcW w:w="24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260" w:type="dxa"/>
            <w:vAlign w:val="bottom"/>
            <w:tcBorders>
              <w:top w:val="single" w:sz="8" w:color="1C2790"/>
            </w:tcBorders>
            <w:shd w:val="clear" w:color="auto" w:fill="D2EEF5"/>
          </w:tcPr>
          <w:p>
            <w:pPr>
              <w:spacing w:after="0"/>
              <w:rPr>
                <w:sz w:val="4"/>
                <w:szCs w:val="4"/>
                <w:color w:val="auto"/>
              </w:rPr>
            </w:pPr>
          </w:p>
        </w:tc>
        <w:tc>
          <w:tcPr>
            <w:tcW w:w="900" w:type="dxa"/>
            <w:vAlign w:val="bottom"/>
            <w:tcBorders>
              <w:top w:val="single" w:sz="8" w:color="1C2790"/>
            </w:tcBorders>
            <w:shd w:val="clear" w:color="auto" w:fill="D2EEF5"/>
          </w:tcPr>
          <w:p>
            <w:pPr>
              <w:spacing w:after="0"/>
              <w:rPr>
                <w:sz w:val="4"/>
                <w:szCs w:val="4"/>
                <w:color w:val="auto"/>
              </w:rPr>
            </w:pPr>
          </w:p>
        </w:tc>
        <w:tc>
          <w:tcPr>
            <w:tcW w:w="340" w:type="dxa"/>
            <w:vAlign w:val="bottom"/>
            <w:tcBorders>
              <w:top w:val="single" w:sz="8" w:color="1C2790"/>
            </w:tcBorders>
            <w:shd w:val="clear" w:color="auto" w:fill="D2EEF5"/>
          </w:tcPr>
          <w:p>
            <w:pPr>
              <w:spacing w:after="0"/>
              <w:rPr>
                <w:sz w:val="4"/>
                <w:szCs w:val="4"/>
                <w:color w:val="auto"/>
              </w:rPr>
            </w:pPr>
          </w:p>
        </w:tc>
        <w:tc>
          <w:tcPr>
            <w:tcW w:w="180" w:type="dxa"/>
            <w:vAlign w:val="bottom"/>
            <w:tcBorders>
              <w:top w:val="single" w:sz="8" w:color="1C2790"/>
            </w:tcBorders>
            <w:shd w:val="clear" w:color="auto" w:fill="D2EEF5"/>
          </w:tcPr>
          <w:p>
            <w:pPr>
              <w:spacing w:after="0"/>
              <w:rPr>
                <w:sz w:val="4"/>
                <w:szCs w:val="4"/>
                <w:color w:val="auto"/>
              </w:rPr>
            </w:pPr>
          </w:p>
        </w:tc>
        <w:tc>
          <w:tcPr>
            <w:tcW w:w="860" w:type="dxa"/>
            <w:vAlign w:val="bottom"/>
            <w:tcBorders>
              <w:top w:val="single" w:sz="8" w:color="D2EEF5"/>
            </w:tcBorders>
            <w:shd w:val="clear" w:color="auto" w:fill="D2EEF5"/>
          </w:tcPr>
          <w:p>
            <w:pPr>
              <w:spacing w:after="0"/>
              <w:rPr>
                <w:sz w:val="4"/>
                <w:szCs w:val="4"/>
                <w:color w:val="auto"/>
              </w:rPr>
            </w:pPr>
          </w:p>
        </w:tc>
        <w:tc>
          <w:tcPr>
            <w:tcW w:w="300" w:type="dxa"/>
            <w:vAlign w:val="bottom"/>
            <w:tcBorders>
              <w:top w:val="single" w:sz="8" w:color="D2EEF5"/>
            </w:tcBorders>
            <w:shd w:val="clear" w:color="auto" w:fill="D2EEF5"/>
          </w:tcPr>
          <w:p>
            <w:pPr>
              <w:spacing w:after="0"/>
              <w:rPr>
                <w:sz w:val="4"/>
                <w:szCs w:val="4"/>
                <w:color w:val="auto"/>
              </w:rPr>
            </w:pPr>
          </w:p>
        </w:tc>
        <w:tc>
          <w:tcPr>
            <w:tcW w:w="600" w:type="dxa"/>
            <w:vAlign w:val="bottom"/>
            <w:tcBorders>
              <w:top w:val="single" w:sz="8" w:color="D2EEF5"/>
            </w:tcBorders>
            <w:shd w:val="clear" w:color="auto" w:fill="D2EEF5"/>
          </w:tcPr>
          <w:p>
            <w:pPr>
              <w:spacing w:after="0"/>
              <w:rPr>
                <w:sz w:val="4"/>
                <w:szCs w:val="4"/>
                <w:color w:val="auto"/>
              </w:rPr>
            </w:pPr>
          </w:p>
        </w:tc>
        <w:tc>
          <w:tcPr>
            <w:tcW w:w="620" w:type="dxa"/>
            <w:vAlign w:val="bottom"/>
            <w:tcBorders>
              <w:top w:val="single" w:sz="8" w:color="D2EEF5"/>
            </w:tcBorders>
            <w:shd w:val="clear" w:color="auto" w:fill="D2EEF5"/>
          </w:tcPr>
          <w:p>
            <w:pPr>
              <w:spacing w:after="0"/>
              <w:rPr>
                <w:sz w:val="4"/>
                <w:szCs w:val="4"/>
                <w:color w:val="auto"/>
              </w:rPr>
            </w:pPr>
          </w:p>
        </w:tc>
        <w:tc>
          <w:tcPr>
            <w:tcW w:w="1120" w:type="dxa"/>
            <w:vAlign w:val="bottom"/>
            <w:tcBorders>
              <w:top w:val="single" w:sz="8" w:color="D2EEF5"/>
            </w:tcBorders>
            <w:shd w:val="clear" w:color="auto" w:fill="D2EEF5"/>
          </w:tcPr>
          <w:p>
            <w:pPr>
              <w:spacing w:after="0"/>
              <w:rPr>
                <w:sz w:val="4"/>
                <w:szCs w:val="4"/>
                <w:color w:val="auto"/>
              </w:rPr>
            </w:pPr>
          </w:p>
        </w:tc>
        <w:tc>
          <w:tcPr>
            <w:tcW w:w="300" w:type="dxa"/>
            <w:vAlign w:val="bottom"/>
            <w:tcBorders>
              <w:top w:val="single" w:sz="8" w:color="D2EEF5"/>
            </w:tcBorders>
            <w:shd w:val="clear" w:color="auto" w:fill="D2EEF5"/>
          </w:tcPr>
          <w:p>
            <w:pPr>
              <w:spacing w:after="0"/>
              <w:rPr>
                <w:sz w:val="4"/>
                <w:szCs w:val="4"/>
                <w:color w:val="auto"/>
              </w:rPr>
            </w:pPr>
          </w:p>
        </w:tc>
        <w:tc>
          <w:tcPr>
            <w:tcW w:w="14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440" w:type="dxa"/>
            <w:vAlign w:val="bottom"/>
            <w:tcBorders>
              <w:top w:val="single" w:sz="8" w:color="D2EEF5"/>
            </w:tcBorders>
            <w:shd w:val="clear" w:color="auto" w:fill="D2EEF5"/>
          </w:tcPr>
          <w:p>
            <w:pPr>
              <w:spacing w:after="0"/>
              <w:rPr>
                <w:sz w:val="4"/>
                <w:szCs w:val="4"/>
                <w:color w:val="auto"/>
              </w:rPr>
            </w:pPr>
          </w:p>
        </w:tc>
        <w:tc>
          <w:tcPr>
            <w:tcW w:w="60" w:type="dxa"/>
            <w:vAlign w:val="bottom"/>
            <w:tcBorders>
              <w:top w:val="single" w:sz="8" w:color="D2EEF5"/>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00" w:type="dxa"/>
            <w:vAlign w:val="bottom"/>
            <w:tcBorders>
              <w:top w:val="single" w:sz="8" w:color="1C2790"/>
            </w:tcBorders>
            <w:shd w:val="clear" w:color="auto" w:fill="D2EEF5"/>
          </w:tcPr>
          <w:p>
            <w:pPr>
              <w:spacing w:after="0"/>
              <w:rPr>
                <w:sz w:val="4"/>
                <w:szCs w:val="4"/>
                <w:color w:val="auto"/>
              </w:rPr>
            </w:pPr>
          </w:p>
        </w:tc>
        <w:tc>
          <w:tcPr>
            <w:tcW w:w="6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460" w:type="dxa"/>
            <w:vAlign w:val="bottom"/>
            <w:tcBorders>
              <w:top w:val="single" w:sz="8" w:color="D2EEF5"/>
            </w:tcBorders>
            <w:shd w:val="clear" w:color="auto" w:fill="D2EEF5"/>
          </w:tcPr>
          <w:p>
            <w:pPr>
              <w:spacing w:after="0"/>
              <w:rPr>
                <w:sz w:val="4"/>
                <w:szCs w:val="4"/>
                <w:color w:val="auto"/>
              </w:rPr>
            </w:pPr>
          </w:p>
        </w:tc>
      </w:tr>
      <w:tr>
        <w:trPr>
          <w:trHeight w:val="208"/>
        </w:trPr>
        <w:tc>
          <w:tcPr>
            <w:tcW w:w="880" w:type="dxa"/>
            <w:vAlign w:val="bottom"/>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Pr>
          <w:p>
            <w:pPr>
              <w:ind w:left="20"/>
              <w:spacing w:after="0" w:line="207" w:lineRule="exact"/>
              <w:rPr>
                <w:sz w:val="20"/>
                <w:szCs w:val="20"/>
                <w:color w:val="auto"/>
              </w:rPr>
            </w:pPr>
            <w:r>
              <w:rPr>
                <w:rFonts w:ascii="Arial" w:cs="Arial" w:eastAsia="Arial" w:hAnsi="Arial"/>
                <w:sz w:val="20"/>
                <w:szCs w:val="20"/>
                <w:color w:val="auto"/>
              </w:rPr>
              <w:t>9.</w:t>
            </w:r>
          </w:p>
        </w:tc>
        <w:tc>
          <w:tcPr>
            <w:tcW w:w="7620" w:type="dxa"/>
            <w:vAlign w:val="bottom"/>
            <w:gridSpan w:val="24"/>
          </w:tcPr>
          <w:p>
            <w:pPr>
              <w:spacing w:after="0" w:line="207" w:lineRule="exact"/>
              <w:rPr>
                <w:sz w:val="20"/>
                <w:szCs w:val="20"/>
                <w:color w:val="auto"/>
              </w:rPr>
            </w:pPr>
            <w:r>
              <w:rPr>
                <w:rFonts w:ascii="Arial" w:cs="Arial" w:eastAsia="Arial" w:hAnsi="Arial"/>
                <w:sz w:val="20"/>
                <w:szCs w:val="20"/>
                <w:color w:val="1C2790"/>
                <w:w w:val="95"/>
              </w:rPr>
              <w:t>Changes in and Disagreements with Accountants on Accounting and Financial Disclosure</w:t>
            </w:r>
          </w:p>
        </w:tc>
        <w:tc>
          <w:tcPr>
            <w:tcW w:w="780" w:type="dxa"/>
            <w:vAlign w:val="bottom"/>
            <w:gridSpan w:val="7"/>
          </w:tcPr>
          <w:p>
            <w:pPr>
              <w:jc w:val="center"/>
              <w:ind w:left="380"/>
              <w:spacing w:after="0" w:line="207" w:lineRule="exact"/>
              <w:rPr>
                <w:sz w:val="20"/>
                <w:szCs w:val="20"/>
                <w:color w:val="auto"/>
              </w:rPr>
            </w:pPr>
            <w:r>
              <w:rPr>
                <w:rFonts w:ascii="Arial" w:cs="Arial" w:eastAsia="Arial" w:hAnsi="Arial"/>
                <w:sz w:val="20"/>
                <w:szCs w:val="20"/>
                <w:color w:val="1C2790"/>
                <w:w w:val="89"/>
              </w:rPr>
              <w:t>110</w:t>
            </w:r>
          </w:p>
        </w:tc>
        <w:tc>
          <w:tcPr>
            <w:tcW w:w="460" w:type="dxa"/>
            <w:vAlign w:val="bottom"/>
          </w:tcPr>
          <w:p>
            <w:pPr>
              <w:spacing w:after="0"/>
              <w:rPr>
                <w:sz w:val="18"/>
                <w:szCs w:val="18"/>
                <w:color w:val="auto"/>
              </w:rPr>
            </w:pPr>
          </w:p>
        </w:tc>
      </w:tr>
      <w:tr>
        <w:trPr>
          <w:trHeight w:val="57"/>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2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260" w:type="dxa"/>
            <w:vAlign w:val="bottom"/>
            <w:tcBorders>
              <w:top w:val="single" w:sz="8" w:color="1C2790"/>
            </w:tcBorders>
          </w:tcPr>
          <w:p>
            <w:pPr>
              <w:spacing w:after="0"/>
              <w:rPr>
                <w:sz w:val="4"/>
                <w:szCs w:val="4"/>
                <w:color w:val="auto"/>
              </w:rPr>
            </w:pPr>
          </w:p>
        </w:tc>
        <w:tc>
          <w:tcPr>
            <w:tcW w:w="90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180" w:type="dxa"/>
            <w:vAlign w:val="bottom"/>
            <w:tcBorders>
              <w:top w:val="single" w:sz="8" w:color="1C2790"/>
            </w:tcBorders>
          </w:tcPr>
          <w:p>
            <w:pPr>
              <w:spacing w:after="0"/>
              <w:rPr>
                <w:sz w:val="4"/>
                <w:szCs w:val="4"/>
                <w:color w:val="auto"/>
              </w:rPr>
            </w:pPr>
          </w:p>
        </w:tc>
        <w:tc>
          <w:tcPr>
            <w:tcW w:w="860" w:type="dxa"/>
            <w:vAlign w:val="bottom"/>
            <w:tcBorders>
              <w:top w:val="single" w:sz="8" w:color="1C2790"/>
            </w:tcBorders>
          </w:tcPr>
          <w:p>
            <w:pPr>
              <w:spacing w:after="0"/>
              <w:rPr>
                <w:sz w:val="4"/>
                <w:szCs w:val="4"/>
                <w:color w:val="auto"/>
              </w:rPr>
            </w:pPr>
          </w:p>
        </w:tc>
        <w:tc>
          <w:tcPr>
            <w:tcW w:w="300" w:type="dxa"/>
            <w:vAlign w:val="bottom"/>
            <w:tcBorders>
              <w:top w:val="single" w:sz="8" w:color="1C2790"/>
            </w:tcBorders>
          </w:tcPr>
          <w:p>
            <w:pPr>
              <w:spacing w:after="0"/>
              <w:rPr>
                <w:sz w:val="4"/>
                <w:szCs w:val="4"/>
                <w:color w:val="auto"/>
              </w:rPr>
            </w:pPr>
          </w:p>
        </w:tc>
        <w:tc>
          <w:tcPr>
            <w:tcW w:w="600" w:type="dxa"/>
            <w:vAlign w:val="bottom"/>
            <w:tcBorders>
              <w:top w:val="single" w:sz="8" w:color="1C2790"/>
            </w:tcBorders>
          </w:tcPr>
          <w:p>
            <w:pPr>
              <w:spacing w:after="0"/>
              <w:rPr>
                <w:sz w:val="4"/>
                <w:szCs w:val="4"/>
                <w:color w:val="auto"/>
              </w:rPr>
            </w:pPr>
          </w:p>
        </w:tc>
        <w:tc>
          <w:tcPr>
            <w:tcW w:w="620" w:type="dxa"/>
            <w:vAlign w:val="bottom"/>
            <w:tcBorders>
              <w:top w:val="single" w:sz="8" w:color="1C2790"/>
            </w:tcBorders>
          </w:tcPr>
          <w:p>
            <w:pPr>
              <w:spacing w:after="0"/>
              <w:rPr>
                <w:sz w:val="4"/>
                <w:szCs w:val="4"/>
                <w:color w:val="auto"/>
              </w:rPr>
            </w:pPr>
          </w:p>
        </w:tc>
        <w:tc>
          <w:tcPr>
            <w:tcW w:w="1120" w:type="dxa"/>
            <w:vAlign w:val="bottom"/>
            <w:tcBorders>
              <w:top w:val="single" w:sz="8" w:color="1C2790"/>
            </w:tcBorders>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460" w:type="dxa"/>
            <w:vAlign w:val="bottom"/>
          </w:tcPr>
          <w:p>
            <w:pPr>
              <w:spacing w:after="0"/>
              <w:rPr>
                <w:sz w:val="4"/>
                <w:szCs w:val="4"/>
                <w:color w:val="auto"/>
              </w:rPr>
            </w:pPr>
          </w:p>
        </w:tc>
      </w:tr>
      <w:tr>
        <w:trPr>
          <w:trHeight w:val="265"/>
        </w:trPr>
        <w:tc>
          <w:tcPr>
            <w:tcW w:w="880" w:type="dxa"/>
            <w:vAlign w:val="bottom"/>
            <w:tcBorders>
              <w:bottom w:val="single" w:sz="8" w:color="D2EEF5"/>
            </w:tcBorders>
            <w:shd w:val="clear" w:color="auto" w:fill="D2EEF5"/>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Borders>
              <w:bottom w:val="single" w:sz="8" w:color="D2EEF5"/>
            </w:tcBorders>
            <w:shd w:val="clear" w:color="auto" w:fill="D2EEF5"/>
          </w:tcPr>
          <w:p>
            <w:pPr>
              <w:ind w:left="20"/>
              <w:spacing w:after="0" w:line="207" w:lineRule="exact"/>
              <w:rPr>
                <w:sz w:val="20"/>
                <w:szCs w:val="20"/>
                <w:color w:val="auto"/>
              </w:rPr>
            </w:pPr>
            <w:r>
              <w:rPr>
                <w:rFonts w:ascii="Arial" w:cs="Arial" w:eastAsia="Arial" w:hAnsi="Arial"/>
                <w:sz w:val="20"/>
                <w:szCs w:val="20"/>
                <w:color w:val="auto"/>
              </w:rPr>
              <w:t>9A.</w:t>
            </w:r>
          </w:p>
        </w:tc>
        <w:tc>
          <w:tcPr>
            <w:tcW w:w="1960" w:type="dxa"/>
            <w:vAlign w:val="bottom"/>
            <w:tcBorders>
              <w:bottom w:val="single" w:sz="8" w:color="1C2790"/>
            </w:tcBorders>
            <w:gridSpan w:val="12"/>
            <w:shd w:val="clear" w:color="auto" w:fill="D2EEF5"/>
          </w:tcPr>
          <w:p>
            <w:pPr>
              <w:spacing w:after="0" w:line="207" w:lineRule="exact"/>
              <w:rPr>
                <w:sz w:val="20"/>
                <w:szCs w:val="20"/>
                <w:color w:val="auto"/>
              </w:rPr>
            </w:pPr>
            <w:r>
              <w:rPr>
                <w:rFonts w:ascii="Arial" w:cs="Arial" w:eastAsia="Arial" w:hAnsi="Arial"/>
                <w:sz w:val="20"/>
                <w:szCs w:val="20"/>
                <w:color w:val="1C2790"/>
                <w:w w:val="87"/>
              </w:rPr>
              <w:t>Controls and Procedures</w:t>
            </w:r>
          </w:p>
        </w:tc>
        <w:tc>
          <w:tcPr>
            <w:tcW w:w="5660" w:type="dxa"/>
            <w:vAlign w:val="bottom"/>
            <w:tcBorders>
              <w:bottom w:val="single" w:sz="8" w:color="D2EEF5"/>
            </w:tcBorders>
            <w:gridSpan w:val="12"/>
            <w:shd w:val="clear" w:color="auto" w:fill="D2EEF5"/>
          </w:tcPr>
          <w:p>
            <w:pPr>
              <w:spacing w:after="0"/>
              <w:rPr>
                <w:sz w:val="23"/>
                <w:szCs w:val="23"/>
                <w:color w:val="auto"/>
              </w:rPr>
            </w:pPr>
          </w:p>
        </w:tc>
        <w:tc>
          <w:tcPr>
            <w:tcW w:w="480" w:type="dxa"/>
            <w:vAlign w:val="bottom"/>
            <w:tcBorders>
              <w:bottom w:val="single" w:sz="8" w:color="D2EEF5"/>
            </w:tcBorders>
            <w:gridSpan w:val="2"/>
            <w:shd w:val="clear" w:color="auto" w:fill="D2EEF5"/>
          </w:tcPr>
          <w:p>
            <w:pPr>
              <w:spacing w:after="0"/>
              <w:rPr>
                <w:sz w:val="23"/>
                <w:szCs w:val="23"/>
                <w:color w:val="auto"/>
              </w:rPr>
            </w:pPr>
          </w:p>
        </w:tc>
        <w:tc>
          <w:tcPr>
            <w:tcW w:w="300" w:type="dxa"/>
            <w:vAlign w:val="bottom"/>
            <w:tcBorders>
              <w:bottom w:val="single" w:sz="8" w:color="1C2790"/>
            </w:tcBorders>
            <w:gridSpan w:val="5"/>
            <w:shd w:val="clear" w:color="auto" w:fill="D2EEF5"/>
          </w:tcPr>
          <w:p>
            <w:pPr>
              <w:jc w:val="center"/>
              <w:spacing w:after="0" w:line="207" w:lineRule="exact"/>
              <w:rPr>
                <w:sz w:val="20"/>
                <w:szCs w:val="20"/>
                <w:color w:val="auto"/>
              </w:rPr>
            </w:pPr>
            <w:r>
              <w:rPr>
                <w:rFonts w:ascii="Arial" w:cs="Arial" w:eastAsia="Arial" w:hAnsi="Arial"/>
                <w:sz w:val="20"/>
                <w:szCs w:val="20"/>
                <w:color w:val="1C2790"/>
                <w:w w:val="89"/>
              </w:rPr>
              <w:t>110</w:t>
            </w:r>
          </w:p>
        </w:tc>
        <w:tc>
          <w:tcPr>
            <w:tcW w:w="460" w:type="dxa"/>
            <w:vAlign w:val="bottom"/>
            <w:tcBorders>
              <w:bottom w:val="single" w:sz="8" w:color="D2EEF5"/>
            </w:tcBorders>
            <w:shd w:val="clear" w:color="auto" w:fill="D2EEF5"/>
          </w:tcPr>
          <w:p>
            <w:pPr>
              <w:spacing w:after="0"/>
              <w:rPr>
                <w:sz w:val="23"/>
                <w:szCs w:val="23"/>
                <w:color w:val="auto"/>
              </w:rPr>
            </w:pPr>
          </w:p>
        </w:tc>
      </w:tr>
      <w:tr>
        <w:trPr>
          <w:trHeight w:val="208"/>
        </w:trPr>
        <w:tc>
          <w:tcPr>
            <w:tcW w:w="880" w:type="dxa"/>
            <w:vAlign w:val="bottom"/>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Pr>
          <w:p>
            <w:pPr>
              <w:ind w:left="20"/>
              <w:spacing w:after="0" w:line="207" w:lineRule="exact"/>
              <w:rPr>
                <w:sz w:val="20"/>
                <w:szCs w:val="20"/>
                <w:color w:val="auto"/>
              </w:rPr>
            </w:pPr>
            <w:r>
              <w:rPr>
                <w:rFonts w:ascii="Arial" w:cs="Arial" w:eastAsia="Arial" w:hAnsi="Arial"/>
                <w:sz w:val="20"/>
                <w:szCs w:val="20"/>
                <w:color w:val="auto"/>
              </w:rPr>
              <w:t>9B.</w:t>
            </w:r>
          </w:p>
        </w:tc>
        <w:tc>
          <w:tcPr>
            <w:tcW w:w="7620" w:type="dxa"/>
            <w:vAlign w:val="bottom"/>
            <w:gridSpan w:val="24"/>
          </w:tcPr>
          <w:p>
            <w:pPr>
              <w:spacing w:after="0" w:line="207" w:lineRule="exact"/>
              <w:rPr>
                <w:sz w:val="20"/>
                <w:szCs w:val="20"/>
                <w:color w:val="auto"/>
              </w:rPr>
            </w:pPr>
            <w:r>
              <w:rPr>
                <w:rFonts w:ascii="Arial" w:cs="Arial" w:eastAsia="Arial" w:hAnsi="Arial"/>
                <w:sz w:val="20"/>
                <w:szCs w:val="20"/>
                <w:color w:val="1C2790"/>
              </w:rPr>
              <w:t>Other Information</w:t>
            </w:r>
          </w:p>
        </w:tc>
        <w:tc>
          <w:tcPr>
            <w:tcW w:w="780" w:type="dxa"/>
            <w:vAlign w:val="bottom"/>
            <w:gridSpan w:val="7"/>
          </w:tcPr>
          <w:p>
            <w:pPr>
              <w:jc w:val="center"/>
              <w:ind w:left="380"/>
              <w:spacing w:after="0" w:line="207" w:lineRule="exact"/>
              <w:rPr>
                <w:sz w:val="20"/>
                <w:szCs w:val="20"/>
                <w:color w:val="auto"/>
              </w:rPr>
            </w:pPr>
            <w:r>
              <w:rPr>
                <w:rFonts w:ascii="Arial" w:cs="Arial" w:eastAsia="Arial" w:hAnsi="Arial"/>
                <w:sz w:val="20"/>
                <w:szCs w:val="20"/>
                <w:color w:val="1C2790"/>
                <w:w w:val="89"/>
              </w:rPr>
              <w:t>113</w:t>
            </w:r>
          </w:p>
        </w:tc>
        <w:tc>
          <w:tcPr>
            <w:tcW w:w="460" w:type="dxa"/>
            <w:vAlign w:val="bottom"/>
          </w:tcPr>
          <w:p>
            <w:pPr>
              <w:spacing w:after="0"/>
              <w:rPr>
                <w:sz w:val="18"/>
                <w:szCs w:val="18"/>
                <w:color w:val="auto"/>
              </w:rPr>
            </w:pPr>
          </w:p>
        </w:tc>
      </w:tr>
      <w:tr>
        <w:trPr>
          <w:trHeight w:val="57"/>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460" w:type="dxa"/>
            <w:vAlign w:val="bottom"/>
          </w:tcPr>
          <w:p>
            <w:pPr>
              <w:spacing w:after="0"/>
              <w:rPr>
                <w:sz w:val="4"/>
                <w:szCs w:val="4"/>
                <w:color w:val="auto"/>
              </w:rPr>
            </w:pPr>
          </w:p>
        </w:tc>
      </w:tr>
      <w:tr>
        <w:trPr>
          <w:trHeight w:val="265"/>
        </w:trPr>
        <w:tc>
          <w:tcPr>
            <w:tcW w:w="880" w:type="dxa"/>
            <w:vAlign w:val="bottom"/>
            <w:shd w:val="clear" w:color="auto" w:fill="D2EEF5"/>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shd w:val="clear" w:color="auto" w:fill="D2EEF5"/>
          </w:tcPr>
          <w:p>
            <w:pPr>
              <w:ind w:left="20"/>
              <w:spacing w:after="0" w:line="207" w:lineRule="exact"/>
              <w:rPr>
                <w:sz w:val="20"/>
                <w:szCs w:val="20"/>
                <w:color w:val="auto"/>
              </w:rPr>
            </w:pPr>
            <w:r>
              <w:rPr>
                <w:rFonts w:ascii="Arial" w:cs="Arial" w:eastAsia="Arial" w:hAnsi="Arial"/>
                <w:sz w:val="20"/>
                <w:szCs w:val="20"/>
                <w:color w:val="auto"/>
              </w:rPr>
              <w:t>9C.</w:t>
            </w:r>
          </w:p>
        </w:tc>
        <w:tc>
          <w:tcPr>
            <w:tcW w:w="7620" w:type="dxa"/>
            <w:vAlign w:val="bottom"/>
            <w:gridSpan w:val="24"/>
            <w:shd w:val="clear" w:color="auto" w:fill="D2EEF5"/>
          </w:tcPr>
          <w:p>
            <w:pPr>
              <w:spacing w:after="0" w:line="207" w:lineRule="exact"/>
              <w:rPr>
                <w:sz w:val="20"/>
                <w:szCs w:val="20"/>
                <w:color w:val="auto"/>
              </w:rPr>
            </w:pPr>
            <w:r>
              <w:rPr>
                <w:rFonts w:ascii="Arial" w:cs="Arial" w:eastAsia="Arial" w:hAnsi="Arial"/>
                <w:sz w:val="20"/>
                <w:szCs w:val="20"/>
                <w:color w:val="1C2790"/>
              </w:rPr>
              <w:t>Disclosure Regarding Foreign Jurisdictions that Prevent Inspections</w:t>
            </w:r>
          </w:p>
        </w:tc>
        <w:tc>
          <w:tcPr>
            <w:tcW w:w="780" w:type="dxa"/>
            <w:vAlign w:val="bottom"/>
            <w:gridSpan w:val="7"/>
            <w:shd w:val="clear" w:color="auto" w:fill="D2EEF5"/>
          </w:tcPr>
          <w:p>
            <w:pPr>
              <w:jc w:val="center"/>
              <w:ind w:left="380"/>
              <w:spacing w:after="0" w:line="207" w:lineRule="exact"/>
              <w:rPr>
                <w:sz w:val="20"/>
                <w:szCs w:val="20"/>
                <w:color w:val="auto"/>
              </w:rPr>
            </w:pPr>
            <w:r>
              <w:rPr>
                <w:rFonts w:ascii="Arial" w:cs="Arial" w:eastAsia="Arial" w:hAnsi="Arial"/>
                <w:sz w:val="20"/>
                <w:szCs w:val="20"/>
                <w:color w:val="1C2790"/>
                <w:w w:val="89"/>
              </w:rPr>
              <w:t>113</w:t>
            </w:r>
          </w:p>
        </w:tc>
        <w:tc>
          <w:tcPr>
            <w:tcW w:w="460" w:type="dxa"/>
            <w:vAlign w:val="bottom"/>
            <w:shd w:val="clear" w:color="auto" w:fill="D2EEF5"/>
          </w:tcPr>
          <w:p>
            <w:pPr>
              <w:spacing w:after="0"/>
              <w:rPr>
                <w:sz w:val="23"/>
                <w:szCs w:val="23"/>
                <w:color w:val="auto"/>
              </w:rPr>
            </w:pPr>
          </w:p>
        </w:tc>
      </w:tr>
      <w:tr>
        <w:trPr>
          <w:trHeight w:val="285"/>
        </w:trPr>
        <w:tc>
          <w:tcPr>
            <w:tcW w:w="880" w:type="dxa"/>
            <w:vAlign w:val="bottom"/>
            <w:tcBorders>
              <w:top w:val="single" w:sz="8" w:color="D2EEF5"/>
            </w:tcBorders>
          </w:tcPr>
          <w:p>
            <w:pPr>
              <w:spacing w:after="0"/>
              <w:rPr>
                <w:sz w:val="24"/>
                <w:szCs w:val="24"/>
                <w:color w:val="auto"/>
              </w:rPr>
            </w:pPr>
          </w:p>
        </w:tc>
        <w:tc>
          <w:tcPr>
            <w:tcW w:w="520" w:type="dxa"/>
            <w:vAlign w:val="bottom"/>
            <w:tcBorders>
              <w:top w:val="single" w:sz="8" w:color="D2EEF5"/>
            </w:tcBorders>
          </w:tcPr>
          <w:p>
            <w:pPr>
              <w:spacing w:after="0"/>
              <w:rPr>
                <w:sz w:val="24"/>
                <w:szCs w:val="24"/>
                <w:color w:val="auto"/>
              </w:rPr>
            </w:pPr>
          </w:p>
        </w:tc>
        <w:tc>
          <w:tcPr>
            <w:tcW w:w="360" w:type="dxa"/>
            <w:vAlign w:val="bottom"/>
            <w:tcBorders>
              <w:top w:val="single" w:sz="8" w:color="1C2790"/>
            </w:tcBorders>
          </w:tcPr>
          <w:p>
            <w:pPr>
              <w:spacing w:after="0"/>
              <w:rPr>
                <w:sz w:val="24"/>
                <w:szCs w:val="24"/>
                <w:color w:val="auto"/>
              </w:rPr>
            </w:pPr>
          </w:p>
        </w:tc>
        <w:tc>
          <w:tcPr>
            <w:tcW w:w="340" w:type="dxa"/>
            <w:vAlign w:val="bottom"/>
            <w:tcBorders>
              <w:top w:val="single" w:sz="8" w:color="1C2790"/>
            </w:tcBorders>
          </w:tcPr>
          <w:p>
            <w:pPr>
              <w:spacing w:after="0"/>
              <w:rPr>
                <w:sz w:val="24"/>
                <w:szCs w:val="24"/>
                <w:color w:val="auto"/>
              </w:rPr>
            </w:pPr>
          </w:p>
        </w:tc>
        <w:tc>
          <w:tcPr>
            <w:tcW w:w="40" w:type="dxa"/>
            <w:vAlign w:val="bottom"/>
            <w:tcBorders>
              <w:top w:val="single" w:sz="8" w:color="1C2790"/>
            </w:tcBorders>
          </w:tcPr>
          <w:p>
            <w:pPr>
              <w:spacing w:after="0"/>
              <w:rPr>
                <w:sz w:val="24"/>
                <w:szCs w:val="24"/>
                <w:color w:val="auto"/>
              </w:rPr>
            </w:pPr>
          </w:p>
        </w:tc>
        <w:tc>
          <w:tcPr>
            <w:tcW w:w="60" w:type="dxa"/>
            <w:vAlign w:val="bottom"/>
            <w:tcBorders>
              <w:top w:val="single" w:sz="8" w:color="1C2790"/>
            </w:tcBorders>
          </w:tcPr>
          <w:p>
            <w:pPr>
              <w:spacing w:after="0"/>
              <w:rPr>
                <w:sz w:val="24"/>
                <w:szCs w:val="24"/>
                <w:color w:val="auto"/>
              </w:rPr>
            </w:pPr>
          </w:p>
        </w:tc>
        <w:tc>
          <w:tcPr>
            <w:tcW w:w="40" w:type="dxa"/>
            <w:vAlign w:val="bottom"/>
            <w:tcBorders>
              <w:top w:val="single" w:sz="8" w:color="1C2790"/>
            </w:tcBorders>
          </w:tcPr>
          <w:p>
            <w:pPr>
              <w:spacing w:after="0"/>
              <w:rPr>
                <w:sz w:val="24"/>
                <w:szCs w:val="24"/>
                <w:color w:val="auto"/>
              </w:rPr>
            </w:pPr>
          </w:p>
        </w:tc>
        <w:tc>
          <w:tcPr>
            <w:tcW w:w="120" w:type="dxa"/>
            <w:vAlign w:val="bottom"/>
            <w:tcBorders>
              <w:top w:val="single" w:sz="8" w:color="1C2790"/>
            </w:tcBorders>
          </w:tcPr>
          <w:p>
            <w:pPr>
              <w:spacing w:after="0"/>
              <w:rPr>
                <w:sz w:val="24"/>
                <w:szCs w:val="24"/>
                <w:color w:val="auto"/>
              </w:rPr>
            </w:pPr>
          </w:p>
        </w:tc>
        <w:tc>
          <w:tcPr>
            <w:tcW w:w="40" w:type="dxa"/>
            <w:vAlign w:val="bottom"/>
            <w:tcBorders>
              <w:top w:val="single" w:sz="8" w:color="1C2790"/>
            </w:tcBorders>
          </w:tcPr>
          <w:p>
            <w:pPr>
              <w:spacing w:after="0"/>
              <w:rPr>
                <w:sz w:val="24"/>
                <w:szCs w:val="24"/>
                <w:color w:val="auto"/>
              </w:rPr>
            </w:pPr>
          </w:p>
        </w:tc>
        <w:tc>
          <w:tcPr>
            <w:tcW w:w="120" w:type="dxa"/>
            <w:vAlign w:val="bottom"/>
            <w:tcBorders>
              <w:top w:val="single" w:sz="8" w:color="1C2790"/>
            </w:tcBorders>
          </w:tcPr>
          <w:p>
            <w:pPr>
              <w:spacing w:after="0"/>
              <w:rPr>
                <w:sz w:val="24"/>
                <w:szCs w:val="24"/>
                <w:color w:val="auto"/>
              </w:rPr>
            </w:pPr>
          </w:p>
        </w:tc>
        <w:tc>
          <w:tcPr>
            <w:tcW w:w="340" w:type="dxa"/>
            <w:vAlign w:val="bottom"/>
            <w:tcBorders>
              <w:top w:val="single" w:sz="8" w:color="1C2790"/>
            </w:tcBorders>
          </w:tcPr>
          <w:p>
            <w:pPr>
              <w:spacing w:after="0"/>
              <w:rPr>
                <w:sz w:val="24"/>
                <w:szCs w:val="24"/>
                <w:color w:val="auto"/>
              </w:rPr>
            </w:pPr>
          </w:p>
        </w:tc>
        <w:tc>
          <w:tcPr>
            <w:tcW w:w="20" w:type="dxa"/>
            <w:vAlign w:val="bottom"/>
            <w:tcBorders>
              <w:top w:val="single" w:sz="8" w:color="1C2790"/>
            </w:tcBorders>
          </w:tcPr>
          <w:p>
            <w:pPr>
              <w:spacing w:after="0"/>
              <w:rPr>
                <w:sz w:val="24"/>
                <w:szCs w:val="24"/>
                <w:color w:val="auto"/>
              </w:rPr>
            </w:pPr>
          </w:p>
        </w:tc>
        <w:tc>
          <w:tcPr>
            <w:tcW w:w="240" w:type="dxa"/>
            <w:vAlign w:val="bottom"/>
            <w:tcBorders>
              <w:top w:val="single" w:sz="8" w:color="1C2790"/>
            </w:tcBorders>
          </w:tcPr>
          <w:p>
            <w:pPr>
              <w:spacing w:after="0"/>
              <w:rPr>
                <w:sz w:val="24"/>
                <w:szCs w:val="24"/>
                <w:color w:val="auto"/>
              </w:rPr>
            </w:pPr>
          </w:p>
        </w:tc>
        <w:tc>
          <w:tcPr>
            <w:tcW w:w="240" w:type="dxa"/>
            <w:vAlign w:val="bottom"/>
            <w:tcBorders>
              <w:top w:val="single" w:sz="8" w:color="1C2790"/>
            </w:tcBorders>
          </w:tcPr>
          <w:p>
            <w:pPr>
              <w:spacing w:after="0"/>
              <w:rPr>
                <w:sz w:val="24"/>
                <w:szCs w:val="24"/>
                <w:color w:val="auto"/>
              </w:rPr>
            </w:pPr>
          </w:p>
        </w:tc>
        <w:tc>
          <w:tcPr>
            <w:tcW w:w="40" w:type="dxa"/>
            <w:vAlign w:val="bottom"/>
            <w:tcBorders>
              <w:top w:val="single" w:sz="8" w:color="1C2790"/>
            </w:tcBorders>
          </w:tcPr>
          <w:p>
            <w:pPr>
              <w:spacing w:after="0"/>
              <w:rPr>
                <w:sz w:val="24"/>
                <w:szCs w:val="24"/>
                <w:color w:val="auto"/>
              </w:rPr>
            </w:pPr>
          </w:p>
        </w:tc>
        <w:tc>
          <w:tcPr>
            <w:tcW w:w="260" w:type="dxa"/>
            <w:vAlign w:val="bottom"/>
            <w:tcBorders>
              <w:top w:val="single" w:sz="8" w:color="1C2790"/>
            </w:tcBorders>
          </w:tcPr>
          <w:p>
            <w:pPr>
              <w:spacing w:after="0"/>
              <w:rPr>
                <w:sz w:val="24"/>
                <w:szCs w:val="24"/>
                <w:color w:val="auto"/>
              </w:rPr>
            </w:pPr>
          </w:p>
        </w:tc>
        <w:tc>
          <w:tcPr>
            <w:tcW w:w="900" w:type="dxa"/>
            <w:vAlign w:val="bottom"/>
            <w:tcBorders>
              <w:top w:val="single" w:sz="8" w:color="1C2790"/>
            </w:tcBorders>
          </w:tcPr>
          <w:p>
            <w:pPr>
              <w:spacing w:after="0"/>
              <w:rPr>
                <w:sz w:val="24"/>
                <w:szCs w:val="24"/>
                <w:color w:val="auto"/>
              </w:rPr>
            </w:pPr>
          </w:p>
        </w:tc>
        <w:tc>
          <w:tcPr>
            <w:tcW w:w="340" w:type="dxa"/>
            <w:vAlign w:val="bottom"/>
            <w:tcBorders>
              <w:top w:val="single" w:sz="8" w:color="1C2790"/>
            </w:tcBorders>
          </w:tcPr>
          <w:p>
            <w:pPr>
              <w:spacing w:after="0"/>
              <w:rPr>
                <w:sz w:val="24"/>
                <w:szCs w:val="24"/>
                <w:color w:val="auto"/>
              </w:rPr>
            </w:pPr>
          </w:p>
        </w:tc>
        <w:tc>
          <w:tcPr>
            <w:tcW w:w="180" w:type="dxa"/>
            <w:vAlign w:val="bottom"/>
            <w:tcBorders>
              <w:top w:val="single" w:sz="8" w:color="1C2790"/>
            </w:tcBorders>
          </w:tcPr>
          <w:p>
            <w:pPr>
              <w:spacing w:after="0"/>
              <w:rPr>
                <w:sz w:val="24"/>
                <w:szCs w:val="24"/>
                <w:color w:val="auto"/>
              </w:rPr>
            </w:pPr>
          </w:p>
        </w:tc>
        <w:tc>
          <w:tcPr>
            <w:tcW w:w="860" w:type="dxa"/>
            <w:vAlign w:val="bottom"/>
            <w:tcBorders>
              <w:top w:val="single" w:sz="8" w:color="1C2790"/>
            </w:tcBorders>
          </w:tcPr>
          <w:p>
            <w:pPr>
              <w:spacing w:after="0"/>
              <w:rPr>
                <w:sz w:val="24"/>
                <w:szCs w:val="24"/>
                <w:color w:val="auto"/>
              </w:rPr>
            </w:pPr>
          </w:p>
        </w:tc>
        <w:tc>
          <w:tcPr>
            <w:tcW w:w="300" w:type="dxa"/>
            <w:vAlign w:val="bottom"/>
            <w:tcBorders>
              <w:top w:val="single" w:sz="8" w:color="1C2790"/>
            </w:tcBorders>
          </w:tcPr>
          <w:p>
            <w:pPr>
              <w:spacing w:after="0"/>
              <w:rPr>
                <w:sz w:val="24"/>
                <w:szCs w:val="24"/>
                <w:color w:val="auto"/>
              </w:rPr>
            </w:pPr>
          </w:p>
        </w:tc>
        <w:tc>
          <w:tcPr>
            <w:tcW w:w="600" w:type="dxa"/>
            <w:vAlign w:val="bottom"/>
            <w:tcBorders>
              <w:top w:val="single" w:sz="8" w:color="1C2790"/>
            </w:tcBorders>
          </w:tcPr>
          <w:p>
            <w:pPr>
              <w:spacing w:after="0"/>
              <w:rPr>
                <w:sz w:val="24"/>
                <w:szCs w:val="24"/>
                <w:color w:val="auto"/>
              </w:rPr>
            </w:pPr>
          </w:p>
        </w:tc>
        <w:tc>
          <w:tcPr>
            <w:tcW w:w="620" w:type="dxa"/>
            <w:vAlign w:val="bottom"/>
            <w:tcBorders>
              <w:top w:val="single" w:sz="8" w:color="D2EEF5"/>
            </w:tcBorders>
          </w:tcPr>
          <w:p>
            <w:pPr>
              <w:spacing w:after="0"/>
              <w:rPr>
                <w:sz w:val="24"/>
                <w:szCs w:val="24"/>
                <w:color w:val="auto"/>
              </w:rPr>
            </w:pPr>
          </w:p>
        </w:tc>
        <w:tc>
          <w:tcPr>
            <w:tcW w:w="1120" w:type="dxa"/>
            <w:vAlign w:val="bottom"/>
            <w:tcBorders>
              <w:top w:val="single" w:sz="8" w:color="D2EEF5"/>
            </w:tcBorders>
          </w:tcPr>
          <w:p>
            <w:pPr>
              <w:spacing w:after="0"/>
              <w:rPr>
                <w:sz w:val="24"/>
                <w:szCs w:val="24"/>
                <w:color w:val="auto"/>
              </w:rPr>
            </w:pPr>
          </w:p>
        </w:tc>
        <w:tc>
          <w:tcPr>
            <w:tcW w:w="300" w:type="dxa"/>
            <w:vAlign w:val="bottom"/>
            <w:tcBorders>
              <w:top w:val="single" w:sz="8" w:color="D2EEF5"/>
            </w:tcBorders>
          </w:tcPr>
          <w:p>
            <w:pPr>
              <w:spacing w:after="0"/>
              <w:rPr>
                <w:sz w:val="24"/>
                <w:szCs w:val="24"/>
                <w:color w:val="auto"/>
              </w:rPr>
            </w:pPr>
          </w:p>
        </w:tc>
        <w:tc>
          <w:tcPr>
            <w:tcW w:w="140" w:type="dxa"/>
            <w:vAlign w:val="bottom"/>
            <w:tcBorders>
              <w:top w:val="single" w:sz="8" w:color="D2EEF5"/>
            </w:tcBorders>
          </w:tcPr>
          <w:p>
            <w:pPr>
              <w:spacing w:after="0"/>
              <w:rPr>
                <w:sz w:val="24"/>
                <w:szCs w:val="24"/>
                <w:color w:val="auto"/>
              </w:rPr>
            </w:pPr>
          </w:p>
        </w:tc>
        <w:tc>
          <w:tcPr>
            <w:tcW w:w="40" w:type="dxa"/>
            <w:vAlign w:val="bottom"/>
            <w:tcBorders>
              <w:top w:val="single" w:sz="8" w:color="D2EEF5"/>
            </w:tcBorders>
          </w:tcPr>
          <w:p>
            <w:pPr>
              <w:spacing w:after="0"/>
              <w:rPr>
                <w:sz w:val="24"/>
                <w:szCs w:val="24"/>
                <w:color w:val="auto"/>
              </w:rPr>
            </w:pPr>
          </w:p>
        </w:tc>
        <w:tc>
          <w:tcPr>
            <w:tcW w:w="440" w:type="dxa"/>
            <w:vAlign w:val="bottom"/>
            <w:tcBorders>
              <w:top w:val="single" w:sz="8" w:color="D2EEF5"/>
            </w:tcBorders>
          </w:tcPr>
          <w:p>
            <w:pPr>
              <w:spacing w:after="0"/>
              <w:rPr>
                <w:sz w:val="24"/>
                <w:szCs w:val="24"/>
                <w:color w:val="auto"/>
              </w:rPr>
            </w:pPr>
          </w:p>
        </w:tc>
        <w:tc>
          <w:tcPr>
            <w:tcW w:w="60" w:type="dxa"/>
            <w:vAlign w:val="bottom"/>
            <w:tcBorders>
              <w:top w:val="single" w:sz="8" w:color="1C2790"/>
            </w:tcBorders>
          </w:tcPr>
          <w:p>
            <w:pPr>
              <w:spacing w:after="0"/>
              <w:rPr>
                <w:sz w:val="24"/>
                <w:szCs w:val="24"/>
                <w:color w:val="auto"/>
              </w:rPr>
            </w:pPr>
          </w:p>
        </w:tc>
        <w:tc>
          <w:tcPr>
            <w:tcW w:w="40" w:type="dxa"/>
            <w:vAlign w:val="bottom"/>
            <w:tcBorders>
              <w:top w:val="single" w:sz="8" w:color="1C2790"/>
            </w:tcBorders>
          </w:tcPr>
          <w:p>
            <w:pPr>
              <w:spacing w:after="0"/>
              <w:rPr>
                <w:sz w:val="24"/>
                <w:szCs w:val="24"/>
                <w:color w:val="auto"/>
              </w:rPr>
            </w:pPr>
          </w:p>
        </w:tc>
        <w:tc>
          <w:tcPr>
            <w:tcW w:w="100" w:type="dxa"/>
            <w:vAlign w:val="bottom"/>
            <w:tcBorders>
              <w:top w:val="single" w:sz="8" w:color="1C2790"/>
            </w:tcBorders>
          </w:tcPr>
          <w:p>
            <w:pPr>
              <w:spacing w:after="0"/>
              <w:rPr>
                <w:sz w:val="24"/>
                <w:szCs w:val="24"/>
                <w:color w:val="auto"/>
              </w:rPr>
            </w:pPr>
          </w:p>
        </w:tc>
        <w:tc>
          <w:tcPr>
            <w:tcW w:w="60" w:type="dxa"/>
            <w:vAlign w:val="bottom"/>
            <w:tcBorders>
              <w:top w:val="single" w:sz="8" w:color="1C2790"/>
            </w:tcBorders>
          </w:tcPr>
          <w:p>
            <w:pPr>
              <w:spacing w:after="0"/>
              <w:rPr>
                <w:sz w:val="24"/>
                <w:szCs w:val="24"/>
                <w:color w:val="auto"/>
              </w:rPr>
            </w:pPr>
          </w:p>
        </w:tc>
        <w:tc>
          <w:tcPr>
            <w:tcW w:w="40" w:type="dxa"/>
            <w:vAlign w:val="bottom"/>
            <w:tcBorders>
              <w:top w:val="single" w:sz="8" w:color="1C2790"/>
            </w:tcBorders>
          </w:tcPr>
          <w:p>
            <w:pPr>
              <w:spacing w:after="0"/>
              <w:rPr>
                <w:sz w:val="24"/>
                <w:szCs w:val="24"/>
                <w:color w:val="auto"/>
              </w:rPr>
            </w:pPr>
          </w:p>
        </w:tc>
        <w:tc>
          <w:tcPr>
            <w:tcW w:w="460" w:type="dxa"/>
            <w:vAlign w:val="bottom"/>
            <w:tcBorders>
              <w:top w:val="single" w:sz="8" w:color="D2EEF5"/>
            </w:tcBorders>
          </w:tcPr>
          <w:p>
            <w:pPr>
              <w:spacing w:after="0"/>
              <w:rPr>
                <w:sz w:val="24"/>
                <w:szCs w:val="24"/>
                <w:color w:val="auto"/>
              </w:rPr>
            </w:pPr>
          </w:p>
        </w:tc>
      </w:tr>
      <w:tr>
        <w:trPr>
          <w:trHeight w:val="285"/>
        </w:trPr>
        <w:tc>
          <w:tcPr>
            <w:tcW w:w="88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PART III</w:t>
            </w:r>
          </w:p>
        </w:tc>
        <w:tc>
          <w:tcPr>
            <w:tcW w:w="520" w:type="dxa"/>
            <w:vAlign w:val="bottom"/>
            <w:shd w:val="clear" w:color="auto" w:fill="D2EEF5"/>
          </w:tcPr>
          <w:p>
            <w:pPr>
              <w:spacing w:after="0"/>
              <w:rPr>
                <w:sz w:val="24"/>
                <w:szCs w:val="24"/>
                <w:color w:val="auto"/>
              </w:rPr>
            </w:pPr>
          </w:p>
        </w:tc>
        <w:tc>
          <w:tcPr>
            <w:tcW w:w="36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0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86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600" w:type="dxa"/>
            <w:vAlign w:val="bottom"/>
            <w:shd w:val="clear" w:color="auto" w:fill="D2EEF5"/>
          </w:tcPr>
          <w:p>
            <w:pPr>
              <w:spacing w:after="0"/>
              <w:rPr>
                <w:sz w:val="24"/>
                <w:szCs w:val="24"/>
                <w:color w:val="auto"/>
              </w:rPr>
            </w:pPr>
          </w:p>
        </w:tc>
        <w:tc>
          <w:tcPr>
            <w:tcW w:w="620" w:type="dxa"/>
            <w:vAlign w:val="bottom"/>
            <w:shd w:val="clear" w:color="auto" w:fill="D2EEF5"/>
          </w:tcPr>
          <w:p>
            <w:pPr>
              <w:spacing w:after="0"/>
              <w:rPr>
                <w:sz w:val="24"/>
                <w:szCs w:val="24"/>
                <w:color w:val="auto"/>
              </w:rPr>
            </w:pPr>
          </w:p>
        </w:tc>
        <w:tc>
          <w:tcPr>
            <w:tcW w:w="112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4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0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460" w:type="dxa"/>
            <w:vAlign w:val="bottom"/>
            <w:shd w:val="clear" w:color="auto" w:fill="D2EEF5"/>
          </w:tcPr>
          <w:p>
            <w:pPr>
              <w:spacing w:after="0"/>
              <w:rPr>
                <w:sz w:val="24"/>
                <w:szCs w:val="24"/>
                <w:color w:val="auto"/>
              </w:rPr>
            </w:pPr>
          </w:p>
        </w:tc>
      </w:tr>
      <w:tr>
        <w:trPr>
          <w:trHeight w:val="208"/>
        </w:trPr>
        <w:tc>
          <w:tcPr>
            <w:tcW w:w="880" w:type="dxa"/>
            <w:vAlign w:val="bottom"/>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Pr>
          <w:p>
            <w:pPr>
              <w:ind w:left="20"/>
              <w:spacing w:after="0" w:line="207" w:lineRule="exact"/>
              <w:rPr>
                <w:sz w:val="20"/>
                <w:szCs w:val="20"/>
                <w:color w:val="auto"/>
              </w:rPr>
            </w:pPr>
            <w:r>
              <w:rPr>
                <w:rFonts w:ascii="Arial" w:cs="Arial" w:eastAsia="Arial" w:hAnsi="Arial"/>
                <w:sz w:val="20"/>
                <w:szCs w:val="20"/>
                <w:color w:val="auto"/>
              </w:rPr>
              <w:t>10.</w:t>
            </w:r>
          </w:p>
        </w:tc>
        <w:tc>
          <w:tcPr>
            <w:tcW w:w="7620" w:type="dxa"/>
            <w:vAlign w:val="bottom"/>
            <w:gridSpan w:val="24"/>
          </w:tcPr>
          <w:p>
            <w:pPr>
              <w:spacing w:after="0" w:line="207" w:lineRule="exact"/>
              <w:rPr>
                <w:sz w:val="20"/>
                <w:szCs w:val="20"/>
                <w:color w:val="auto"/>
              </w:rPr>
            </w:pPr>
            <w:r>
              <w:rPr>
                <w:rFonts w:ascii="Arial" w:cs="Arial" w:eastAsia="Arial" w:hAnsi="Arial"/>
                <w:sz w:val="20"/>
                <w:szCs w:val="20"/>
                <w:color w:val="1C2790"/>
              </w:rPr>
              <w:t>Directors, Executive Officers and Corporate Governance</w:t>
            </w:r>
          </w:p>
        </w:tc>
        <w:tc>
          <w:tcPr>
            <w:tcW w:w="780" w:type="dxa"/>
            <w:vAlign w:val="bottom"/>
            <w:gridSpan w:val="7"/>
          </w:tcPr>
          <w:p>
            <w:pPr>
              <w:jc w:val="center"/>
              <w:ind w:left="380"/>
              <w:spacing w:after="0" w:line="207" w:lineRule="exact"/>
              <w:rPr>
                <w:sz w:val="20"/>
                <w:szCs w:val="20"/>
                <w:color w:val="auto"/>
              </w:rPr>
            </w:pPr>
            <w:r>
              <w:rPr>
                <w:rFonts w:ascii="Arial" w:cs="Arial" w:eastAsia="Arial" w:hAnsi="Arial"/>
                <w:sz w:val="20"/>
                <w:szCs w:val="20"/>
                <w:color w:val="1C2790"/>
                <w:w w:val="89"/>
              </w:rPr>
              <w:t>114</w:t>
            </w:r>
          </w:p>
        </w:tc>
        <w:tc>
          <w:tcPr>
            <w:tcW w:w="460" w:type="dxa"/>
            <w:vAlign w:val="bottom"/>
          </w:tcPr>
          <w:p>
            <w:pPr>
              <w:spacing w:after="0"/>
              <w:rPr>
                <w:sz w:val="18"/>
                <w:szCs w:val="18"/>
                <w:color w:val="auto"/>
              </w:rPr>
            </w:pPr>
          </w:p>
        </w:tc>
      </w:tr>
      <w:tr>
        <w:trPr>
          <w:trHeight w:val="57"/>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2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260" w:type="dxa"/>
            <w:vAlign w:val="bottom"/>
            <w:tcBorders>
              <w:top w:val="single" w:sz="8" w:color="1C2790"/>
            </w:tcBorders>
          </w:tcPr>
          <w:p>
            <w:pPr>
              <w:spacing w:after="0"/>
              <w:rPr>
                <w:sz w:val="4"/>
                <w:szCs w:val="4"/>
                <w:color w:val="auto"/>
              </w:rPr>
            </w:pPr>
          </w:p>
        </w:tc>
        <w:tc>
          <w:tcPr>
            <w:tcW w:w="90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180" w:type="dxa"/>
            <w:vAlign w:val="bottom"/>
            <w:tcBorders>
              <w:top w:val="single" w:sz="8" w:color="1C2790"/>
            </w:tcBorders>
          </w:tcPr>
          <w:p>
            <w:pPr>
              <w:spacing w:after="0"/>
              <w:rPr>
                <w:sz w:val="4"/>
                <w:szCs w:val="4"/>
                <w:color w:val="auto"/>
              </w:rPr>
            </w:pPr>
          </w:p>
        </w:tc>
        <w:tc>
          <w:tcPr>
            <w:tcW w:w="860" w:type="dxa"/>
            <w:vAlign w:val="bottom"/>
            <w:tcBorders>
              <w:top w:val="single" w:sz="8" w:color="1C2790"/>
            </w:tcBorders>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460" w:type="dxa"/>
            <w:vAlign w:val="bottom"/>
          </w:tcPr>
          <w:p>
            <w:pPr>
              <w:spacing w:after="0"/>
              <w:rPr>
                <w:sz w:val="4"/>
                <w:szCs w:val="4"/>
                <w:color w:val="auto"/>
              </w:rPr>
            </w:pPr>
          </w:p>
        </w:tc>
      </w:tr>
      <w:tr>
        <w:trPr>
          <w:trHeight w:val="265"/>
        </w:trPr>
        <w:tc>
          <w:tcPr>
            <w:tcW w:w="880" w:type="dxa"/>
            <w:vAlign w:val="bottom"/>
            <w:tcBorders>
              <w:bottom w:val="single" w:sz="8" w:color="D2EEF5"/>
            </w:tcBorders>
            <w:shd w:val="clear" w:color="auto" w:fill="D2EEF5"/>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Borders>
              <w:bottom w:val="single" w:sz="8" w:color="D2EEF5"/>
            </w:tcBorders>
            <w:shd w:val="clear" w:color="auto" w:fill="D2EEF5"/>
          </w:tcPr>
          <w:p>
            <w:pPr>
              <w:ind w:left="20"/>
              <w:spacing w:after="0" w:line="207" w:lineRule="exact"/>
              <w:rPr>
                <w:sz w:val="20"/>
                <w:szCs w:val="20"/>
                <w:color w:val="auto"/>
              </w:rPr>
            </w:pPr>
            <w:r>
              <w:rPr>
                <w:rFonts w:ascii="Arial" w:cs="Arial" w:eastAsia="Arial" w:hAnsi="Arial"/>
                <w:sz w:val="20"/>
                <w:szCs w:val="20"/>
                <w:color w:val="auto"/>
              </w:rPr>
              <w:t>11.</w:t>
            </w:r>
          </w:p>
        </w:tc>
        <w:tc>
          <w:tcPr>
            <w:tcW w:w="2000" w:type="dxa"/>
            <w:vAlign w:val="bottom"/>
            <w:tcBorders>
              <w:bottom w:val="single" w:sz="8" w:color="1C2790"/>
            </w:tcBorders>
            <w:gridSpan w:val="13"/>
            <w:shd w:val="clear" w:color="auto" w:fill="D2EEF5"/>
          </w:tcPr>
          <w:p>
            <w:pPr>
              <w:spacing w:after="0" w:line="207" w:lineRule="exact"/>
              <w:rPr>
                <w:sz w:val="20"/>
                <w:szCs w:val="20"/>
                <w:color w:val="auto"/>
              </w:rPr>
            </w:pPr>
            <w:r>
              <w:rPr>
                <w:rFonts w:ascii="Arial" w:cs="Arial" w:eastAsia="Arial" w:hAnsi="Arial"/>
                <w:sz w:val="20"/>
                <w:szCs w:val="20"/>
                <w:color w:val="1C2790"/>
                <w:w w:val="89"/>
              </w:rPr>
              <w:t>Executive Compensation</w:t>
            </w:r>
          </w:p>
        </w:tc>
        <w:tc>
          <w:tcPr>
            <w:tcW w:w="5620" w:type="dxa"/>
            <w:vAlign w:val="bottom"/>
            <w:tcBorders>
              <w:bottom w:val="single" w:sz="8" w:color="D2EEF5"/>
            </w:tcBorders>
            <w:gridSpan w:val="11"/>
            <w:shd w:val="clear" w:color="auto" w:fill="D2EEF5"/>
          </w:tcPr>
          <w:p>
            <w:pPr>
              <w:spacing w:after="0"/>
              <w:rPr>
                <w:sz w:val="23"/>
                <w:szCs w:val="23"/>
                <w:color w:val="auto"/>
              </w:rPr>
            </w:pPr>
          </w:p>
        </w:tc>
        <w:tc>
          <w:tcPr>
            <w:tcW w:w="480" w:type="dxa"/>
            <w:vAlign w:val="bottom"/>
            <w:tcBorders>
              <w:bottom w:val="single" w:sz="8" w:color="D2EEF5"/>
            </w:tcBorders>
            <w:gridSpan w:val="2"/>
            <w:shd w:val="clear" w:color="auto" w:fill="D2EEF5"/>
          </w:tcPr>
          <w:p>
            <w:pPr>
              <w:spacing w:after="0"/>
              <w:rPr>
                <w:sz w:val="23"/>
                <w:szCs w:val="23"/>
                <w:color w:val="auto"/>
              </w:rPr>
            </w:pPr>
          </w:p>
        </w:tc>
        <w:tc>
          <w:tcPr>
            <w:tcW w:w="300" w:type="dxa"/>
            <w:vAlign w:val="bottom"/>
            <w:tcBorders>
              <w:bottom w:val="single" w:sz="8" w:color="1C2790"/>
            </w:tcBorders>
            <w:gridSpan w:val="5"/>
            <w:shd w:val="clear" w:color="auto" w:fill="D2EEF5"/>
          </w:tcPr>
          <w:p>
            <w:pPr>
              <w:jc w:val="center"/>
              <w:spacing w:after="0" w:line="207" w:lineRule="exact"/>
              <w:rPr>
                <w:sz w:val="20"/>
                <w:szCs w:val="20"/>
                <w:color w:val="auto"/>
              </w:rPr>
            </w:pPr>
            <w:r>
              <w:rPr>
                <w:rFonts w:ascii="Arial" w:cs="Arial" w:eastAsia="Arial" w:hAnsi="Arial"/>
                <w:sz w:val="20"/>
                <w:szCs w:val="20"/>
                <w:color w:val="1C2790"/>
                <w:w w:val="89"/>
              </w:rPr>
              <w:t>115</w:t>
            </w:r>
          </w:p>
        </w:tc>
        <w:tc>
          <w:tcPr>
            <w:tcW w:w="460" w:type="dxa"/>
            <w:vAlign w:val="bottom"/>
            <w:tcBorders>
              <w:bottom w:val="single" w:sz="8" w:color="D2EEF5"/>
            </w:tcBorders>
            <w:shd w:val="clear" w:color="auto" w:fill="D2EEF5"/>
          </w:tcPr>
          <w:p>
            <w:pPr>
              <w:spacing w:after="0"/>
              <w:rPr>
                <w:sz w:val="23"/>
                <w:szCs w:val="23"/>
                <w:color w:val="auto"/>
              </w:rPr>
            </w:pPr>
          </w:p>
        </w:tc>
      </w:tr>
      <w:tr>
        <w:trPr>
          <w:trHeight w:val="208"/>
        </w:trPr>
        <w:tc>
          <w:tcPr>
            <w:tcW w:w="880" w:type="dxa"/>
            <w:vAlign w:val="bottom"/>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Pr>
          <w:p>
            <w:pPr>
              <w:ind w:left="20"/>
              <w:spacing w:after="0" w:line="207" w:lineRule="exact"/>
              <w:rPr>
                <w:sz w:val="20"/>
                <w:szCs w:val="20"/>
                <w:color w:val="auto"/>
              </w:rPr>
            </w:pPr>
            <w:r>
              <w:rPr>
                <w:rFonts w:ascii="Arial" w:cs="Arial" w:eastAsia="Arial" w:hAnsi="Arial"/>
                <w:sz w:val="20"/>
                <w:szCs w:val="20"/>
                <w:color w:val="auto"/>
              </w:rPr>
              <w:t>12.</w:t>
            </w:r>
          </w:p>
        </w:tc>
        <w:tc>
          <w:tcPr>
            <w:tcW w:w="7480" w:type="dxa"/>
            <w:vAlign w:val="bottom"/>
            <w:tcBorders>
              <w:bottom w:val="single" w:sz="8" w:color="1C2790"/>
            </w:tcBorders>
            <w:gridSpan w:val="23"/>
          </w:tcPr>
          <w:p>
            <w:pPr>
              <w:spacing w:after="0" w:line="207" w:lineRule="exact"/>
              <w:rPr>
                <w:sz w:val="20"/>
                <w:szCs w:val="20"/>
                <w:color w:val="auto"/>
              </w:rPr>
            </w:pPr>
            <w:r>
              <w:rPr>
                <w:rFonts w:ascii="Arial" w:cs="Arial" w:eastAsia="Arial" w:hAnsi="Arial"/>
                <w:sz w:val="20"/>
                <w:szCs w:val="20"/>
                <w:color w:val="1C2790"/>
                <w:w w:val="91"/>
              </w:rPr>
              <w:t>Security Ownership of Certain Beneficial Owners and Management and Related Stockholder</w:t>
            </w:r>
          </w:p>
        </w:tc>
        <w:tc>
          <w:tcPr>
            <w:tcW w:w="1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300" w:type="dxa"/>
            <w:vAlign w:val="bottom"/>
            <w:tcBorders>
              <w:bottom w:val="single" w:sz="8" w:color="1C2790"/>
            </w:tcBorders>
            <w:gridSpan w:val="5"/>
          </w:tcPr>
          <w:p>
            <w:pPr>
              <w:jc w:val="center"/>
              <w:spacing w:after="0" w:line="207" w:lineRule="exact"/>
              <w:rPr>
                <w:sz w:val="20"/>
                <w:szCs w:val="20"/>
                <w:color w:val="auto"/>
              </w:rPr>
            </w:pPr>
            <w:r>
              <w:rPr>
                <w:rFonts w:ascii="Arial" w:cs="Arial" w:eastAsia="Arial" w:hAnsi="Arial"/>
                <w:sz w:val="20"/>
                <w:szCs w:val="20"/>
                <w:color w:val="1C2790"/>
                <w:w w:val="89"/>
              </w:rPr>
              <w:t>115</w:t>
            </w:r>
          </w:p>
        </w:tc>
        <w:tc>
          <w:tcPr>
            <w:tcW w:w="460" w:type="dxa"/>
            <w:vAlign w:val="bottom"/>
          </w:tcPr>
          <w:p>
            <w:pPr>
              <w:spacing w:after="0"/>
              <w:rPr>
                <w:sz w:val="18"/>
                <w:szCs w:val="18"/>
                <w:color w:val="auto"/>
              </w:rPr>
            </w:pPr>
          </w:p>
        </w:tc>
      </w:tr>
      <w:tr>
        <w:trPr>
          <w:trHeight w:val="220"/>
        </w:trPr>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60" w:type="dxa"/>
            <w:vAlign w:val="bottom"/>
            <w:gridSpan w:val="23"/>
          </w:tcPr>
          <w:p>
            <w:pPr>
              <w:spacing w:after="0" w:line="220" w:lineRule="exact"/>
              <w:rPr>
                <w:sz w:val="20"/>
                <w:szCs w:val="20"/>
                <w:color w:val="auto"/>
              </w:rPr>
            </w:pPr>
            <w:r>
              <w:rPr>
                <w:rFonts w:ascii="Arial" w:cs="Arial" w:eastAsia="Arial" w:hAnsi="Arial"/>
                <w:sz w:val="20"/>
                <w:szCs w:val="20"/>
                <w:color w:val="1C2790"/>
              </w:rPr>
              <w:t>Matters</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57"/>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65"/>
        </w:trPr>
        <w:tc>
          <w:tcPr>
            <w:tcW w:w="880" w:type="dxa"/>
            <w:vAlign w:val="bottom"/>
            <w:tcBorders>
              <w:bottom w:val="single" w:sz="8" w:color="D2EEF5"/>
            </w:tcBorders>
            <w:shd w:val="clear" w:color="auto" w:fill="D2EEF5"/>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Borders>
              <w:bottom w:val="single" w:sz="8" w:color="D2EEF5"/>
            </w:tcBorders>
            <w:shd w:val="clear" w:color="auto" w:fill="D2EEF5"/>
          </w:tcPr>
          <w:p>
            <w:pPr>
              <w:ind w:left="20"/>
              <w:spacing w:after="0" w:line="207" w:lineRule="exact"/>
              <w:rPr>
                <w:sz w:val="20"/>
                <w:szCs w:val="20"/>
                <w:color w:val="auto"/>
              </w:rPr>
            </w:pPr>
            <w:r>
              <w:rPr>
                <w:rFonts w:ascii="Arial" w:cs="Arial" w:eastAsia="Arial" w:hAnsi="Arial"/>
                <w:sz w:val="20"/>
                <w:szCs w:val="20"/>
                <w:color w:val="auto"/>
              </w:rPr>
              <w:t>13.</w:t>
            </w:r>
          </w:p>
        </w:tc>
        <w:tc>
          <w:tcPr>
            <w:tcW w:w="6060" w:type="dxa"/>
            <w:vAlign w:val="bottom"/>
            <w:tcBorders>
              <w:bottom w:val="single" w:sz="8" w:color="1C2790"/>
            </w:tcBorders>
            <w:gridSpan w:val="21"/>
            <w:shd w:val="clear" w:color="auto" w:fill="D2EEF5"/>
          </w:tcPr>
          <w:p>
            <w:pPr>
              <w:spacing w:after="0" w:line="207" w:lineRule="exact"/>
              <w:rPr>
                <w:sz w:val="20"/>
                <w:szCs w:val="20"/>
                <w:color w:val="auto"/>
              </w:rPr>
            </w:pPr>
            <w:r>
              <w:rPr>
                <w:rFonts w:ascii="Arial" w:cs="Arial" w:eastAsia="Arial" w:hAnsi="Arial"/>
                <w:sz w:val="20"/>
                <w:szCs w:val="20"/>
                <w:color w:val="1C2790"/>
                <w:w w:val="89"/>
              </w:rPr>
              <w:t>Certain Relationships and Related Transactions, and Director Independence</w:t>
            </w:r>
          </w:p>
        </w:tc>
        <w:tc>
          <w:tcPr>
            <w:tcW w:w="1560" w:type="dxa"/>
            <w:vAlign w:val="bottom"/>
            <w:tcBorders>
              <w:bottom w:val="single" w:sz="8" w:color="D2EEF5"/>
            </w:tcBorders>
            <w:gridSpan w:val="3"/>
            <w:shd w:val="clear" w:color="auto" w:fill="D2EEF5"/>
          </w:tcPr>
          <w:p>
            <w:pPr>
              <w:spacing w:after="0"/>
              <w:rPr>
                <w:sz w:val="23"/>
                <w:szCs w:val="23"/>
                <w:color w:val="auto"/>
              </w:rPr>
            </w:pPr>
          </w:p>
        </w:tc>
        <w:tc>
          <w:tcPr>
            <w:tcW w:w="480" w:type="dxa"/>
            <w:vAlign w:val="bottom"/>
            <w:tcBorders>
              <w:bottom w:val="single" w:sz="8" w:color="D2EEF5"/>
            </w:tcBorders>
            <w:gridSpan w:val="2"/>
            <w:shd w:val="clear" w:color="auto" w:fill="D2EEF5"/>
          </w:tcPr>
          <w:p>
            <w:pPr>
              <w:spacing w:after="0"/>
              <w:rPr>
                <w:sz w:val="23"/>
                <w:szCs w:val="23"/>
                <w:color w:val="auto"/>
              </w:rPr>
            </w:pPr>
          </w:p>
        </w:tc>
        <w:tc>
          <w:tcPr>
            <w:tcW w:w="300" w:type="dxa"/>
            <w:vAlign w:val="bottom"/>
            <w:tcBorders>
              <w:bottom w:val="single" w:sz="8" w:color="1C2790"/>
            </w:tcBorders>
            <w:gridSpan w:val="5"/>
            <w:shd w:val="clear" w:color="auto" w:fill="D2EEF5"/>
          </w:tcPr>
          <w:p>
            <w:pPr>
              <w:jc w:val="center"/>
              <w:spacing w:after="0" w:line="207" w:lineRule="exact"/>
              <w:rPr>
                <w:sz w:val="20"/>
                <w:szCs w:val="20"/>
                <w:color w:val="auto"/>
              </w:rPr>
            </w:pPr>
            <w:r>
              <w:rPr>
                <w:rFonts w:ascii="Arial" w:cs="Arial" w:eastAsia="Arial" w:hAnsi="Arial"/>
                <w:sz w:val="20"/>
                <w:szCs w:val="20"/>
                <w:color w:val="1C2790"/>
                <w:w w:val="89"/>
              </w:rPr>
              <w:t>115</w:t>
            </w:r>
          </w:p>
        </w:tc>
        <w:tc>
          <w:tcPr>
            <w:tcW w:w="460" w:type="dxa"/>
            <w:vAlign w:val="bottom"/>
            <w:tcBorders>
              <w:bottom w:val="single" w:sz="8" w:color="D2EEF5"/>
            </w:tcBorders>
            <w:shd w:val="clear" w:color="auto" w:fill="D2EEF5"/>
          </w:tcPr>
          <w:p>
            <w:pPr>
              <w:spacing w:after="0"/>
              <w:rPr>
                <w:sz w:val="23"/>
                <w:szCs w:val="23"/>
                <w:color w:val="auto"/>
              </w:rPr>
            </w:pPr>
          </w:p>
        </w:tc>
      </w:tr>
      <w:tr>
        <w:trPr>
          <w:trHeight w:val="208"/>
        </w:trPr>
        <w:tc>
          <w:tcPr>
            <w:tcW w:w="880" w:type="dxa"/>
            <w:vAlign w:val="bottom"/>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Pr>
          <w:p>
            <w:pPr>
              <w:ind w:left="20"/>
              <w:spacing w:after="0" w:line="207" w:lineRule="exact"/>
              <w:rPr>
                <w:sz w:val="20"/>
                <w:szCs w:val="20"/>
                <w:color w:val="auto"/>
              </w:rPr>
            </w:pPr>
            <w:r>
              <w:rPr>
                <w:rFonts w:ascii="Arial" w:cs="Arial" w:eastAsia="Arial" w:hAnsi="Arial"/>
                <w:sz w:val="20"/>
                <w:szCs w:val="20"/>
                <w:color w:val="auto"/>
              </w:rPr>
              <w:t>14.</w:t>
            </w:r>
          </w:p>
        </w:tc>
        <w:tc>
          <w:tcPr>
            <w:tcW w:w="7620" w:type="dxa"/>
            <w:vAlign w:val="bottom"/>
            <w:gridSpan w:val="24"/>
          </w:tcPr>
          <w:p>
            <w:pPr>
              <w:spacing w:after="0" w:line="207" w:lineRule="exact"/>
              <w:rPr>
                <w:sz w:val="20"/>
                <w:szCs w:val="20"/>
                <w:color w:val="auto"/>
              </w:rPr>
            </w:pPr>
            <w:r>
              <w:rPr>
                <w:rFonts w:ascii="Arial" w:cs="Arial" w:eastAsia="Arial" w:hAnsi="Arial"/>
                <w:sz w:val="20"/>
                <w:szCs w:val="20"/>
                <w:color w:val="1C2790"/>
              </w:rPr>
              <w:t>Principal Accountant Fees and Services</w:t>
            </w:r>
          </w:p>
        </w:tc>
        <w:tc>
          <w:tcPr>
            <w:tcW w:w="780" w:type="dxa"/>
            <w:vAlign w:val="bottom"/>
            <w:gridSpan w:val="7"/>
          </w:tcPr>
          <w:p>
            <w:pPr>
              <w:jc w:val="center"/>
              <w:ind w:left="380"/>
              <w:spacing w:after="0" w:line="207" w:lineRule="exact"/>
              <w:rPr>
                <w:sz w:val="20"/>
                <w:szCs w:val="20"/>
                <w:color w:val="auto"/>
              </w:rPr>
            </w:pPr>
            <w:r>
              <w:rPr>
                <w:rFonts w:ascii="Arial" w:cs="Arial" w:eastAsia="Arial" w:hAnsi="Arial"/>
                <w:sz w:val="20"/>
                <w:szCs w:val="20"/>
                <w:color w:val="1C2790"/>
                <w:w w:val="89"/>
              </w:rPr>
              <w:t>115</w:t>
            </w:r>
          </w:p>
        </w:tc>
        <w:tc>
          <w:tcPr>
            <w:tcW w:w="460" w:type="dxa"/>
            <w:vAlign w:val="bottom"/>
          </w:tcPr>
          <w:p>
            <w:pPr>
              <w:spacing w:after="0"/>
              <w:rPr>
                <w:sz w:val="18"/>
                <w:szCs w:val="18"/>
                <w:color w:val="auto"/>
              </w:rPr>
            </w:pPr>
          </w:p>
        </w:tc>
      </w:tr>
      <w:tr>
        <w:trPr>
          <w:trHeight w:val="57"/>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2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260" w:type="dxa"/>
            <w:vAlign w:val="bottom"/>
            <w:tcBorders>
              <w:top w:val="single" w:sz="8" w:color="1C2790"/>
            </w:tcBorders>
          </w:tcPr>
          <w:p>
            <w:pPr>
              <w:spacing w:after="0"/>
              <w:rPr>
                <w:sz w:val="4"/>
                <w:szCs w:val="4"/>
                <w:color w:val="auto"/>
              </w:rPr>
            </w:pPr>
          </w:p>
        </w:tc>
        <w:tc>
          <w:tcPr>
            <w:tcW w:w="900" w:type="dxa"/>
            <w:vAlign w:val="bottom"/>
            <w:tcBorders>
              <w:top w:val="single" w:sz="8" w:color="1C2790"/>
            </w:tcBorders>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460" w:type="dxa"/>
            <w:vAlign w:val="bottom"/>
          </w:tcPr>
          <w:p>
            <w:pPr>
              <w:spacing w:after="0"/>
              <w:rPr>
                <w:sz w:val="4"/>
                <w:szCs w:val="4"/>
                <w:color w:val="auto"/>
              </w:rPr>
            </w:pPr>
          </w:p>
        </w:tc>
      </w:tr>
      <w:tr>
        <w:trPr>
          <w:trHeight w:val="285"/>
        </w:trPr>
        <w:tc>
          <w:tcPr>
            <w:tcW w:w="880" w:type="dxa"/>
            <w:vAlign w:val="bottom"/>
            <w:shd w:val="clear" w:color="auto" w:fill="D2EEF5"/>
          </w:tcPr>
          <w:p>
            <w:pPr>
              <w:spacing w:after="0"/>
              <w:rPr>
                <w:sz w:val="24"/>
                <w:szCs w:val="24"/>
                <w:color w:val="auto"/>
              </w:rPr>
            </w:pPr>
          </w:p>
        </w:tc>
        <w:tc>
          <w:tcPr>
            <w:tcW w:w="520" w:type="dxa"/>
            <w:vAlign w:val="bottom"/>
            <w:shd w:val="clear" w:color="auto" w:fill="D2EEF5"/>
          </w:tcPr>
          <w:p>
            <w:pPr>
              <w:spacing w:after="0"/>
              <w:rPr>
                <w:sz w:val="24"/>
                <w:szCs w:val="24"/>
                <w:color w:val="auto"/>
              </w:rPr>
            </w:pPr>
          </w:p>
        </w:tc>
        <w:tc>
          <w:tcPr>
            <w:tcW w:w="36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0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86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600" w:type="dxa"/>
            <w:vAlign w:val="bottom"/>
            <w:shd w:val="clear" w:color="auto" w:fill="D2EEF5"/>
          </w:tcPr>
          <w:p>
            <w:pPr>
              <w:spacing w:after="0"/>
              <w:rPr>
                <w:sz w:val="24"/>
                <w:szCs w:val="24"/>
                <w:color w:val="auto"/>
              </w:rPr>
            </w:pPr>
          </w:p>
        </w:tc>
        <w:tc>
          <w:tcPr>
            <w:tcW w:w="620" w:type="dxa"/>
            <w:vAlign w:val="bottom"/>
            <w:shd w:val="clear" w:color="auto" w:fill="D2EEF5"/>
          </w:tcPr>
          <w:p>
            <w:pPr>
              <w:spacing w:after="0"/>
              <w:rPr>
                <w:sz w:val="24"/>
                <w:szCs w:val="24"/>
                <w:color w:val="auto"/>
              </w:rPr>
            </w:pPr>
          </w:p>
        </w:tc>
        <w:tc>
          <w:tcPr>
            <w:tcW w:w="112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4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0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460" w:type="dxa"/>
            <w:vAlign w:val="bottom"/>
            <w:shd w:val="clear" w:color="auto" w:fill="D2EEF5"/>
          </w:tcPr>
          <w:p>
            <w:pPr>
              <w:spacing w:after="0"/>
              <w:rPr>
                <w:sz w:val="24"/>
                <w:szCs w:val="24"/>
                <w:color w:val="auto"/>
              </w:rPr>
            </w:pPr>
          </w:p>
        </w:tc>
      </w:tr>
      <w:tr>
        <w:trPr>
          <w:trHeight w:val="275"/>
        </w:trPr>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PART IV</w:t>
            </w: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5"/>
        </w:trPr>
        <w:tc>
          <w:tcPr>
            <w:tcW w:w="880" w:type="dxa"/>
            <w:vAlign w:val="bottom"/>
            <w:tcBorders>
              <w:bottom w:val="single" w:sz="8" w:color="D2EEF5"/>
            </w:tcBorders>
            <w:shd w:val="clear" w:color="auto" w:fill="D2EEF5"/>
          </w:tcPr>
          <w:p>
            <w:pPr>
              <w:jc w:val="right"/>
              <w:spacing w:after="0" w:line="218" w:lineRule="exact"/>
              <w:rPr>
                <w:sz w:val="20"/>
                <w:szCs w:val="20"/>
                <w:color w:val="auto"/>
              </w:rPr>
            </w:pPr>
            <w:r>
              <w:rPr>
                <w:rFonts w:ascii="Arial" w:cs="Arial" w:eastAsia="Arial" w:hAnsi="Arial"/>
                <w:sz w:val="20"/>
                <w:szCs w:val="20"/>
                <w:color w:val="auto"/>
              </w:rPr>
              <w:t>Item</w:t>
            </w:r>
          </w:p>
        </w:tc>
        <w:tc>
          <w:tcPr>
            <w:tcW w:w="520" w:type="dxa"/>
            <w:vAlign w:val="bottom"/>
            <w:tcBorders>
              <w:bottom w:val="single" w:sz="8" w:color="D2EEF5"/>
            </w:tcBorders>
            <w:shd w:val="clear" w:color="auto" w:fill="D2EEF5"/>
          </w:tcPr>
          <w:p>
            <w:pPr>
              <w:ind w:left="20"/>
              <w:spacing w:after="0" w:line="218" w:lineRule="exact"/>
              <w:rPr>
                <w:sz w:val="20"/>
                <w:szCs w:val="20"/>
                <w:color w:val="auto"/>
              </w:rPr>
            </w:pPr>
            <w:r>
              <w:rPr>
                <w:rFonts w:ascii="Arial" w:cs="Arial" w:eastAsia="Arial" w:hAnsi="Arial"/>
                <w:sz w:val="20"/>
                <w:szCs w:val="20"/>
                <w:color w:val="auto"/>
              </w:rPr>
              <w:t>15.</w:t>
            </w:r>
          </w:p>
        </w:tc>
        <w:tc>
          <w:tcPr>
            <w:tcW w:w="3500" w:type="dxa"/>
            <w:vAlign w:val="bottom"/>
            <w:tcBorders>
              <w:bottom w:val="single" w:sz="8" w:color="1C2790"/>
            </w:tcBorders>
            <w:gridSpan w:val="16"/>
            <w:shd w:val="clear" w:color="auto" w:fill="D2EEF5"/>
          </w:tcPr>
          <w:p>
            <w:pPr>
              <w:spacing w:after="0" w:line="218" w:lineRule="exact"/>
              <w:rPr>
                <w:sz w:val="20"/>
                <w:szCs w:val="20"/>
                <w:color w:val="auto"/>
              </w:rPr>
            </w:pPr>
            <w:r>
              <w:rPr>
                <w:rFonts w:ascii="Arial" w:cs="Arial" w:eastAsia="Arial" w:hAnsi="Arial"/>
                <w:sz w:val="20"/>
                <w:szCs w:val="20"/>
                <w:color w:val="1C2790"/>
                <w:w w:val="89"/>
              </w:rPr>
              <w:t>Exhibits and Financial Statement Schedules</w:t>
            </w:r>
          </w:p>
        </w:tc>
        <w:tc>
          <w:tcPr>
            <w:tcW w:w="4120" w:type="dxa"/>
            <w:vAlign w:val="bottom"/>
            <w:tcBorders>
              <w:bottom w:val="single" w:sz="8" w:color="D2EEF5"/>
            </w:tcBorders>
            <w:gridSpan w:val="8"/>
            <w:shd w:val="clear" w:color="auto" w:fill="D2EEF5"/>
          </w:tcPr>
          <w:p>
            <w:pPr>
              <w:spacing w:after="0"/>
              <w:rPr>
                <w:sz w:val="23"/>
                <w:szCs w:val="23"/>
                <w:color w:val="auto"/>
              </w:rPr>
            </w:pPr>
          </w:p>
        </w:tc>
        <w:tc>
          <w:tcPr>
            <w:tcW w:w="480" w:type="dxa"/>
            <w:vAlign w:val="bottom"/>
            <w:tcBorders>
              <w:bottom w:val="single" w:sz="8" w:color="D2EEF5"/>
            </w:tcBorders>
            <w:gridSpan w:val="2"/>
            <w:shd w:val="clear" w:color="auto" w:fill="D2EEF5"/>
          </w:tcPr>
          <w:p>
            <w:pPr>
              <w:spacing w:after="0"/>
              <w:rPr>
                <w:sz w:val="23"/>
                <w:szCs w:val="23"/>
                <w:color w:val="auto"/>
              </w:rPr>
            </w:pPr>
          </w:p>
        </w:tc>
        <w:tc>
          <w:tcPr>
            <w:tcW w:w="300" w:type="dxa"/>
            <w:vAlign w:val="bottom"/>
            <w:tcBorders>
              <w:bottom w:val="single" w:sz="8" w:color="1C2790"/>
            </w:tcBorders>
            <w:gridSpan w:val="5"/>
            <w:shd w:val="clear" w:color="auto" w:fill="D2EEF5"/>
          </w:tcPr>
          <w:p>
            <w:pPr>
              <w:jc w:val="center"/>
              <w:spacing w:after="0" w:line="218" w:lineRule="exact"/>
              <w:rPr>
                <w:sz w:val="20"/>
                <w:szCs w:val="20"/>
                <w:color w:val="auto"/>
              </w:rPr>
            </w:pPr>
            <w:r>
              <w:rPr>
                <w:rFonts w:ascii="Arial" w:cs="Arial" w:eastAsia="Arial" w:hAnsi="Arial"/>
                <w:sz w:val="20"/>
                <w:szCs w:val="20"/>
                <w:color w:val="1C2790"/>
                <w:w w:val="89"/>
              </w:rPr>
              <w:t>116</w:t>
            </w:r>
          </w:p>
        </w:tc>
        <w:tc>
          <w:tcPr>
            <w:tcW w:w="460" w:type="dxa"/>
            <w:vAlign w:val="bottom"/>
            <w:tcBorders>
              <w:bottom w:val="single" w:sz="8" w:color="D2EEF5"/>
            </w:tcBorders>
            <w:shd w:val="clear" w:color="auto" w:fill="D2EEF5"/>
          </w:tcPr>
          <w:p>
            <w:pPr>
              <w:spacing w:after="0"/>
              <w:rPr>
                <w:sz w:val="23"/>
                <w:szCs w:val="23"/>
                <w:color w:val="auto"/>
              </w:rPr>
            </w:pPr>
          </w:p>
        </w:tc>
      </w:tr>
      <w:tr>
        <w:trPr>
          <w:trHeight w:val="208"/>
        </w:trPr>
        <w:tc>
          <w:tcPr>
            <w:tcW w:w="880" w:type="dxa"/>
            <w:vAlign w:val="bottom"/>
          </w:tcPr>
          <w:p>
            <w:pPr>
              <w:jc w:val="right"/>
              <w:spacing w:after="0" w:line="207" w:lineRule="exact"/>
              <w:rPr>
                <w:sz w:val="20"/>
                <w:szCs w:val="20"/>
                <w:color w:val="auto"/>
              </w:rPr>
            </w:pPr>
            <w:r>
              <w:rPr>
                <w:rFonts w:ascii="Arial" w:cs="Arial" w:eastAsia="Arial" w:hAnsi="Arial"/>
                <w:sz w:val="20"/>
                <w:szCs w:val="20"/>
                <w:color w:val="auto"/>
              </w:rPr>
              <w:t>Item</w:t>
            </w:r>
          </w:p>
        </w:tc>
        <w:tc>
          <w:tcPr>
            <w:tcW w:w="520" w:type="dxa"/>
            <w:vAlign w:val="bottom"/>
          </w:tcPr>
          <w:p>
            <w:pPr>
              <w:ind w:left="20"/>
              <w:spacing w:after="0" w:line="207" w:lineRule="exact"/>
              <w:rPr>
                <w:sz w:val="20"/>
                <w:szCs w:val="20"/>
                <w:color w:val="auto"/>
              </w:rPr>
            </w:pPr>
            <w:r>
              <w:rPr>
                <w:rFonts w:ascii="Arial" w:cs="Arial" w:eastAsia="Arial" w:hAnsi="Arial"/>
                <w:sz w:val="20"/>
                <w:szCs w:val="20"/>
                <w:color w:val="auto"/>
              </w:rPr>
              <w:t>16.</w:t>
            </w:r>
          </w:p>
        </w:tc>
        <w:tc>
          <w:tcPr>
            <w:tcW w:w="7620" w:type="dxa"/>
            <w:vAlign w:val="bottom"/>
            <w:gridSpan w:val="24"/>
          </w:tcPr>
          <w:p>
            <w:pPr>
              <w:spacing w:after="0" w:line="207" w:lineRule="exact"/>
              <w:rPr>
                <w:sz w:val="20"/>
                <w:szCs w:val="20"/>
                <w:color w:val="auto"/>
              </w:rPr>
            </w:pPr>
            <w:r>
              <w:rPr>
                <w:rFonts w:ascii="Arial" w:cs="Arial" w:eastAsia="Arial" w:hAnsi="Arial"/>
                <w:sz w:val="20"/>
                <w:szCs w:val="20"/>
                <w:color w:val="1C2790"/>
              </w:rPr>
              <w:t>Form 10-K Summary</w:t>
            </w:r>
          </w:p>
        </w:tc>
        <w:tc>
          <w:tcPr>
            <w:tcW w:w="780" w:type="dxa"/>
            <w:vAlign w:val="bottom"/>
            <w:gridSpan w:val="7"/>
          </w:tcPr>
          <w:p>
            <w:pPr>
              <w:jc w:val="center"/>
              <w:ind w:left="380"/>
              <w:spacing w:after="0" w:line="207" w:lineRule="exact"/>
              <w:rPr>
                <w:sz w:val="20"/>
                <w:szCs w:val="20"/>
                <w:color w:val="auto"/>
              </w:rPr>
            </w:pPr>
            <w:r>
              <w:rPr>
                <w:rFonts w:ascii="Arial" w:cs="Arial" w:eastAsia="Arial" w:hAnsi="Arial"/>
                <w:sz w:val="20"/>
                <w:szCs w:val="20"/>
                <w:color w:val="1C2790"/>
                <w:w w:val="89"/>
              </w:rPr>
              <w:t>122</w:t>
            </w:r>
          </w:p>
        </w:tc>
        <w:tc>
          <w:tcPr>
            <w:tcW w:w="460" w:type="dxa"/>
            <w:vAlign w:val="bottom"/>
          </w:tcPr>
          <w:p>
            <w:pPr>
              <w:spacing w:after="0"/>
              <w:rPr>
                <w:sz w:val="18"/>
                <w:szCs w:val="18"/>
                <w:color w:val="auto"/>
              </w:rPr>
            </w:pPr>
          </w:p>
        </w:tc>
      </w:tr>
      <w:tr>
        <w:trPr>
          <w:trHeight w:val="57"/>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2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2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460" w:type="dxa"/>
            <w:vAlign w:val="bottom"/>
          </w:tcPr>
          <w:p>
            <w:pPr>
              <w:spacing w:after="0"/>
              <w:rPr>
                <w:sz w:val="4"/>
                <w:szCs w:val="4"/>
                <w:color w:val="auto"/>
              </w:rPr>
            </w:pPr>
          </w:p>
        </w:tc>
      </w:tr>
      <w:tr>
        <w:trPr>
          <w:trHeight w:val="285"/>
        </w:trPr>
        <w:tc>
          <w:tcPr>
            <w:tcW w:w="880" w:type="dxa"/>
            <w:vAlign w:val="bottom"/>
            <w:shd w:val="clear" w:color="auto" w:fill="D2EEF5"/>
          </w:tcPr>
          <w:p>
            <w:pPr>
              <w:spacing w:after="0"/>
              <w:rPr>
                <w:sz w:val="24"/>
                <w:szCs w:val="24"/>
                <w:color w:val="auto"/>
              </w:rPr>
            </w:pPr>
          </w:p>
        </w:tc>
        <w:tc>
          <w:tcPr>
            <w:tcW w:w="520" w:type="dxa"/>
            <w:vAlign w:val="bottom"/>
            <w:shd w:val="clear" w:color="auto" w:fill="D2EEF5"/>
          </w:tcPr>
          <w:p>
            <w:pPr>
              <w:spacing w:after="0"/>
              <w:rPr>
                <w:sz w:val="24"/>
                <w:szCs w:val="24"/>
                <w:color w:val="auto"/>
              </w:rPr>
            </w:pPr>
          </w:p>
        </w:tc>
        <w:tc>
          <w:tcPr>
            <w:tcW w:w="36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2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0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86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600" w:type="dxa"/>
            <w:vAlign w:val="bottom"/>
            <w:shd w:val="clear" w:color="auto" w:fill="D2EEF5"/>
          </w:tcPr>
          <w:p>
            <w:pPr>
              <w:spacing w:after="0"/>
              <w:rPr>
                <w:sz w:val="24"/>
                <w:szCs w:val="24"/>
                <w:color w:val="auto"/>
              </w:rPr>
            </w:pPr>
          </w:p>
        </w:tc>
        <w:tc>
          <w:tcPr>
            <w:tcW w:w="620" w:type="dxa"/>
            <w:vAlign w:val="bottom"/>
            <w:shd w:val="clear" w:color="auto" w:fill="D2EEF5"/>
          </w:tcPr>
          <w:p>
            <w:pPr>
              <w:spacing w:after="0"/>
              <w:rPr>
                <w:sz w:val="24"/>
                <w:szCs w:val="24"/>
                <w:color w:val="auto"/>
              </w:rPr>
            </w:pPr>
          </w:p>
        </w:tc>
        <w:tc>
          <w:tcPr>
            <w:tcW w:w="1120" w:type="dxa"/>
            <w:vAlign w:val="bottom"/>
            <w:shd w:val="clear" w:color="auto" w:fill="D2EEF5"/>
          </w:tcPr>
          <w:p>
            <w:pPr>
              <w:spacing w:after="0"/>
              <w:rPr>
                <w:sz w:val="24"/>
                <w:szCs w:val="24"/>
                <w:color w:val="auto"/>
              </w:rPr>
            </w:pPr>
          </w:p>
        </w:tc>
        <w:tc>
          <w:tcPr>
            <w:tcW w:w="300" w:type="dxa"/>
            <w:vAlign w:val="bottom"/>
            <w:shd w:val="clear" w:color="auto" w:fill="D2EEF5"/>
          </w:tcPr>
          <w:p>
            <w:pPr>
              <w:spacing w:after="0"/>
              <w:rPr>
                <w:sz w:val="24"/>
                <w:szCs w:val="24"/>
                <w:color w:val="auto"/>
              </w:rPr>
            </w:pPr>
          </w:p>
        </w:tc>
        <w:tc>
          <w:tcPr>
            <w:tcW w:w="1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4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0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460" w:type="dxa"/>
            <w:vAlign w:val="bottom"/>
            <w:shd w:val="clear" w:color="auto" w:fill="D2EEF5"/>
          </w:tcPr>
          <w:p>
            <w:pPr>
              <w:spacing w:after="0"/>
              <w:rPr>
                <w:sz w:val="24"/>
                <w:szCs w:val="24"/>
                <w:color w:val="auto"/>
              </w:rPr>
            </w:pPr>
          </w:p>
        </w:tc>
      </w:tr>
      <w:tr>
        <w:trPr>
          <w:trHeight w:val="208"/>
        </w:trPr>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Borders>
              <w:bottom w:val="single" w:sz="8" w:color="1C2790"/>
            </w:tcBorders>
            <w:gridSpan w:val="5"/>
          </w:tcPr>
          <w:p>
            <w:pPr>
              <w:spacing w:after="0" w:line="207" w:lineRule="exact"/>
              <w:rPr>
                <w:sz w:val="20"/>
                <w:szCs w:val="20"/>
                <w:color w:val="auto"/>
              </w:rPr>
            </w:pPr>
            <w:r>
              <w:rPr>
                <w:rFonts w:ascii="Arial" w:cs="Arial" w:eastAsia="Arial" w:hAnsi="Arial"/>
                <w:sz w:val="20"/>
                <w:szCs w:val="20"/>
                <w:color w:val="1C2790"/>
                <w:w w:val="85"/>
              </w:rPr>
              <w:t>Signatures</w:t>
            </w:r>
          </w:p>
        </w:tc>
        <w:tc>
          <w:tcPr>
            <w:tcW w:w="6780" w:type="dxa"/>
            <w:vAlign w:val="bottom"/>
            <w:gridSpan w:val="19"/>
          </w:tcPr>
          <w:p>
            <w:pPr>
              <w:spacing w:after="0"/>
              <w:rPr>
                <w:sz w:val="18"/>
                <w:szCs w:val="18"/>
                <w:color w:val="auto"/>
              </w:rPr>
            </w:pPr>
          </w:p>
        </w:tc>
        <w:tc>
          <w:tcPr>
            <w:tcW w:w="480" w:type="dxa"/>
            <w:vAlign w:val="bottom"/>
            <w:gridSpan w:val="2"/>
          </w:tcPr>
          <w:p>
            <w:pPr>
              <w:spacing w:after="0"/>
              <w:rPr>
                <w:sz w:val="18"/>
                <w:szCs w:val="18"/>
                <w:color w:val="auto"/>
              </w:rPr>
            </w:pPr>
          </w:p>
        </w:tc>
        <w:tc>
          <w:tcPr>
            <w:tcW w:w="300" w:type="dxa"/>
            <w:vAlign w:val="bottom"/>
            <w:tcBorders>
              <w:bottom w:val="single" w:sz="8" w:color="1C2790"/>
            </w:tcBorders>
            <w:gridSpan w:val="5"/>
          </w:tcPr>
          <w:p>
            <w:pPr>
              <w:jc w:val="center"/>
              <w:spacing w:after="0" w:line="207" w:lineRule="exact"/>
              <w:rPr>
                <w:sz w:val="20"/>
                <w:szCs w:val="20"/>
                <w:color w:val="auto"/>
              </w:rPr>
            </w:pPr>
            <w:r>
              <w:rPr>
                <w:rFonts w:ascii="Arial" w:cs="Arial" w:eastAsia="Arial" w:hAnsi="Arial"/>
                <w:sz w:val="20"/>
                <w:szCs w:val="20"/>
                <w:color w:val="1C2790"/>
                <w:w w:val="89"/>
              </w:rPr>
              <w:t>123</w:t>
            </w:r>
          </w:p>
        </w:tc>
        <w:tc>
          <w:tcPr>
            <w:tcW w:w="460" w:type="dxa"/>
            <w:vAlign w:val="bottom"/>
          </w:tcPr>
          <w:p>
            <w:pPr>
              <w:spacing w:after="0"/>
              <w:rPr>
                <w:sz w:val="18"/>
                <w:szCs w:val="18"/>
                <w:color w:val="auto"/>
              </w:rPr>
            </w:pPr>
          </w:p>
        </w:tc>
      </w:tr>
    </w:tbl>
    <w:p>
      <w:pPr>
        <w:sectPr>
          <w:pgSz w:w="11880" w:h="15480" w:orient="portrait"/>
          <w:cols w:equalWidth="0" w:num="1">
            <w:col w:w="10260"/>
          </w:cols>
          <w:pgMar w:left="820" w:top="405" w:right="800"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57"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This Annual Report on Form 10-K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0" w:lineRule="exact"/>
        <w:rPr>
          <w:sz w:val="20"/>
          <w:szCs w:val="20"/>
          <w:color w:val="auto"/>
        </w:rPr>
      </w:pPr>
    </w:p>
    <w:p>
      <w:pPr>
        <w:ind w:left="1080" w:right="10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 disruption in the availability or supply of, or increases in the price of, ethylene oxide (“EO”), Cobalt-60 (“Co-60”) or our other direct materials, services and supplies, including as a result of geopolitical instability and/ or sanctions against Russia by the United States, Canada, the United Kingdom and/or the European Union, or sanctions by Russia against those countries;</w:t>
      </w:r>
    </w:p>
    <w:p>
      <w:pPr>
        <w:spacing w:after="0" w:line="1" w:lineRule="exact"/>
        <w:rPr>
          <w:rFonts w:ascii="Arial" w:cs="Arial" w:eastAsia="Arial" w:hAnsi="Arial"/>
          <w:sz w:val="20"/>
          <w:szCs w:val="20"/>
          <w:color w:val="auto"/>
        </w:rPr>
      </w:pPr>
    </w:p>
    <w:p>
      <w:pPr>
        <w:ind w:left="1080" w:hanging="370"/>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fluctuations in foreign currency exchange rates;</w:t>
      </w:r>
    </w:p>
    <w:p>
      <w:pPr>
        <w:spacing w:after="0" w:line="10" w:lineRule="exact"/>
        <w:rPr>
          <w:rFonts w:ascii="Arial" w:cs="Arial" w:eastAsia="Arial" w:hAnsi="Arial"/>
          <w:sz w:val="20"/>
          <w:szCs w:val="20"/>
          <w:color w:val="auto"/>
        </w:rPr>
      </w:pPr>
    </w:p>
    <w:p>
      <w:pPr>
        <w:ind w:left="1080" w:hanging="370"/>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evolving changes in environmental, health and safety regulations</w:t>
      </w:r>
    </w:p>
    <w:p>
      <w:pPr>
        <w:spacing w:after="0" w:line="10" w:lineRule="exact"/>
        <w:rPr>
          <w:rFonts w:ascii="Arial" w:cs="Arial" w:eastAsia="Arial" w:hAnsi="Arial"/>
          <w:sz w:val="20"/>
          <w:szCs w:val="20"/>
          <w:color w:val="auto"/>
        </w:rPr>
      </w:pPr>
    </w:p>
    <w:p>
      <w:pPr>
        <w:ind w:left="1080" w:right="56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health and safety risks associated with the use, storage, transportation and disposal of potentially hazardous materials such as EO and Co-60;</w:t>
      </w:r>
    </w:p>
    <w:p>
      <w:pPr>
        <w:ind w:left="1080" w:right="6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impact and outcome of current and future legal proceedings and liability claims, including litigation related to the use, emissions and releases of EO from our current and former EO sterilization facilities, and the possibility that additional claims will be made in the future;</w:t>
      </w:r>
    </w:p>
    <w:p>
      <w:pPr>
        <w:spacing w:after="0" w:line="1" w:lineRule="exact"/>
        <w:rPr>
          <w:rFonts w:ascii="Arial" w:cs="Arial" w:eastAsia="Arial" w:hAnsi="Arial"/>
          <w:sz w:val="20"/>
          <w:szCs w:val="20"/>
          <w:color w:val="auto"/>
        </w:rPr>
      </w:pPr>
    </w:p>
    <w:p>
      <w:pPr>
        <w:ind w:left="1080" w:right="8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allegations of our failure to properly perform services and potential product liability claims, recalls, penalties and reputational harm;</w:t>
      </w:r>
    </w:p>
    <w:p>
      <w:pPr>
        <w:ind w:left="1080" w:right="4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compliance with the extensive regulatory requirements to which we are subject, the related costs, and any failures to receive or maintain, or delays in receiving, required clearances or approvals;</w:t>
      </w:r>
    </w:p>
    <w:p>
      <w:pPr>
        <w:ind w:left="1080" w:hanging="370"/>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adverse changes in industry trends;</w:t>
      </w:r>
    </w:p>
    <w:p>
      <w:pPr>
        <w:spacing w:after="0" w:line="10" w:lineRule="exact"/>
        <w:rPr>
          <w:rFonts w:ascii="Arial" w:cs="Arial" w:eastAsia="Arial" w:hAnsi="Arial"/>
          <w:sz w:val="20"/>
          <w:szCs w:val="20"/>
          <w:color w:val="auto"/>
        </w:rPr>
      </w:pPr>
    </w:p>
    <w:p>
      <w:pPr>
        <w:ind w:left="1080" w:hanging="370"/>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competition we face;</w:t>
      </w:r>
    </w:p>
    <w:p>
      <w:pPr>
        <w:spacing w:after="0" w:line="10" w:lineRule="exact"/>
        <w:rPr>
          <w:rFonts w:ascii="Arial" w:cs="Arial" w:eastAsia="Arial" w:hAnsi="Arial"/>
          <w:sz w:val="20"/>
          <w:szCs w:val="20"/>
          <w:color w:val="auto"/>
        </w:rPr>
      </w:pPr>
    </w:p>
    <w:p>
      <w:pPr>
        <w:ind w:left="1080" w:right="16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market conditions and changes, including inflationary trends and the impact of tariffs, that impact our long-term supply contracts with variable price clauses and increase our cost of revenues;</w:t>
      </w:r>
    </w:p>
    <w:p>
      <w:pPr>
        <w:ind w:left="1080" w:right="24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business continuity hazards, including supply chain disruptions, federal government shutdowns, and other risks associated with our operations;</w:t>
      </w:r>
    </w:p>
    <w:p>
      <w:pPr>
        <w:ind w:left="1080" w:right="28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risks of doing business internationally, including global and regional economic and political instability and compliance with various applicable laws and potentially inconsistent laws and regulations in multiple jurisdictions;</w:t>
      </w:r>
    </w:p>
    <w:p>
      <w:pPr>
        <w:spacing w:after="0" w:line="1" w:lineRule="exact"/>
        <w:rPr>
          <w:rFonts w:ascii="Arial" w:cs="Arial" w:eastAsia="Arial" w:hAnsi="Arial"/>
          <w:sz w:val="20"/>
          <w:szCs w:val="20"/>
          <w:color w:val="auto"/>
        </w:rPr>
      </w:pPr>
    </w:p>
    <w:p>
      <w:pPr>
        <w:ind w:left="1080" w:right="6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increase capacity at existing facilities, build new facilities in a timely and cost-effective manner and renew leases for our leased facilities;</w:t>
      </w:r>
    </w:p>
    <w:p>
      <w:pPr>
        <w:ind w:left="1080" w:hanging="370"/>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attract and retain qualified employees;</w:t>
      </w:r>
    </w:p>
    <w:p>
      <w:pPr>
        <w:spacing w:after="0" w:line="10" w:lineRule="exact"/>
        <w:rPr>
          <w:rFonts w:ascii="Arial" w:cs="Arial" w:eastAsia="Arial" w:hAnsi="Arial"/>
          <w:sz w:val="20"/>
          <w:szCs w:val="20"/>
          <w:color w:val="auto"/>
        </w:rPr>
      </w:pPr>
    </w:p>
    <w:p>
      <w:pPr>
        <w:ind w:left="1080" w:hanging="370"/>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severe health events or environmental events;</w:t>
      </w:r>
    </w:p>
    <w:p>
      <w:pPr>
        <w:spacing w:after="0" w:line="10" w:lineRule="exact"/>
        <w:rPr>
          <w:rFonts w:ascii="Arial" w:cs="Arial" w:eastAsia="Arial" w:hAnsi="Arial"/>
          <w:sz w:val="20"/>
          <w:szCs w:val="20"/>
          <w:color w:val="auto"/>
        </w:rPr>
      </w:pPr>
    </w:p>
    <w:p>
      <w:pPr>
        <w:ind w:left="1080" w:right="40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cybersecurity incidents, unauthorized data disclosures, and our dependence on information technology (“IT”) systems;</w:t>
      </w:r>
    </w:p>
    <w:p>
      <w:pPr>
        <w:ind w:left="1080" w:hanging="370"/>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risks associated with the introduction of artificial intelligence (“AI”) technology</w:t>
      </w:r>
    </w:p>
    <w:p>
      <w:pPr>
        <w:spacing w:after="0" w:line="10" w:lineRule="exact"/>
        <w:rPr>
          <w:rFonts w:ascii="Arial" w:cs="Arial" w:eastAsia="Arial" w:hAnsi="Arial"/>
          <w:sz w:val="20"/>
          <w:szCs w:val="20"/>
          <w:color w:val="auto"/>
        </w:rPr>
      </w:pPr>
    </w:p>
    <w:p>
      <w:pPr>
        <w:ind w:left="108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an inability to pursue strategic transactions, find suitable acquisition targets, or integrate strategic acquisitions into our business successfully;</w:t>
      </w:r>
    </w:p>
    <w:p>
      <w:pPr>
        <w:ind w:left="1080" w:hanging="370"/>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maintain effective internal control over financial reporting;</w:t>
      </w:r>
    </w:p>
    <w:p>
      <w:pPr>
        <w:spacing w:after="0" w:line="10" w:lineRule="exact"/>
        <w:rPr>
          <w:rFonts w:ascii="Arial" w:cs="Arial" w:eastAsia="Arial" w:hAnsi="Arial"/>
          <w:sz w:val="20"/>
          <w:szCs w:val="20"/>
          <w:color w:val="auto"/>
        </w:rPr>
      </w:pPr>
    </w:p>
    <w:p>
      <w:pPr>
        <w:ind w:left="1080" w:right="2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reliance on intellectual property rights to maintain our competitive position and the risk of claims from third parties that we have infringed or misappropriated, or are infringing or misappropriating, their intellectual property rights;</w:t>
      </w:r>
    </w:p>
    <w:p>
      <w:pPr>
        <w:spacing w:after="0" w:line="1" w:lineRule="exact"/>
        <w:rPr>
          <w:rFonts w:ascii="Arial" w:cs="Arial" w:eastAsia="Arial" w:hAnsi="Arial"/>
          <w:sz w:val="20"/>
          <w:szCs w:val="20"/>
          <w:color w:val="auto"/>
        </w:rPr>
      </w:pPr>
    </w:p>
    <w:p>
      <w:pPr>
        <w:ind w:left="1080" w:right="6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comply with rapidly evolving data privacy and security laws and regulations in various jurisdictions and any ineffective compliance efforts with such laws and regulations;</w:t>
      </w:r>
    </w:p>
    <w:p>
      <w:pPr>
        <w:ind w:left="1080" w:hanging="370"/>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generate profitability in future periods;</w:t>
      </w:r>
    </w:p>
    <w:p>
      <w:pPr>
        <w:spacing w:after="0" w:line="10" w:lineRule="exact"/>
        <w:rPr>
          <w:rFonts w:ascii="Arial" w:cs="Arial" w:eastAsia="Arial" w:hAnsi="Arial"/>
          <w:sz w:val="20"/>
          <w:szCs w:val="20"/>
          <w:color w:val="auto"/>
        </w:rPr>
      </w:pPr>
    </w:p>
    <w:p>
      <w:pPr>
        <w:ind w:left="1080" w:right="20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impairment charges on our goodwill and other intangible assets with indefinite lives, as well as other long-lived assets and intangible assets with definite lives;</w:t>
      </w:r>
    </w:p>
    <w:p>
      <w:pPr>
        <w:ind w:left="1080" w:hanging="370"/>
        <w:spacing w:after="0"/>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effects of unionization efforts and labor regulations in countries in which we operate;</w:t>
      </w:r>
    </w:p>
    <w:p>
      <w:pPr>
        <w:spacing w:after="0" w:line="10" w:lineRule="exact"/>
        <w:rPr>
          <w:rFonts w:ascii="Arial" w:cs="Arial" w:eastAsia="Arial" w:hAnsi="Arial"/>
          <w:sz w:val="20"/>
          <w:szCs w:val="20"/>
          <w:color w:val="auto"/>
        </w:rPr>
      </w:pPr>
    </w:p>
    <w:p>
      <w:pPr>
        <w:ind w:left="1080" w:right="60" w:hanging="370"/>
        <w:spacing w:after="0" w:line="250" w:lineRule="auto"/>
        <w:tabs>
          <w:tab w:leader="none" w:pos="10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adverse changes to our tax positions in U.S. or non-U.S. jurisdictions or the interpretation and application of U.S. tax legislation or other changes in U.S. or non-U.S. taxation of our operations;</w:t>
      </w:r>
    </w:p>
    <w:p>
      <w:pPr>
        <w:ind w:left="1080" w:hanging="370"/>
        <w:spacing w:after="0" w:line="30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w:t>
      </w:r>
    </w:p>
    <w:p>
      <w:pPr>
        <w:sectPr>
          <w:pgSz w:w="11880" w:h="15480" w:orient="portrait"/>
          <w:cols w:equalWidth="0" w:num="1">
            <w:col w:w="10200"/>
          </w:cols>
          <w:pgMar w:left="820" w:top="40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880" w:h="15480" w:orient="portrait"/>
          <w:cols w:equalWidth="0" w:num="1">
            <w:col w:w="10200"/>
          </w:cols>
          <w:pgMar w:left="820" w:top="405" w:right="860" w:bottom="0" w:gutter="0" w:footer="0" w:header="0"/>
          <w:type w:val="continuous"/>
        </w:sectPr>
      </w:pPr>
    </w:p>
    <w:bookmarkStart w:id="12" w:name="page13"/>
    <w:bookmarkEnd w:id="12"/>
    <w:p>
      <w:pPr>
        <w:ind w:left="1080" w:right="80"/>
        <w:spacing w:after="0" w:line="250" w:lineRule="auto"/>
        <w:rPr>
          <w:sz w:val="20"/>
          <w:szCs w:val="20"/>
          <w:color w:val="auto"/>
        </w:rPr>
      </w:pPr>
      <w:r>
        <w:rPr>
          <w:rFonts w:ascii="Arial" w:cs="Arial" w:eastAsia="Arial" w:hAnsi="Arial"/>
          <w:sz w:val="20"/>
          <w:szCs w:val="20"/>
          <w:color w:val="auto"/>
        </w:rPr>
        <w:t>or prevent us from meeting our obligations under our existing and future agreements governing our indebtedness; and</w:t>
      </w:r>
    </w:p>
    <w:p>
      <w:pPr>
        <w:spacing w:after="0" w:line="1" w:lineRule="exact"/>
        <w:rPr>
          <w:sz w:val="20"/>
          <w:szCs w:val="20"/>
          <w:color w:val="auto"/>
        </w:rPr>
      </w:pPr>
    </w:p>
    <w:p>
      <w:pPr>
        <w:ind w:left="1080" w:right="20" w:hanging="370"/>
        <w:spacing w:after="0" w:line="283" w:lineRule="auto"/>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control that certain investment funds and entities affiliated with Warburg Pincus and GTCR, which we refer to collectively as the “Sponsors,” continue to have over us.</w:t>
      </w:r>
    </w:p>
    <w:p>
      <w:pPr>
        <w:spacing w:after="0" w:line="178"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20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 xml:space="preserve">You should carefully consider the above factors, as well as the factors discussed elsewhere in this Annual Report on Form 10-K, including under Part I, Item 1A, </w:t>
      </w:r>
      <w:r>
        <w:rPr>
          <w:rFonts w:ascii="Arial" w:cs="Arial" w:eastAsia="Arial" w:hAnsi="Arial"/>
          <w:sz w:val="22"/>
          <w:szCs w:val="22"/>
          <w:color w:val="auto"/>
        </w:rPr>
        <w:t>“</w:t>
      </w:r>
      <w:r>
        <w:rPr>
          <w:rFonts w:ascii="Arial" w:cs="Arial" w:eastAsia="Arial" w:hAnsi="Arial"/>
          <w:sz w:val="18"/>
          <w:szCs w:val="18"/>
          <w:color w:val="auto"/>
        </w:rPr>
        <w:t>Risk Factors</w:t>
      </w:r>
      <w:r>
        <w:rPr>
          <w:rFonts w:ascii="Arial" w:cs="Arial" w:eastAsia="Arial" w:hAnsi="Arial"/>
          <w:sz w:val="22"/>
          <w:szCs w:val="22"/>
          <w:color w:val="auto"/>
        </w:rPr>
        <w:t>”</w:t>
      </w:r>
      <w:r>
        <w:rPr>
          <w:rFonts w:ascii="Arial" w:cs="Arial" w:eastAsia="Arial" w:hAnsi="Arial"/>
          <w:sz w:val="18"/>
          <w:szCs w:val="18"/>
          <w:color w:val="auto"/>
        </w:rPr>
        <w:t>. If any of these trends, risks or uncertainties actually occur or continue, our</w:t>
      </w:r>
    </w:p>
    <w:p>
      <w:pPr>
        <w:spacing w:after="0" w:line="1" w:lineRule="exact"/>
        <w:rPr>
          <w:sz w:val="20"/>
          <w:szCs w:val="20"/>
          <w:color w:val="auto"/>
        </w:rPr>
      </w:pPr>
    </w:p>
    <w:p>
      <w:pPr>
        <w:jc w:val="both"/>
        <w:ind w:right="340"/>
        <w:spacing w:after="0" w:line="287" w:lineRule="auto"/>
        <w:rPr>
          <w:sz w:val="20"/>
          <w:szCs w:val="20"/>
          <w:color w:val="auto"/>
        </w:rPr>
      </w:pPr>
      <w:r>
        <w:rPr>
          <w:rFonts w:ascii="Arial" w:cs="Arial" w:eastAsia="Arial" w:hAnsi="Arial"/>
          <w:sz w:val="19"/>
          <w:szCs w:val="19"/>
          <w:color w:val="auto"/>
        </w:rPr>
        <w:t>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76" w:lineRule="exact"/>
        <w:rPr>
          <w:sz w:val="20"/>
          <w:szCs w:val="20"/>
          <w:color w:val="auto"/>
        </w:rPr>
      </w:pPr>
    </w:p>
    <w:p>
      <w:pPr>
        <w:ind w:right="160"/>
        <w:spacing w:after="0" w:line="266" w:lineRule="auto"/>
        <w:rPr>
          <w:sz w:val="20"/>
          <w:szCs w:val="20"/>
          <w:color w:val="auto"/>
        </w:rPr>
      </w:pPr>
      <w:r>
        <w:rPr>
          <w:rFonts w:ascii="Arial" w:cs="Arial" w:eastAsia="Arial" w:hAnsi="Arial"/>
          <w:sz w:val="20"/>
          <w:szCs w:val="20"/>
          <w:color w:val="auto"/>
        </w:rPr>
        <w:t>Unless expressly indicated or the context requires otherwise, the terms “Sotera Health,” “Company,” “we,” “us,” and “our” in this Annual Report on Form 10-K refer to Sotera Health Company, a Delaware corporation, and, where appropriate, its subsidiaries on a consolidated basis.</w:t>
      </w:r>
    </w:p>
    <w:p>
      <w:pPr>
        <w:sectPr>
          <w:pgSz w:w="11880" w:h="15480" w:orient="portrait"/>
          <w:cols w:equalWidth="0" w:num="1">
            <w:col w:w="10220"/>
          </w:cols>
          <w:pgMar w:left="820" w:top="41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880" w:h="15480" w:orient="portrait"/>
          <w:cols w:equalWidth="0" w:num="1">
            <w:col w:w="10220"/>
          </w:cols>
          <w:pgMar w:left="820" w:top="412" w:right="840" w:bottom="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Information</w:t>
      </w:r>
    </w:p>
    <w:p>
      <w:pPr>
        <w:spacing w:after="0" w:line="217"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We are a leading global provider of mission-critical end-to-end sterilization solutions, lab testing and advisory services for the healthcare industry. We are driven by our mission: Safeguarding Global Health</w:t>
      </w:r>
      <w:r>
        <w:rPr>
          <w:rFonts w:ascii="Arial" w:cs="Arial" w:eastAsia="Arial" w:hAnsi="Arial"/>
          <w:sz w:val="12"/>
          <w:szCs w:val="12"/>
          <w:color w:val="auto"/>
        </w:rPr>
        <w:t>®</w:t>
      </w:r>
      <w:r>
        <w:rPr>
          <w:rFonts w:ascii="Arial" w:cs="Arial" w:eastAsia="Arial" w:hAnsi="Arial"/>
          <w:sz w:val="19"/>
          <w:szCs w:val="19"/>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2025,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are a trusted partner to customers in over 50 countries. We strive to give our customers confidence that their products meet regulatory, safety and effectiveness requirements. With our industry-recognized scientific and technological expertise, we help to ensure the safety of millions of patients and healthcare practitioners around the world. Across our 62 facilities worldwide, we have over 3,000 employees who are dedicated to safety and quality.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Sterilization Services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Our sterilization services business is comprised of Sterigenics and Nordion.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Sterigenics</w:t>
      </w:r>
    </w:p>
    <w:p>
      <w:pPr>
        <w:spacing w:after="0" w:line="218" w:lineRule="exact"/>
        <w:rPr>
          <w:sz w:val="20"/>
          <w:szCs w:val="20"/>
          <w:color w:val="auto"/>
        </w:rPr>
      </w:pPr>
    </w:p>
    <w:p>
      <w:pPr>
        <w:ind w:right="320"/>
        <w:spacing w:after="0" w:line="261" w:lineRule="auto"/>
        <w:rPr>
          <w:sz w:val="20"/>
          <w:szCs w:val="20"/>
          <w:color w:val="auto"/>
        </w:rPr>
      </w:pPr>
      <w:r>
        <w:rPr>
          <w:rFonts w:ascii="Arial" w:cs="Arial" w:eastAsia="Arial" w:hAnsi="Arial"/>
          <w:sz w:val="20"/>
          <w:szCs w:val="20"/>
          <w:color w:val="auto"/>
        </w:rPr>
        <w:t>We are a leading global provider of outsourced terminal sterilization and irradiation services and have provided sterilization services for over 90 years. We offer a globally integrated platform for our customers in the medical device, pharmaceutical, food safety, and advanced applications markets, with facilities strategically located to be convenient to our customers’ manufacturing sites and distribution hubs or routes.</w:t>
      </w:r>
    </w:p>
    <w:p>
      <w:pPr>
        <w:spacing w:after="0" w:line="160"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Terminal sterilization is the process of sterilizing a product in its final packaging; it is an essential, and often government-mandated, last step in the manufacturing process of healthcare products before they are shipped to end-users. The products that we sterilize include procedure kits and trays, implants, syringes, catheters, wound care products, medical protective barriers, including personal protective equipment (“PPE”), laboratory products and pharmaceuticals.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Sterilization Services</w:t>
      </w:r>
    </w:p>
    <w:p>
      <w:pPr>
        <w:spacing w:after="0" w:line="213"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and we continue to explore new alternative modalities and technologies.</w:t>
      </w:r>
    </w:p>
    <w:p>
      <w:pPr>
        <w:spacing w:after="0" w:line="121" w:lineRule="exact"/>
        <w:rPr>
          <w:sz w:val="20"/>
          <w:szCs w:val="20"/>
          <w:color w:val="auto"/>
        </w:rPr>
      </w:pPr>
    </w:p>
    <w:p>
      <w:pPr>
        <w:ind w:right="180"/>
        <w:spacing w:after="0" w:line="283" w:lineRule="auto"/>
        <w:rPr>
          <w:sz w:val="20"/>
          <w:szCs w:val="20"/>
          <w:color w:val="auto"/>
        </w:rPr>
      </w:pPr>
      <w:r>
        <w:rPr>
          <w:rFonts w:ascii="Arial" w:cs="Arial" w:eastAsia="Arial" w:hAnsi="Arial"/>
          <w:sz w:val="20"/>
          <w:szCs w:val="20"/>
          <w:color w:val="auto"/>
        </w:rPr>
        <w:t>We provide gamma irradiation services at 23 of our facilities, EO processing services at 17 of our facilities and electron beam (“E-beam”) irradiation services at eight of our facilities.</w:t>
      </w:r>
    </w:p>
    <w:p>
      <w:pPr>
        <w:spacing w:after="0" w:line="138"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We also invest in alternative modalities to serve our customers. X-ray irradiation is a process in which products, such as medical devices and labware, are exposed to machine-generated radiation in the form of X-rays for the purpose of sterilization and decontamination. Final qualification is currently underway for a new X-Ray facility adjacent to an existing gamma facility. We are also investing in NO2-based sterilization and other technologies, which have been effective in the sterilization of prefilled syringes, drug-device combination products and custom implants.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Sterilization Applications</w:t>
      </w:r>
    </w:p>
    <w:p>
      <w:pPr>
        <w:spacing w:after="0" w:line="213"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auto"/>
        </w:rPr>
        <w:t>Sterigenics primarily provides sterilization services for medical device manufacturers and the pharmaceutical industry and also provides microbial reduction services for the food industry. Additionally, Sterigenics provides various advanced applications for other organizations and companies, including the USPS and semiconductor manufacturers. Our customers determine the sterilization method that meets the needs of their products and requirements of regulators and we deliver sterilization services according to their customer-specific protocols. In most cases, customers are serviced by more than one facility.</w:t>
      </w:r>
    </w:p>
    <w:p>
      <w:pPr>
        <w:sectPr>
          <w:pgSz w:w="11880" w:h="15480" w:orient="portrait"/>
          <w:cols w:equalWidth="0" w:num="1">
            <w:col w:w="10220"/>
          </w:cols>
          <w:pgMar w:left="820" w:top="40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880" w:h="15480" w:orient="portrait"/>
          <w:cols w:equalWidth="0" w:num="1">
            <w:col w:w="10220"/>
          </w:cols>
          <w:pgMar w:left="820" w:top="405" w:right="840" w:bottom="0" w:gutter="0" w:footer="0" w:header="0"/>
          <w:type w:val="continuous"/>
        </w:sectPr>
      </w:pPr>
    </w:p>
    <w:bookmarkStart w:id="14" w:name="page15"/>
    <w:bookmarkEnd w:id="14"/>
    <w:p>
      <w:pPr>
        <w:ind w:left="720" w:right="160" w:hanging="370"/>
        <w:spacing w:after="0" w:line="287" w:lineRule="auto"/>
        <w:tabs>
          <w:tab w:leader="none" w:pos="72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Medical device sterilization</w:t>
      </w:r>
      <w:r>
        <w:rPr>
          <w:rFonts w:ascii="Arial" w:cs="Arial" w:eastAsia="Arial" w:hAnsi="Arial"/>
          <w:sz w:val="19"/>
          <w:szCs w:val="19"/>
          <w:color w:val="auto"/>
        </w:rPr>
        <w:t>. Medical device sterilization is a regulatory requirement in many jurisdictions and an important and last step performed prior to clinical use for many healthcare products such as procedure kits and trays, implants, syringes, catheters, wound care products and medical protective barriers including PPE.</w:t>
      </w:r>
    </w:p>
    <w:p>
      <w:pPr>
        <w:spacing w:after="0" w:line="36" w:lineRule="exact"/>
        <w:rPr>
          <w:rFonts w:ascii="Arial" w:cs="Arial" w:eastAsia="Arial" w:hAnsi="Arial"/>
          <w:sz w:val="19"/>
          <w:szCs w:val="19"/>
          <w:color w:val="auto"/>
        </w:rPr>
      </w:pPr>
    </w:p>
    <w:p>
      <w:pPr>
        <w:ind w:left="720" w:right="40" w:hanging="370"/>
        <w:spacing w:after="0" w:line="261"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Pharmaceuticals</w:t>
      </w:r>
      <w:r>
        <w:rPr>
          <w:rFonts w:ascii="Arial" w:cs="Arial" w:eastAsia="Arial" w:hAnsi="Arial"/>
          <w:sz w:val="20"/>
          <w:szCs w:val="20"/>
          <w:color w:val="auto"/>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spacing w:after="0" w:line="59" w:lineRule="exact"/>
        <w:rPr>
          <w:rFonts w:ascii="Arial" w:cs="Arial" w:eastAsia="Arial" w:hAnsi="Arial"/>
          <w:sz w:val="20"/>
          <w:szCs w:val="20"/>
          <w:color w:val="auto"/>
        </w:rPr>
      </w:pPr>
    </w:p>
    <w:p>
      <w:pPr>
        <w:ind w:left="720" w:right="280" w:hanging="370"/>
        <w:spacing w:after="0" w:line="261"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Food and agricultural products</w:t>
      </w:r>
      <w:r>
        <w:rPr>
          <w:rFonts w:ascii="Arial" w:cs="Arial" w:eastAsia="Arial" w:hAnsi="Arial"/>
          <w:sz w:val="20"/>
          <w:szCs w:val="20"/>
          <w:color w:val="auto"/>
        </w:rPr>
        <w:t>.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w:t>
      </w:r>
    </w:p>
    <w:p>
      <w:pPr>
        <w:spacing w:after="0" w:line="59" w:lineRule="exact"/>
        <w:rPr>
          <w:rFonts w:ascii="Arial" w:cs="Arial" w:eastAsia="Arial" w:hAnsi="Arial"/>
          <w:sz w:val="20"/>
          <w:szCs w:val="20"/>
          <w:color w:val="auto"/>
        </w:rPr>
      </w:pPr>
    </w:p>
    <w:p>
      <w:pPr>
        <w:ind w:left="720" w:hanging="370"/>
        <w:spacing w:after="0" w:line="258"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Commercial, advanced and specialty applications</w:t>
      </w:r>
      <w:r>
        <w:rPr>
          <w:rFonts w:ascii="Arial" w:cs="Arial" w:eastAsia="Arial" w:hAnsi="Arial"/>
          <w:sz w:val="20"/>
          <w:szCs w:val="20"/>
          <w:color w:val="auto"/>
        </w:rPr>
        <w:t>. We provide a wide range of advanced applications services for industrial materials to customers that use ionizing radiation to modify materials or products. The advanced applications sterilization industry is comprised of a large number of distinct segments that can be addressed using our services for radiation processing. Materials that undergo advanced application processes include products such as power semiconductors, polymers and gemstones.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Sterigenics Customers</w:t>
      </w:r>
    </w:p>
    <w:p>
      <w:pPr>
        <w:spacing w:after="0" w:line="213"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Sterigenics serves more than 2,000 customers in industries ranging from medical device and healthcare products, pharmaceuticals, food and agricultural products as well as advanced commercial materials. 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Sterigenics has achieved high historical customer retention and renewal rates—Sterigenics has 100% renewal rates of its top ten customers for more than five consecutive years, and an average tenure of over a decade with its top 25 customers over the last five years—and minimal customer concentration, as no single customer accounted for more than 10% of our total revenues. We have also introduced innovative, advanced processing systems for outsourced sterilization that are designed to enhance operating efficiencies, improve turnaround times and provide for greater processing flexibility without sacrificing quality, consistency or reliability. More than 90% of Sterigenics’ revenues for the year ended December 31, 2025 were from customers under multi-year contracts.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Sterigenics Competition</w:t>
      </w:r>
    </w:p>
    <w:p>
      <w:pPr>
        <w:spacing w:after="0" w:line="213"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We compete globally with Applied Sterilization Technologies, a segment of STERIS plc, as well as other smaller or regional outsourced sterilization companies. In addition, some manufacturers have invested or are investing in in-house sterilization capabilities. We also face competition from other technologies. Our services generally compete on the basis of the quality of technology and services offered, level of expertise in each of the major sterilization methods, level of expertise in the applicable regulatory requirements, proximity to customers and the cost of services.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Sterigenics Suppliers</w:t>
      </w:r>
    </w:p>
    <w:p>
      <w:pPr>
        <w:spacing w:after="0" w:line="213"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Sterigenics primarily purchases its supply of Co-60 sources, the key input into the gamma sterilization process, from Nordion.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the need to make the necessary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Sterigenics Facilities</w:t>
      </w:r>
    </w:p>
    <w:p>
      <w:pPr>
        <w:spacing w:after="0" w:line="253"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With 48 facilities in 13 countries, our global network of sterilization facilities represents a significant competitive advantage. We serve many of our sterilization customers at more than one facility. Our global facility network, built and expanded over several decades, is strategically located convenient to customers’ manufacturing sites and distribution hubs or routes. Extensive capital, technical expertise and regulatory knowledge are required to build and maintain our facilities. We estimate that building a new facility to cost over $50 million and the cost may vary depending on sterilization modality, in addition to requiring extensive and complex licensing approval and regulatory compliance processes.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880" w:h="15480" w:orient="portrait"/>
          <w:cols w:equalWidth="0" w:num="1">
            <w:col w:w="10240"/>
          </w:cols>
          <w:pgMar w:left="820" w:top="412" w:right="820" w:bottom="0" w:gutter="0" w:footer="0" w:header="0"/>
          <w:type w:val="continuous"/>
        </w:sectPr>
      </w:pPr>
    </w:p>
    <w:bookmarkStart w:id="15" w:name="page16"/>
    <w:bookmarkEnd w:id="15"/>
    <w:p>
      <w:pPr>
        <w:ind w:right="80"/>
        <w:spacing w:after="0" w:line="279" w:lineRule="auto"/>
        <w:rPr>
          <w:sz w:val="20"/>
          <w:szCs w:val="20"/>
          <w:color w:val="auto"/>
        </w:rPr>
      </w:pPr>
      <w:r>
        <w:rPr>
          <w:rFonts w:ascii="Arial" w:cs="Arial" w:eastAsia="Arial" w:hAnsi="Arial"/>
          <w:sz w:val="19"/>
          <w:szCs w:val="19"/>
          <w:color w:val="auto"/>
        </w:rPr>
        <w:t>By leveraging a global operating system, we drive operational excellence across our network of facilities to achieve high levels of safety, quality, operating efficiency and customer satisfaction to provide a uniform customer experience. Most of our facilities are either International Organization for Standardization (“ISO”) 13485 certified, ISO 9001 certified, or both, as well as licensed and registered in all necessary jurisdictions to comply with government required regulations.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Nordion</w:t>
      </w:r>
    </w:p>
    <w:p>
      <w:pPr>
        <w:spacing w:after="0" w:line="218"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Nordion is the leading global provider of Co-60 used in sterilization and irradiation processes for the medical device, pharmaceutical, food safety, and high-performance materials industries, as well as in the treatment of cancer. Co-60 is a radioactive isotope that emits gamma radiation that sterilizes items by killing contaminating micro-organisms. In addition, Nordion is a leading global provider of gamma irradiation systems, which are the units that house the Co-60 sources within a gamma sterilization facility. We estimate that gamma sterilization, which is a critical component of the global infection control supply chain, accounts for approximately 30% of single-use medical device sterilization worldwide. Nordion’s customers include outsourced contract sterilizers, including Sterigenics, medical device manufacturers that sterilize their products in-house and other specialized medical device manufacturers. Approximately 90% of Nordion’s revenues for the year ended December 31, 2025 were from customers under multi-year contracts.</w:t>
      </w:r>
    </w:p>
    <w:p>
      <w:pPr>
        <w:spacing w:after="0" w:line="15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and enhance effectiveness of gamma processing operations. Without this radioactive material, gamma sterilization would not be possible on the global scale at which it is used today. We are integral to our customers’ operations due to highly coordinated and complex installation processes.</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Nordion has a long history in gamma technologies. Nordion designs, installs and maintains gamma irradiation systems.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Gamma Knife</w:t>
      </w:r>
      <w:r>
        <w:rPr>
          <w:rFonts w:ascii="Arial" w:cs="Arial" w:eastAsia="Arial" w:hAnsi="Arial"/>
          <w:sz w:val="13"/>
          <w:szCs w:val="13"/>
          <w:color w:val="auto"/>
        </w:rPr>
        <w:t>®</w:t>
      </w:r>
      <w:r>
        <w:rPr>
          <w:rFonts w:ascii="Arial" w:cs="Arial" w:eastAsia="Arial" w:hAnsi="Arial"/>
          <w:sz w:val="20"/>
          <w:szCs w:val="20"/>
          <w:color w:val="auto"/>
        </w:rPr>
        <w:t xml:space="preserve"> and other similar applications. Today, Co-60 is a critical part of treatment for brain and other cancers because it is noninvasive, reliable, effective and safe to use.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Co-60 Production Process</w:t>
      </w:r>
    </w:p>
    <w:p>
      <w:pPr>
        <w:spacing w:after="0" w:line="213" w:lineRule="exact"/>
        <w:rPr>
          <w:sz w:val="20"/>
          <w:szCs w:val="20"/>
          <w:color w:val="auto"/>
        </w:rPr>
      </w:pPr>
    </w:p>
    <w:p>
      <w:pPr>
        <w:jc w:val="both"/>
        <w:ind w:right="140"/>
        <w:spacing w:after="0" w:line="266" w:lineRule="auto"/>
        <w:rPr>
          <w:sz w:val="20"/>
          <w:szCs w:val="20"/>
          <w:color w:val="auto"/>
        </w:rPr>
      </w:pPr>
      <w:r>
        <w:rPr>
          <w:rFonts w:ascii="Arial" w:cs="Arial" w:eastAsia="Arial" w:hAnsi="Arial"/>
          <w:sz w:val="20"/>
          <w:szCs w:val="20"/>
          <w:color w:val="auto"/>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spacing w:after="0" w:line="155" w:lineRule="exact"/>
        <w:rPr>
          <w:sz w:val="20"/>
          <w:szCs w:val="20"/>
          <w:color w:val="auto"/>
        </w:rPr>
      </w:pPr>
    </w:p>
    <w:p>
      <w:pPr>
        <w:jc w:val="both"/>
        <w:ind w:right="140"/>
        <w:spacing w:after="0" w:line="278" w:lineRule="auto"/>
        <w:rPr>
          <w:sz w:val="20"/>
          <w:szCs w:val="20"/>
          <w:color w:val="auto"/>
        </w:rPr>
      </w:pPr>
      <w:r>
        <w:rPr>
          <w:rFonts w:ascii="Arial" w:cs="Arial" w:eastAsia="Arial" w:hAnsi="Arial"/>
          <w:sz w:val="18"/>
          <w:szCs w:val="18"/>
          <w:color w:val="auto"/>
        </w:rPr>
        <w:t>The Co-60 production process requires high purity Co-59. Co-59 is produced globally, primarily as a byproduct of nickel and copper mining, and used in a variety of industrial applications. The Co-59 used for sterilization accounts for a small portion of overall Co-59 demand. Co-59 is compressed into “targets,” which are pellets and slugs suitable to be activated into Co-60.</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These targets are then encapsulated and delivered to be installed in nuclear reactors. Depending on the type of reactor and the location of the Co-59 in the reactor, the conversion process can take between 18 months to five years. Once the conversion to Co-60 is complete, the targets are extracted from the nuclear reactor, often while the reactor is shut down and shipped to Nordion to be processed into Co-60 sources to be sold to customers.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Nordion Products</w:t>
      </w:r>
    </w:p>
    <w:p>
      <w:pPr>
        <w:spacing w:after="0" w:line="213"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Co-60 is sold to customers by its level of radioactivity as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Ottawa facility. The final product is then placed in specialized containers, which Nordion uses to transport Co-60 to our customers.</w:t>
      </w:r>
    </w:p>
    <w:p>
      <w:pPr>
        <w:spacing w:after="0" w:line="148"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880" w:h="15480" w:orient="portrait"/>
          <w:cols w:equalWidth="0" w:num="1">
            <w:col w:w="10240"/>
          </w:cols>
          <w:pgMar w:left="820" w:top="412" w:right="820" w:bottom="0" w:gutter="0" w:footer="0" w:header="0"/>
          <w:type w:val="continuous"/>
        </w:sectPr>
      </w:pPr>
    </w:p>
    <w:bookmarkStart w:id="16" w:name="page17"/>
    <w:bookmarkEnd w:id="16"/>
    <w:p>
      <w:pPr>
        <w:spacing w:after="0" w:line="273" w:lineRule="auto"/>
        <w:rPr>
          <w:sz w:val="20"/>
          <w:szCs w:val="20"/>
          <w:color w:val="auto"/>
        </w:rPr>
      </w:pPr>
      <w:r>
        <w:rPr>
          <w:rFonts w:ascii="Arial" w:cs="Arial" w:eastAsia="Arial" w:hAnsi="Arial"/>
          <w:sz w:val="19"/>
          <w:szCs w:val="19"/>
          <w:color w:val="auto"/>
        </w:rPr>
        <w:t>We also design, install and maintain gamma irradiation systems, which include radiation shielding, a series of conveyors and control systems that are designed to expose products to the correct gamma radiation dosage in a safe and efficient manner. A gamma irradiation system is the infrastructure that houses the Co-60 sources and makes up a part of a sterilization and warehousing facility. There are over 200 large scale irradiation systems active globally, with over 120 of them built by Nordion. Our installation, physics and engineering teams are comprised of highly trained professionals who provide fast and ongoing technical support from source installation to emergency response.</w:t>
      </w:r>
    </w:p>
    <w:p>
      <w:pPr>
        <w:spacing w:after="0" w:line="149"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We also offer our customers a for-fee spent Co-60 source return service for depleted Co-60 sources that have reached the end of their useful life, which is often 20 or more years. We also have a source recycling program that extends the useful life of individual slugs from the decayed product up to an additional 20 years, pairing them with new slugs to make new Co-60 sources.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 Reactor Operators</w:t>
      </w:r>
    </w:p>
    <w:p>
      <w:pPr>
        <w:spacing w:after="0" w:line="213" w:lineRule="exact"/>
        <w:rPr>
          <w:sz w:val="20"/>
          <w:szCs w:val="20"/>
          <w:color w:val="auto"/>
        </w:rPr>
      </w:pPr>
    </w:p>
    <w:p>
      <w:pPr>
        <w:ind w:right="160"/>
        <w:spacing w:after="0" w:line="283" w:lineRule="auto"/>
        <w:rPr>
          <w:sz w:val="20"/>
          <w:szCs w:val="20"/>
          <w:color w:val="auto"/>
        </w:rPr>
      </w:pPr>
      <w:r>
        <w:rPr>
          <w:rFonts w:ascii="Arial" w:cs="Arial" w:eastAsia="Arial" w:hAnsi="Arial"/>
          <w:sz w:val="20"/>
          <w:szCs w:val="20"/>
          <w:color w:val="auto"/>
        </w:rPr>
        <w:t>Given the timeline required to produce Co-60, forecasting supply and working closely with nuclear power reactor operators to manage the amount and timing of shipments represents an important business capability of Nordion.</w:t>
      </w:r>
    </w:p>
    <w:p>
      <w:pPr>
        <w:spacing w:after="0" w:line="138"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The amount of Co-60 supply is ultimately determined by the number of nuclear reactors that are capable of producing Co-60 at a given point in time. Our access to Co-60 tends to vary on a quarterly basis, due primarily to nuclear reactor maintenance schedules, the length of time required to convert Co-59 into Co-60, the limited number of facilities that can generate Co-60 in an economically efficient manner, and the timing of the removal of Co-60 from reactors. While short-term variability in Co-60 supplier delivery timing can sometimes result in variability in our financial performance across fiscal quarters, we work with multiple reactor sites that operate on consistent and predictable discharge and harvest schedules over the long-term.</w:t>
      </w:r>
    </w:p>
    <w:p>
      <w:pPr>
        <w:spacing w:after="0" w:line="139"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Nordion currently has access to Co-60 supply at multiple nuclear reactors pursuant to multi-year contracts with three operators that cover 13 reactors at five generating stations, that extend to dates between 2026 and 2064, with our largest supplier under contract until 2064.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We also acquire a portion of our Co-60 supply from reactors that produce Co-60 in Argentina, China and India.</w:t>
      </w:r>
    </w:p>
    <w:p>
      <w:pPr>
        <w:spacing w:after="0" w:line="149"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The vertical integration of Nordion and Sterigenics has allowed us to more confidently make meaningful long-term investments to expand Co-60 supply for the medical products sterilization industry. Nordion has partnered with Westinghouse Electric Company to develop technology for production of Co-60 in Pressurized Water reactors, and recently announced that PSEG will be the first utility to produce Co-60 in the U.S. The program has the ability to scale to more reactors in the U.S. and abroad, further increasing the robustness and reliability of the global supply chain. In addition, Nordion has made a significant investment in implementing Co-60 production capability at the Darlington reactors in Ontario, a project which is nearing completion.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Nordion Customers</w:t>
      </w:r>
    </w:p>
    <w:p>
      <w:pPr>
        <w:spacing w:after="0" w:line="213" w:lineRule="exact"/>
        <w:rPr>
          <w:sz w:val="20"/>
          <w:szCs w:val="20"/>
          <w:color w:val="auto"/>
        </w:rPr>
      </w:pPr>
    </w:p>
    <w:p>
      <w:pPr>
        <w:ind w:right="560"/>
        <w:spacing w:after="0" w:line="279" w:lineRule="auto"/>
        <w:rPr>
          <w:sz w:val="20"/>
          <w:szCs w:val="20"/>
          <w:color w:val="auto"/>
        </w:rPr>
      </w:pPr>
      <w:r>
        <w:rPr>
          <w:rFonts w:ascii="Arial" w:cs="Arial" w:eastAsia="Arial" w:hAnsi="Arial"/>
          <w:sz w:val="19"/>
          <w:szCs w:val="19"/>
          <w:color w:val="auto"/>
        </w:rPr>
        <w:t>Nordion primarily serves medical device manufacturers and gamma sterilization service providers.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spacing w:after="0" w:line="144" w:lineRule="exact"/>
        <w:rPr>
          <w:sz w:val="20"/>
          <w:szCs w:val="20"/>
          <w:color w:val="auto"/>
        </w:rPr>
      </w:pPr>
    </w:p>
    <w:p>
      <w:pPr>
        <w:ind w:right="200"/>
        <w:spacing w:after="0" w:line="258" w:lineRule="auto"/>
        <w:rPr>
          <w:sz w:val="20"/>
          <w:szCs w:val="20"/>
          <w:color w:val="auto"/>
        </w:rPr>
      </w:pPr>
      <w:r>
        <w:rPr>
          <w:rFonts w:ascii="Arial" w:cs="Arial" w:eastAsia="Arial" w:hAnsi="Arial"/>
          <w:sz w:val="20"/>
          <w:szCs w:val="20"/>
          <w:color w:val="auto"/>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remain in place today, and certain of our agreements with Nordion’s customers require that we maintain these barriers. These barriers prohibit us from managing a customer pricing strategy across our Sterigenics and Nordion segments.</w:t>
      </w:r>
    </w:p>
    <w:p>
      <w:pPr>
        <w:spacing w:after="0" w:line="164" w:lineRule="exact"/>
        <w:rPr>
          <w:sz w:val="20"/>
          <w:szCs w:val="20"/>
          <w:color w:val="auto"/>
        </w:rPr>
      </w:pPr>
    </w:p>
    <w:p>
      <w:pPr>
        <w:ind w:right="340"/>
        <w:spacing w:after="0" w:line="309" w:lineRule="auto"/>
        <w:rPr>
          <w:sz w:val="20"/>
          <w:szCs w:val="20"/>
          <w:color w:val="auto"/>
        </w:rPr>
      </w:pPr>
      <w:r>
        <w:rPr>
          <w:rFonts w:ascii="Arial" w:cs="Arial" w:eastAsia="Arial" w:hAnsi="Arial"/>
          <w:sz w:val="18"/>
          <w:szCs w:val="18"/>
          <w:color w:val="auto"/>
        </w:rPr>
        <w:t>We are a leading global supplier of HSA Co-60 used in oncology-related stereotactic radiosurgery devices, including the Gamma Knife</w:t>
      </w:r>
      <w:r>
        <w:rPr>
          <w:rFonts w:ascii="Arial" w:cs="Arial" w:eastAsia="Arial" w:hAnsi="Arial"/>
          <w:sz w:val="12"/>
          <w:szCs w:val="12"/>
          <w:color w:val="auto"/>
        </w:rPr>
        <w:t>®</w:t>
      </w:r>
      <w:r>
        <w:rPr>
          <w:rFonts w:ascii="Arial" w:cs="Arial" w:eastAsia="Arial" w:hAnsi="Arial"/>
          <w:sz w:val="18"/>
          <w:szCs w:val="18"/>
          <w:color w:val="auto"/>
        </w:rPr>
        <w:t>, which use directed gamma rays for certain oncology applications. We also supply other medical equipment manufacturers and sub-contractors in the industry who require the concentrated radiation dose capabilities of HSA Co-60.</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Nordion Competition</w:t>
      </w:r>
    </w:p>
    <w:p>
      <w:pPr>
        <w:spacing w:after="0" w:line="213" w:lineRule="exact"/>
        <w:rPr>
          <w:sz w:val="20"/>
          <w:szCs w:val="20"/>
          <w:color w:val="auto"/>
        </w:rPr>
      </w:pPr>
    </w:p>
    <w:p>
      <w:pPr>
        <w:ind w:right="180"/>
        <w:spacing w:after="0" w:line="341" w:lineRule="auto"/>
        <w:rPr>
          <w:sz w:val="20"/>
          <w:szCs w:val="20"/>
          <w:color w:val="auto"/>
        </w:rPr>
      </w:pPr>
      <w:r>
        <w:rPr>
          <w:rFonts w:ascii="Arial" w:cs="Arial" w:eastAsia="Arial" w:hAnsi="Arial"/>
          <w:sz w:val="18"/>
          <w:szCs w:val="18"/>
          <w:color w:val="auto"/>
        </w:rPr>
        <w:t>Nordion’s competitors in Argentina, India and Russia operate primarily in domestic markets, with a smaller portion of their production being exported, usually to countries in close proximity. The competitor in Russia has historically supplied markets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880" w:h="15480" w:orient="portrait"/>
          <w:cols w:equalWidth="0" w:num="1">
            <w:col w:w="10240"/>
          </w:cols>
          <w:pgMar w:left="820" w:top="412" w:right="820" w:bottom="0" w:gutter="0" w:footer="0" w:header="0"/>
          <w:type w:val="continuous"/>
        </w:sectPr>
      </w:pPr>
    </w:p>
    <w:bookmarkStart w:id="17" w:name="page18"/>
    <w:bookmarkEnd w:id="17"/>
    <w:p>
      <w:pPr>
        <w:ind w:right="60"/>
        <w:spacing w:after="0" w:line="257" w:lineRule="auto"/>
        <w:rPr>
          <w:sz w:val="20"/>
          <w:szCs w:val="20"/>
          <w:color w:val="auto"/>
        </w:rPr>
      </w:pPr>
      <w:r>
        <w:rPr>
          <w:rFonts w:ascii="Arial" w:cs="Arial" w:eastAsia="Arial" w:hAnsi="Arial"/>
          <w:sz w:val="20"/>
          <w:szCs w:val="20"/>
          <w:color w:val="auto"/>
        </w:rPr>
        <w:t>in China and Europe, but has faced export challenges in recent years given the current geopolitical situation. These competitors could potentially increase their production capacity in the future, though not without significant capital investment. Nordion also competes indirectly with other developing modalities of sterilization, such as X-ray technology, which uses electricity to generate radiation and therefore does not require Co-60 sources. Nordion’s main competitors in the HSA Co-60 industry include suppliers in China, Sweden and North America that have the capability to produce medical Co-60 sources with cobalt supplied by any of the cobalt-producing countries.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Nordion Facilities</w:t>
      </w: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Nordion’s operations are supported by a facility in Kanata, Canada dedicated to processing and shipping cobalt, and a European distribution facility in Milton, United Kingdom.</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Lab Testing and Advisory Services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Nelson Labs</w:t>
      </w:r>
    </w:p>
    <w:p>
      <w:pPr>
        <w:spacing w:after="0" w:line="218"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Nelson Labs is a global leader in outsourced microbiological and analytical chemistry testing services for the medical device and pharmaceutical industries. Lab testing and advisory services are necessary across the medical device and pharmaceutical product lifecycles to evaluate and ensure the safety and effectiveness of healthcare products. In addition to our testing services, our customers often call upon our experts for technical assistance, regulatory consulting and our advisory services. Nelson Labs is seen as a critical partner for our customers through our delivery of high-quality services, quick testing turnaround times, responsiveness, high-touch support and easy accessibility to our science and service teams.</w:t>
      </w:r>
    </w:p>
    <w:p>
      <w:pPr>
        <w:spacing w:after="0" w:line="139"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Our microbiology and analytical chemistry services include over 900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spacing w:after="0" w:line="136" w:lineRule="exact"/>
        <w:rPr>
          <w:sz w:val="20"/>
          <w:szCs w:val="20"/>
          <w:color w:val="auto"/>
        </w:rPr>
      </w:pPr>
    </w:p>
    <w:p>
      <w:pPr>
        <w:jc w:val="both"/>
        <w:ind w:left="720" w:right="620" w:hanging="370"/>
        <w:spacing w:after="0" w:line="266"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Product Development and Validation</w:t>
      </w:r>
      <w:r>
        <w:rPr>
          <w:rFonts w:ascii="Arial" w:cs="Arial" w:eastAsia="Arial" w:hAnsi="Arial"/>
          <w:sz w:val="20"/>
          <w:szCs w:val="20"/>
          <w:color w:val="auto"/>
        </w:rPr>
        <w:t>. Prior to a new medical product or alteration to an existing product being submitted for regulatory approval, Nelson Labs provides a variety of tests to customers during the research and development stage. These include tests that assist the client in:</w:t>
      </w:r>
    </w:p>
    <w:p>
      <w:pPr>
        <w:spacing w:after="0" w:line="53" w:lineRule="exact"/>
        <w:rPr>
          <w:sz w:val="20"/>
          <w:szCs w:val="20"/>
          <w:color w:val="auto"/>
        </w:rPr>
      </w:pPr>
    </w:p>
    <w:tbl>
      <w:tblPr>
        <w:tblLayout w:type="fixed"/>
        <w:tblInd w:w="660" w:type="dxa"/>
        <w:tblCellMar>
          <w:top w:w="0" w:type="dxa"/>
          <w:left w:w="0" w:type="dxa"/>
          <w:bottom w:w="0" w:type="dxa"/>
          <w:right w:w="0" w:type="dxa"/>
        </w:tblCellMar>
      </w:tblPr>
      <w:tr>
        <w:trPr>
          <w:trHeight w:val="252"/>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340" w:type="dxa"/>
            <w:vAlign w:val="bottom"/>
          </w:tcPr>
          <w:p>
            <w:pPr>
              <w:ind w:left="120"/>
              <w:spacing w:after="0"/>
              <w:rPr>
                <w:sz w:val="20"/>
                <w:szCs w:val="20"/>
                <w:color w:val="auto"/>
              </w:rPr>
            </w:pPr>
            <w:r>
              <w:rPr>
                <w:rFonts w:ascii="Arial" w:cs="Arial" w:eastAsia="Arial" w:hAnsi="Arial"/>
                <w:sz w:val="20"/>
                <w:szCs w:val="20"/>
                <w:b w:val="1"/>
                <w:bCs w:val="1"/>
                <w:color w:val="auto"/>
              </w:rPr>
              <w:t> </w:t>
            </w:r>
            <w:r>
              <w:rPr>
                <w:rFonts w:ascii="Arial" w:cs="Arial" w:eastAsia="Arial" w:hAnsi="Arial"/>
                <w:sz w:val="20"/>
                <w:szCs w:val="20"/>
                <w:color w:val="auto"/>
              </w:rPr>
              <w:t>Product design</w:t>
            </w:r>
          </w:p>
        </w:tc>
        <w:tc>
          <w:tcPr>
            <w:tcW w:w="5720" w:type="dxa"/>
            <w:vAlign w:val="bottom"/>
            <w:gridSpan w:val="2"/>
          </w:tcPr>
          <w:p>
            <w:pPr>
              <w:ind w:left="380"/>
              <w:spacing w:after="0"/>
              <w:rPr>
                <w:sz w:val="20"/>
                <w:szCs w:val="20"/>
                <w:color w:val="auto"/>
              </w:rPr>
            </w:pPr>
            <w:r>
              <w:rPr>
                <w:rFonts w:ascii="Arial" w:cs="Arial" w:eastAsia="Arial" w:hAnsi="Arial"/>
                <w:sz w:val="20"/>
                <w:szCs w:val="20"/>
                <w:color w:val="auto"/>
              </w:rPr>
              <w:t>◦  Cleaning and disinfection validation (for reusable devices)</w:t>
            </w:r>
          </w:p>
        </w:tc>
      </w:tr>
      <w:tr>
        <w:trPr>
          <w:trHeight w:val="24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340" w:type="dxa"/>
            <w:vAlign w:val="bottom"/>
          </w:tcPr>
          <w:p>
            <w:pPr>
              <w:ind w:left="120"/>
              <w:spacing w:after="0"/>
              <w:rPr>
                <w:sz w:val="20"/>
                <w:szCs w:val="20"/>
                <w:color w:val="auto"/>
              </w:rPr>
            </w:pPr>
            <w:r>
              <w:rPr>
                <w:rFonts w:ascii="Arial" w:cs="Arial" w:eastAsia="Arial" w:hAnsi="Arial"/>
                <w:sz w:val="20"/>
                <w:szCs w:val="20"/>
                <w:color w:val="auto"/>
              </w:rPr>
              <w:t>Material selection</w:t>
            </w:r>
          </w:p>
        </w:tc>
        <w:tc>
          <w:tcPr>
            <w:tcW w:w="620" w:type="dxa"/>
            <w:vAlign w:val="bottom"/>
          </w:tcPr>
          <w:p>
            <w:pPr>
              <w:ind w:left="380"/>
              <w:spacing w:after="0"/>
              <w:rPr>
                <w:sz w:val="20"/>
                <w:szCs w:val="20"/>
                <w:color w:val="auto"/>
              </w:rPr>
            </w:pPr>
            <w:r>
              <w:rPr>
                <w:rFonts w:ascii="Arial" w:cs="Arial" w:eastAsia="Arial" w:hAnsi="Arial"/>
                <w:sz w:val="20"/>
                <w:szCs w:val="20"/>
                <w:color w:val="auto"/>
              </w:rPr>
              <w:t>◦</w:t>
            </w:r>
          </w:p>
        </w:tc>
        <w:tc>
          <w:tcPr>
            <w:tcW w:w="5100" w:type="dxa"/>
            <w:vAlign w:val="bottom"/>
          </w:tcPr>
          <w:p>
            <w:pPr>
              <w:ind w:left="120"/>
              <w:spacing w:after="0"/>
              <w:rPr>
                <w:sz w:val="20"/>
                <w:szCs w:val="20"/>
                <w:color w:val="auto"/>
              </w:rPr>
            </w:pPr>
            <w:r>
              <w:rPr>
                <w:rFonts w:ascii="Arial" w:cs="Arial" w:eastAsia="Arial" w:hAnsi="Arial"/>
                <w:sz w:val="20"/>
                <w:szCs w:val="20"/>
                <w:color w:val="auto"/>
              </w:rPr>
              <w:t>Package barrier properties</w:t>
            </w:r>
          </w:p>
        </w:tc>
      </w:tr>
      <w:tr>
        <w:trPr>
          <w:trHeight w:val="24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340" w:type="dxa"/>
            <w:vAlign w:val="bottom"/>
          </w:tcPr>
          <w:p>
            <w:pPr>
              <w:ind w:left="120"/>
              <w:spacing w:after="0"/>
              <w:rPr>
                <w:sz w:val="20"/>
                <w:szCs w:val="20"/>
                <w:color w:val="auto"/>
              </w:rPr>
            </w:pPr>
            <w:r>
              <w:rPr>
                <w:rFonts w:ascii="Arial" w:cs="Arial" w:eastAsia="Arial" w:hAnsi="Arial"/>
                <w:sz w:val="20"/>
                <w:szCs w:val="20"/>
                <w:color w:val="auto"/>
              </w:rPr>
              <w:t>Biological safety evaluation</w:t>
            </w:r>
          </w:p>
        </w:tc>
        <w:tc>
          <w:tcPr>
            <w:tcW w:w="620" w:type="dxa"/>
            <w:vAlign w:val="bottom"/>
          </w:tcPr>
          <w:p>
            <w:pPr>
              <w:ind w:left="380"/>
              <w:spacing w:after="0"/>
              <w:rPr>
                <w:sz w:val="20"/>
                <w:szCs w:val="20"/>
                <w:color w:val="auto"/>
              </w:rPr>
            </w:pPr>
            <w:r>
              <w:rPr>
                <w:rFonts w:ascii="Arial" w:cs="Arial" w:eastAsia="Arial" w:hAnsi="Arial"/>
                <w:sz w:val="20"/>
                <w:szCs w:val="20"/>
                <w:color w:val="auto"/>
              </w:rPr>
              <w:t>◦</w:t>
            </w:r>
          </w:p>
        </w:tc>
        <w:tc>
          <w:tcPr>
            <w:tcW w:w="5100" w:type="dxa"/>
            <w:vAlign w:val="bottom"/>
          </w:tcPr>
          <w:p>
            <w:pPr>
              <w:ind w:left="120"/>
              <w:spacing w:after="0"/>
              <w:rPr>
                <w:sz w:val="20"/>
                <w:szCs w:val="20"/>
                <w:color w:val="auto"/>
              </w:rPr>
            </w:pPr>
            <w:r>
              <w:rPr>
                <w:rFonts w:ascii="Arial" w:cs="Arial" w:eastAsia="Arial" w:hAnsi="Arial"/>
                <w:sz w:val="20"/>
                <w:szCs w:val="20"/>
                <w:color w:val="auto"/>
              </w:rPr>
              <w:t>Distribution simulation</w:t>
            </w:r>
          </w:p>
        </w:tc>
      </w:tr>
      <w:tr>
        <w:trPr>
          <w:trHeight w:val="24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340" w:type="dxa"/>
            <w:vAlign w:val="bottom"/>
          </w:tcPr>
          <w:p>
            <w:pPr>
              <w:ind w:left="120"/>
              <w:spacing w:after="0"/>
              <w:rPr>
                <w:sz w:val="20"/>
                <w:szCs w:val="20"/>
                <w:color w:val="auto"/>
              </w:rPr>
            </w:pPr>
            <w:r>
              <w:rPr>
                <w:rFonts w:ascii="Arial" w:cs="Arial" w:eastAsia="Arial" w:hAnsi="Arial"/>
                <w:sz w:val="20"/>
                <w:szCs w:val="20"/>
                <w:color w:val="auto"/>
              </w:rPr>
              <w:t>Toxicological risk assessment</w:t>
            </w:r>
          </w:p>
        </w:tc>
        <w:tc>
          <w:tcPr>
            <w:tcW w:w="5720" w:type="dxa"/>
            <w:vAlign w:val="bottom"/>
            <w:gridSpan w:val="2"/>
          </w:tcPr>
          <w:p>
            <w:pPr>
              <w:ind w:left="380"/>
              <w:spacing w:after="0"/>
              <w:rPr>
                <w:sz w:val="20"/>
                <w:szCs w:val="20"/>
                <w:color w:val="auto"/>
              </w:rPr>
            </w:pPr>
            <w:r>
              <w:rPr>
                <w:rFonts w:ascii="Arial" w:cs="Arial" w:eastAsia="Arial" w:hAnsi="Arial"/>
                <w:sz w:val="20"/>
                <w:szCs w:val="20"/>
                <w:color w:val="auto"/>
              </w:rPr>
              <w:t>◦  Filtration efficiency and physical functionality of PPE</w:t>
            </w:r>
          </w:p>
        </w:tc>
      </w:tr>
      <w:tr>
        <w:trPr>
          <w:trHeight w:val="243"/>
        </w:trPr>
        <w:tc>
          <w:tcPr>
            <w:tcW w:w="3580" w:type="dxa"/>
            <w:vAlign w:val="bottom"/>
            <w:gridSpan w:val="2"/>
          </w:tcPr>
          <w:p>
            <w:pPr>
              <w:spacing w:after="0"/>
              <w:rPr>
                <w:sz w:val="20"/>
                <w:szCs w:val="20"/>
                <w:color w:val="auto"/>
              </w:rPr>
            </w:pPr>
            <w:r>
              <w:rPr>
                <w:rFonts w:ascii="Arial" w:cs="Arial" w:eastAsia="Arial" w:hAnsi="Arial"/>
                <w:sz w:val="20"/>
                <w:szCs w:val="20"/>
                <w:color w:val="auto"/>
              </w:rPr>
              <w:t>◦  Sterilization modality selection and</w:t>
            </w:r>
          </w:p>
        </w:tc>
        <w:tc>
          <w:tcPr>
            <w:tcW w:w="620" w:type="dxa"/>
            <w:vAlign w:val="bottom"/>
          </w:tcPr>
          <w:p>
            <w:pPr>
              <w:spacing w:after="0"/>
              <w:rPr>
                <w:sz w:val="21"/>
                <w:szCs w:val="21"/>
                <w:color w:val="auto"/>
              </w:rPr>
            </w:pPr>
          </w:p>
        </w:tc>
        <w:tc>
          <w:tcPr>
            <w:tcW w:w="5100" w:type="dxa"/>
            <w:vAlign w:val="bottom"/>
          </w:tcPr>
          <w:p>
            <w:pPr>
              <w:ind w:left="120"/>
              <w:spacing w:after="0"/>
              <w:rPr>
                <w:sz w:val="20"/>
                <w:szCs w:val="20"/>
                <w:color w:val="auto"/>
              </w:rPr>
            </w:pPr>
            <w:r>
              <w:rPr>
                <w:rFonts w:ascii="Arial" w:cs="Arial" w:eastAsia="Arial" w:hAnsi="Arial"/>
                <w:sz w:val="20"/>
                <w:szCs w:val="20"/>
                <w:color w:val="auto"/>
                <w:w w:val="90"/>
              </w:rPr>
              <w:t>(including surgical facemasks, N95 respirators, gowns, drapes</w:t>
            </w:r>
          </w:p>
        </w:tc>
      </w:tr>
      <w:tr>
        <w:trPr>
          <w:trHeight w:val="261"/>
        </w:trPr>
        <w:tc>
          <w:tcPr>
            <w:tcW w:w="240" w:type="dxa"/>
            <w:vAlign w:val="bottom"/>
          </w:tcPr>
          <w:p>
            <w:pPr>
              <w:spacing w:after="0"/>
              <w:rPr>
                <w:sz w:val="22"/>
                <w:szCs w:val="22"/>
                <w:color w:val="auto"/>
              </w:rPr>
            </w:pPr>
          </w:p>
        </w:tc>
        <w:tc>
          <w:tcPr>
            <w:tcW w:w="3340" w:type="dxa"/>
            <w:vAlign w:val="bottom"/>
          </w:tcPr>
          <w:p>
            <w:pPr>
              <w:ind w:left="120"/>
              <w:spacing w:after="0"/>
              <w:rPr>
                <w:sz w:val="20"/>
                <w:szCs w:val="20"/>
                <w:color w:val="auto"/>
              </w:rPr>
            </w:pPr>
            <w:r>
              <w:rPr>
                <w:rFonts w:ascii="Arial" w:cs="Arial" w:eastAsia="Arial" w:hAnsi="Arial"/>
                <w:sz w:val="20"/>
                <w:szCs w:val="20"/>
                <w:color w:val="auto"/>
              </w:rPr>
              <w:t>sterilization validation</w:t>
            </w:r>
          </w:p>
        </w:tc>
        <w:tc>
          <w:tcPr>
            <w:tcW w:w="620" w:type="dxa"/>
            <w:vAlign w:val="bottom"/>
          </w:tcPr>
          <w:p>
            <w:pPr>
              <w:spacing w:after="0"/>
              <w:rPr>
                <w:sz w:val="22"/>
                <w:szCs w:val="22"/>
                <w:color w:val="auto"/>
              </w:rPr>
            </w:pPr>
          </w:p>
        </w:tc>
        <w:tc>
          <w:tcPr>
            <w:tcW w:w="5100" w:type="dxa"/>
            <w:vAlign w:val="bottom"/>
          </w:tcPr>
          <w:p>
            <w:pPr>
              <w:ind w:left="120"/>
              <w:spacing w:after="0"/>
              <w:rPr>
                <w:sz w:val="20"/>
                <w:szCs w:val="20"/>
                <w:color w:val="auto"/>
              </w:rPr>
            </w:pPr>
            <w:r>
              <w:rPr>
                <w:rFonts w:ascii="Arial" w:cs="Arial" w:eastAsia="Arial" w:hAnsi="Arial"/>
                <w:sz w:val="20"/>
                <w:szCs w:val="20"/>
                <w:color w:val="auto"/>
              </w:rPr>
              <w:t>and other PPE)</w:t>
            </w:r>
          </w:p>
        </w:tc>
      </w:tr>
    </w:tbl>
    <w:p>
      <w:pPr>
        <w:spacing w:after="0" w:line="271" w:lineRule="exact"/>
        <w:rPr>
          <w:sz w:val="20"/>
          <w:szCs w:val="20"/>
          <w:color w:val="auto"/>
        </w:rPr>
      </w:pPr>
    </w:p>
    <w:p>
      <w:pPr>
        <w:ind w:left="720" w:right="20"/>
        <w:spacing w:after="0" w:line="266" w:lineRule="auto"/>
        <w:rPr>
          <w:sz w:val="20"/>
          <w:szCs w:val="20"/>
          <w:color w:val="auto"/>
        </w:rPr>
      </w:pPr>
      <w:r>
        <w:rPr>
          <w:rFonts w:ascii="Arial" w:cs="Arial" w:eastAsia="Arial" w:hAnsi="Arial"/>
          <w:sz w:val="20"/>
          <w:szCs w:val="20"/>
          <w:color w:val="auto"/>
        </w:rPr>
        <w:t>We provide sterilization modality selection and sterilization validation services for a variety of sterilization modalities, including the three major modalities offered by Sterigenics—gamma irradiation, EO processing and E-beam— allowing us to serve our customers in multiple areas.</w:t>
      </w:r>
    </w:p>
    <w:p>
      <w:pPr>
        <w:spacing w:after="0" w:line="155" w:lineRule="exact"/>
        <w:rPr>
          <w:sz w:val="20"/>
          <w:szCs w:val="20"/>
          <w:color w:val="auto"/>
        </w:rPr>
      </w:pPr>
    </w:p>
    <w:p>
      <w:pPr>
        <w:ind w:left="720" w:right="40" w:hanging="370"/>
        <w:spacing w:after="0" w:line="334"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Expert Advisory</w:t>
      </w:r>
      <w:r>
        <w:rPr>
          <w:rFonts w:ascii="Arial" w:cs="Arial" w:eastAsia="Arial" w:hAnsi="Arial"/>
          <w:sz w:val="17"/>
          <w:szCs w:val="17"/>
          <w:color w:val="auto"/>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24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580" w:type="dxa"/>
            <w:vAlign w:val="bottom"/>
          </w:tcPr>
          <w:p>
            <w:pPr>
              <w:ind w:left="120"/>
              <w:spacing w:after="0"/>
              <w:rPr>
                <w:sz w:val="20"/>
                <w:szCs w:val="20"/>
                <w:color w:val="auto"/>
              </w:rPr>
            </w:pPr>
            <w:r>
              <w:rPr>
                <w:rFonts w:ascii="Arial" w:cs="Arial" w:eastAsia="Arial" w:hAnsi="Arial"/>
                <w:sz w:val="20"/>
                <w:szCs w:val="20"/>
                <w:b w:val="1"/>
                <w:bCs w:val="1"/>
                <w:color w:val="auto"/>
              </w:rPr>
              <w:t> </w:t>
            </w:r>
            <w:r>
              <w:rPr>
                <w:rFonts w:ascii="Arial" w:cs="Arial" w:eastAsia="Arial" w:hAnsi="Arial"/>
                <w:sz w:val="20"/>
                <w:szCs w:val="20"/>
                <w:color w:val="auto"/>
              </w:rPr>
              <w:t>Study design</w:t>
            </w:r>
          </w:p>
        </w:tc>
        <w:tc>
          <w:tcPr>
            <w:tcW w:w="400" w:type="dxa"/>
            <w:vAlign w:val="bottom"/>
          </w:tcPr>
          <w:p>
            <w:pPr>
              <w:ind w:left="160"/>
              <w:spacing w:after="0"/>
              <w:rPr>
                <w:sz w:val="20"/>
                <w:szCs w:val="20"/>
                <w:color w:val="auto"/>
              </w:rPr>
            </w:pPr>
            <w:r>
              <w:rPr>
                <w:rFonts w:ascii="Arial" w:cs="Arial" w:eastAsia="Arial" w:hAnsi="Arial"/>
                <w:sz w:val="20"/>
                <w:szCs w:val="20"/>
                <w:color w:val="auto"/>
              </w:rPr>
              <w:t>◦</w:t>
            </w:r>
          </w:p>
        </w:tc>
        <w:tc>
          <w:tcPr>
            <w:tcW w:w="5040" w:type="dxa"/>
            <w:vAlign w:val="bottom"/>
          </w:tcPr>
          <w:p>
            <w:pPr>
              <w:ind w:left="120"/>
              <w:spacing w:after="0"/>
              <w:rPr>
                <w:sz w:val="20"/>
                <w:szCs w:val="20"/>
                <w:color w:val="auto"/>
              </w:rPr>
            </w:pPr>
            <w:r>
              <w:rPr>
                <w:rFonts w:ascii="Arial" w:cs="Arial" w:eastAsia="Arial" w:hAnsi="Arial"/>
                <w:sz w:val="20"/>
                <w:szCs w:val="20"/>
                <w:color w:val="auto"/>
                <w:w w:val="99"/>
              </w:rPr>
              <w:t>Technical troubleshooting and scientific problem solving</w:t>
            </w:r>
          </w:p>
        </w:tc>
        <w:tc>
          <w:tcPr>
            <w:tcW w:w="0" w:type="dxa"/>
            <w:vAlign w:val="bottom"/>
          </w:tcPr>
          <w:p>
            <w:pPr>
              <w:spacing w:after="0"/>
              <w:rPr>
                <w:sz w:val="1"/>
                <w:szCs w:val="1"/>
                <w:color w:val="auto"/>
              </w:rPr>
            </w:pPr>
          </w:p>
        </w:tc>
      </w:tr>
      <w:tr>
        <w:trPr>
          <w:trHeight w:val="255"/>
        </w:trPr>
        <w:tc>
          <w:tcPr>
            <w:tcW w:w="3820" w:type="dxa"/>
            <w:vAlign w:val="bottom"/>
            <w:gridSpan w:val="2"/>
          </w:tcPr>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and justification of</w:t>
            </w:r>
          </w:p>
        </w:tc>
        <w:tc>
          <w:tcPr>
            <w:tcW w:w="400" w:type="dxa"/>
            <w:vAlign w:val="bottom"/>
          </w:tcPr>
          <w:p>
            <w:pPr>
              <w:ind w:left="160"/>
              <w:spacing w:after="0"/>
              <w:rPr>
                <w:sz w:val="20"/>
                <w:szCs w:val="20"/>
                <w:color w:val="auto"/>
              </w:rPr>
            </w:pPr>
            <w:r>
              <w:rPr>
                <w:rFonts w:ascii="Arial" w:cs="Arial" w:eastAsia="Arial" w:hAnsi="Arial"/>
                <w:sz w:val="20"/>
                <w:szCs w:val="20"/>
                <w:color w:val="auto"/>
              </w:rPr>
              <w:t>◦</w:t>
            </w:r>
          </w:p>
        </w:tc>
        <w:tc>
          <w:tcPr>
            <w:tcW w:w="5040" w:type="dxa"/>
            <w:vAlign w:val="bottom"/>
          </w:tcPr>
          <w:p>
            <w:pPr>
              <w:ind w:left="120"/>
              <w:spacing w:after="0"/>
              <w:rPr>
                <w:sz w:val="20"/>
                <w:szCs w:val="20"/>
                <w:color w:val="auto"/>
              </w:rPr>
            </w:pPr>
            <w:r>
              <w:rPr>
                <w:rFonts w:ascii="Arial" w:cs="Arial" w:eastAsia="Arial" w:hAnsi="Arial"/>
                <w:sz w:val="20"/>
                <w:szCs w:val="20"/>
                <w:b w:val="1"/>
                <w:bCs w:val="1"/>
                <w:color w:val="auto"/>
                <w:w w:val="90"/>
              </w:rPr>
              <w:t> </w:t>
            </w:r>
            <w:r>
              <w:rPr>
                <w:rFonts w:ascii="Arial" w:cs="Arial" w:eastAsia="Arial" w:hAnsi="Arial"/>
                <w:sz w:val="20"/>
                <w:szCs w:val="20"/>
                <w:color w:val="auto"/>
                <w:w w:val="90"/>
              </w:rPr>
              <w:t>Regulatory compliance related services, including supporting</w:t>
            </w:r>
          </w:p>
        </w:tc>
        <w:tc>
          <w:tcPr>
            <w:tcW w:w="0" w:type="dxa"/>
            <w:vAlign w:val="bottom"/>
          </w:tcPr>
          <w:p>
            <w:pPr>
              <w:spacing w:after="0"/>
              <w:rPr>
                <w:sz w:val="1"/>
                <w:szCs w:val="1"/>
                <w:color w:val="auto"/>
              </w:rPr>
            </w:pPr>
          </w:p>
        </w:tc>
      </w:tr>
      <w:tr>
        <w:trPr>
          <w:trHeight w:val="225"/>
        </w:trPr>
        <w:tc>
          <w:tcPr>
            <w:tcW w:w="240" w:type="dxa"/>
            <w:vAlign w:val="bottom"/>
            <w:vMerge w:val="restart"/>
          </w:tcPr>
          <w:p>
            <w:pPr>
              <w:spacing w:after="0"/>
              <w:rPr>
                <w:sz w:val="20"/>
                <w:szCs w:val="20"/>
                <w:color w:val="auto"/>
              </w:rPr>
            </w:pPr>
            <w:r>
              <w:rPr>
                <w:rFonts w:ascii="Arial" w:cs="Arial" w:eastAsia="Arial" w:hAnsi="Arial"/>
                <w:sz w:val="20"/>
                <w:szCs w:val="20"/>
                <w:color w:val="auto"/>
              </w:rPr>
              <w:t>◦</w:t>
            </w:r>
          </w:p>
        </w:tc>
        <w:tc>
          <w:tcPr>
            <w:tcW w:w="3580" w:type="dxa"/>
            <w:vAlign w:val="bottom"/>
          </w:tcPr>
          <w:p>
            <w:pPr>
              <w:ind w:left="120"/>
              <w:spacing w:after="0" w:line="226" w:lineRule="exact"/>
              <w:rPr>
                <w:sz w:val="20"/>
                <w:szCs w:val="20"/>
                <w:color w:val="auto"/>
              </w:rPr>
            </w:pPr>
            <w:r>
              <w:rPr>
                <w:rFonts w:ascii="Arial" w:cs="Arial" w:eastAsia="Arial" w:hAnsi="Arial"/>
                <w:sz w:val="20"/>
                <w:szCs w:val="20"/>
                <w:color w:val="auto"/>
              </w:rPr>
              <w:t>acceptance criteria</w:t>
            </w:r>
          </w:p>
        </w:tc>
        <w:tc>
          <w:tcPr>
            <w:tcW w:w="400" w:type="dxa"/>
            <w:vAlign w:val="bottom"/>
          </w:tcPr>
          <w:p>
            <w:pPr>
              <w:spacing w:after="0"/>
              <w:rPr>
                <w:sz w:val="19"/>
                <w:szCs w:val="19"/>
                <w:color w:val="auto"/>
              </w:rPr>
            </w:pPr>
          </w:p>
        </w:tc>
        <w:tc>
          <w:tcPr>
            <w:tcW w:w="5040" w:type="dxa"/>
            <w:vAlign w:val="bottom"/>
          </w:tcPr>
          <w:p>
            <w:pPr>
              <w:ind w:left="120"/>
              <w:spacing w:after="0" w:line="226" w:lineRule="exact"/>
              <w:rPr>
                <w:sz w:val="20"/>
                <w:szCs w:val="20"/>
                <w:color w:val="auto"/>
              </w:rPr>
            </w:pPr>
            <w:r>
              <w:rPr>
                <w:rFonts w:ascii="Arial" w:cs="Arial" w:eastAsia="Arial" w:hAnsi="Arial"/>
                <w:sz w:val="20"/>
                <w:szCs w:val="20"/>
                <w:color w:val="auto"/>
              </w:rPr>
              <w:t>clients through the regulatory submission process</w:t>
            </w:r>
          </w:p>
        </w:tc>
        <w:tc>
          <w:tcPr>
            <w:tcW w:w="0" w:type="dxa"/>
            <w:vAlign w:val="bottom"/>
          </w:tcPr>
          <w:p>
            <w:pPr>
              <w:spacing w:after="0"/>
              <w:rPr>
                <w:sz w:val="1"/>
                <w:szCs w:val="1"/>
                <w:color w:val="auto"/>
              </w:rPr>
            </w:pPr>
          </w:p>
        </w:tc>
      </w:tr>
      <w:tr>
        <w:trPr>
          <w:trHeight w:val="350"/>
        </w:trPr>
        <w:tc>
          <w:tcPr>
            <w:tcW w:w="240" w:type="dxa"/>
            <w:vAlign w:val="bottom"/>
            <w:vMerge w:val="continue"/>
          </w:tcPr>
          <w:p>
            <w:pPr>
              <w:spacing w:after="0"/>
              <w:rPr>
                <w:sz w:val="24"/>
                <w:szCs w:val="24"/>
                <w:color w:val="auto"/>
              </w:rPr>
            </w:pPr>
          </w:p>
        </w:tc>
        <w:tc>
          <w:tcPr>
            <w:tcW w:w="3580" w:type="dxa"/>
            <w:vAlign w:val="bottom"/>
          </w:tcPr>
          <w:p>
            <w:pPr>
              <w:ind w:left="120"/>
              <w:spacing w:after="0"/>
              <w:rPr>
                <w:sz w:val="20"/>
                <w:szCs w:val="20"/>
                <w:color w:val="auto"/>
              </w:rPr>
            </w:pPr>
            <w:r>
              <w:rPr>
                <w:rFonts w:ascii="Arial" w:cs="Arial" w:eastAsia="Arial" w:hAnsi="Arial"/>
                <w:sz w:val="20"/>
                <w:szCs w:val="20"/>
                <w:b w:val="1"/>
                <w:bCs w:val="1"/>
                <w:color w:val="auto"/>
                <w:w w:val="96"/>
              </w:rPr>
              <w:t> </w:t>
            </w:r>
            <w:r>
              <w:rPr>
                <w:rFonts w:ascii="Arial" w:cs="Arial" w:eastAsia="Arial" w:hAnsi="Arial"/>
                <w:sz w:val="20"/>
                <w:szCs w:val="20"/>
                <w:color w:val="auto"/>
                <w:w w:val="96"/>
              </w:rPr>
              <w:t>Onsite facility evaluation and validations</w:t>
            </w:r>
          </w:p>
        </w:tc>
        <w:tc>
          <w:tcPr>
            <w:tcW w:w="4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20" w:right="40"/>
        <w:spacing w:after="0" w:line="258" w:lineRule="auto"/>
        <w:rPr>
          <w:sz w:val="20"/>
          <w:szCs w:val="20"/>
          <w:color w:val="auto"/>
        </w:rPr>
      </w:pPr>
      <w:r>
        <w:rPr>
          <w:rFonts w:ascii="Arial" w:cs="Arial" w:eastAsia="Arial" w:hAnsi="Arial"/>
          <w:sz w:val="20"/>
          <w:szCs w:val="20"/>
          <w:color w:val="auto"/>
        </w:rPr>
        <w:t>Our expert advisory services provide additional value and expertise at any stage of the product development life cycle. Nelson Labs offers these services on a standalone basis or as a combined offering with our lab testing services, which creates opportunities for cross-selling with our existing customers for both services. Our expert advisory services are also complemented by our ongoing education offerings conducted through webinars, seminars, tailored onsite education sessions and our website.</w:t>
      </w:r>
    </w:p>
    <w:p>
      <w:pPr>
        <w:spacing w:after="0" w:line="204" w:lineRule="exact"/>
        <w:rPr>
          <w:sz w:val="20"/>
          <w:szCs w:val="20"/>
          <w:color w:val="auto"/>
        </w:rPr>
      </w:pPr>
    </w:p>
    <w:p>
      <w:pPr>
        <w:ind w:left="720" w:right="200" w:hanging="370"/>
        <w:spacing w:after="0" w:line="309"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Routine Sterility and Quality Control Testing</w:t>
      </w:r>
      <w:r>
        <w:rPr>
          <w:rFonts w:ascii="Arial" w:cs="Arial" w:eastAsia="Arial" w:hAnsi="Arial"/>
          <w:sz w:val="18"/>
          <w:szCs w:val="18"/>
          <w:color w:val="auto"/>
        </w:rPr>
        <w:t>.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w:t>
      </w:r>
    </w:p>
    <w:p>
      <w:pPr>
        <w:sectPr>
          <w:pgSz w:w="11880" w:h="15480" w:orient="portrait"/>
          <w:cols w:equalWidth="0" w:num="1">
            <w:col w:w="10220"/>
          </w:cols>
          <w:pgMar w:left="820" w:top="412" w:right="84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220"/>
          </w:cols>
          <w:pgMar w:left="820" w:top="412" w:right="840" w:bottom="0" w:gutter="0" w:footer="0" w:header="0"/>
          <w:type w:val="continuous"/>
        </w:sectPr>
      </w:pPr>
    </w:p>
    <w:bookmarkStart w:id="18" w:name="page19"/>
    <w:bookmarkEnd w:id="18"/>
    <w:p>
      <w:pPr>
        <w:ind w:left="720" w:right="100"/>
        <w:spacing w:after="0" w:line="275" w:lineRule="auto"/>
        <w:rPr>
          <w:sz w:val="20"/>
          <w:szCs w:val="20"/>
          <w:color w:val="auto"/>
        </w:rPr>
      </w:pPr>
      <w:r>
        <w:rPr>
          <w:rFonts w:ascii="Arial" w:cs="Arial" w:eastAsia="Arial" w:hAnsi="Arial"/>
          <w:sz w:val="19"/>
          <w:szCs w:val="19"/>
          <w:color w:val="auto"/>
        </w:rPr>
        <w:t>applicable standards. Nelson Labs performs bacterial endotoxin testing or quarterly dose audits for devices sterilized using irradiation, and biological indicator testing for devices sterilized with EO. Nelson Labs also provides testing for producers of non-sterile products to ensure they are free of objectionable organisms. Often, Nelson Labs provides this ongoing routine quality control testing (based on production lot sizes) for the products for which it performed initial validation testing. These products are often sterilized by Sterigenics.</w:t>
      </w:r>
    </w:p>
    <w:p>
      <w:pPr>
        <w:spacing w:after="0" w:line="148"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color w:val="auto"/>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approximately 600 scientists, technicians and service specialists, creating a substantial competitive advantage in terms of expertise. Our experts serve in predominant roles on a number of standards writing organizations, including the United States Pharmacopeia, Association for the Advancement of Medical Instrumentation, American Society of Testing and Materials and the ISO. We have established credibility and trust with regulators and standards writing organizations which helps us educate customers about the continually changing testing requirements in a complex and evolving regulatory landscape. Our regulatory and scientific expertise in laboratory testing allows us to serve as a thought leader within the industry and provide high-quality service to our customers.</w:t>
      </w:r>
    </w:p>
    <w:p>
      <w:pPr>
        <w:spacing w:after="0" w:line="160" w:lineRule="exact"/>
        <w:rPr>
          <w:sz w:val="20"/>
          <w:szCs w:val="20"/>
          <w:color w:val="auto"/>
        </w:rPr>
      </w:pPr>
    </w:p>
    <w:p>
      <w:pPr>
        <w:ind w:right="140"/>
        <w:spacing w:after="0" w:line="271" w:lineRule="auto"/>
        <w:rPr>
          <w:sz w:val="20"/>
          <w:szCs w:val="20"/>
          <w:color w:val="auto"/>
        </w:rPr>
      </w:pPr>
      <w:r>
        <w:rPr>
          <w:rFonts w:ascii="Arial" w:cs="Arial" w:eastAsia="Arial" w:hAnsi="Arial"/>
          <w:sz w:val="19"/>
          <w:szCs w:val="19"/>
          <w:color w:val="auto"/>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Nelson Labs Customers</w:t>
      </w:r>
    </w:p>
    <w:p>
      <w:pPr>
        <w:spacing w:after="0" w:line="213" w:lineRule="exact"/>
        <w:rPr>
          <w:sz w:val="20"/>
          <w:szCs w:val="20"/>
          <w:color w:val="auto"/>
        </w:rPr>
      </w:pPr>
    </w:p>
    <w:p>
      <w:pPr>
        <w:jc w:val="both"/>
        <w:ind w:right="40"/>
        <w:spacing w:after="0" w:line="266" w:lineRule="auto"/>
        <w:rPr>
          <w:sz w:val="20"/>
          <w:szCs w:val="20"/>
          <w:color w:val="auto"/>
        </w:rPr>
      </w:pPr>
      <w:r>
        <w:rPr>
          <w:rFonts w:ascii="Arial" w:cs="Arial" w:eastAsia="Arial" w:hAnsi="Arial"/>
          <w:sz w:val="20"/>
          <w:szCs w:val="20"/>
          <w:color w:val="auto"/>
        </w:rPr>
        <w:t>Nelson Labs serves approximately 3,000 customers, including many leading medical device manufacturers and pharmaceutical companies. We have recurring and stable customer relationships and benefit from minimal customer concentration, as no single customer accounted for more than 10% of our total revenues.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Nelson Labs Competition</w:t>
      </w:r>
    </w:p>
    <w:p>
      <w:pPr>
        <w:spacing w:after="0" w:line="21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our reputation with customers and regulators and the cost of services.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Nelson Labs Suppliers</w:t>
      </w:r>
    </w:p>
    <w:p>
      <w:pPr>
        <w:spacing w:after="0" w:line="213" w:lineRule="exact"/>
        <w:rPr>
          <w:sz w:val="20"/>
          <w:szCs w:val="20"/>
          <w:color w:val="auto"/>
        </w:rPr>
      </w:pPr>
    </w:p>
    <w:p>
      <w:pPr>
        <w:ind w:right="160"/>
        <w:spacing w:after="0" w:line="266" w:lineRule="auto"/>
        <w:rPr>
          <w:sz w:val="20"/>
          <w:szCs w:val="20"/>
          <w:color w:val="auto"/>
        </w:rPr>
      </w:pPr>
      <w:r>
        <w:rPr>
          <w:rFonts w:ascii="Arial" w:cs="Arial" w:eastAsia="Arial" w:hAnsi="Arial"/>
          <w:sz w:val="20"/>
          <w:szCs w:val="20"/>
          <w:color w:val="auto"/>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Nelson Labs Facilities</w:t>
      </w:r>
    </w:p>
    <w:p>
      <w:pPr>
        <w:spacing w:after="0" w:line="213"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We operate from a five-building campus in Salt Lake City, Utah, with 85 laboratories including metrology, training, media prep labs, five ISO Class V certified clean rooms and customizable lab spaces. We also have facilities in Itasca, Illinois; Leuven, Belgium; Pleasant Prairie, Wisconsin; Wiesbaden, Germany, and seven other laboratories embedded in our Sterigenics sterilization facilities in North America, Europe and Asia.</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240"/>
          </w:cols>
          <w:pgMar w:left="820" w:top="412" w:right="820" w:bottom="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Intellectual Property</w:t>
      </w:r>
    </w:p>
    <w:p>
      <w:pPr>
        <w:spacing w:after="0" w:line="217"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Our businesses rely on certain proprietary technologies. Most of the proprietary technologies used in our businesses are unpatented. Some of our technologies, including certain processes, methods, algorithms and proprietary databases,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spacing w:after="0" w:line="162" w:lineRule="exact"/>
        <w:rPr>
          <w:sz w:val="20"/>
          <w:szCs w:val="20"/>
          <w:color w:val="auto"/>
        </w:rPr>
      </w:pPr>
    </w:p>
    <w:p>
      <w:pPr>
        <w:ind w:right="920"/>
        <w:spacing w:after="0" w:line="375" w:lineRule="auto"/>
        <w:rPr>
          <w:sz w:val="20"/>
          <w:szCs w:val="20"/>
          <w:color w:val="auto"/>
        </w:rPr>
      </w:pPr>
      <w:r>
        <w:rPr>
          <w:rFonts w:ascii="Arial" w:cs="Arial" w:eastAsia="Arial" w:hAnsi="Arial"/>
          <w:sz w:val="17"/>
          <w:szCs w:val="17"/>
          <w:color w:val="auto"/>
        </w:rPr>
        <w:t>The name recognition of our businesses is a valuable asset. Many of our business names are the subject of trademark registrations or applications in the United States or certain other jurisdictions, or part of registered domain names.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2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One of our values is People. We value a global team that is talented, experienced, inclusive, respectful, passionate and collaborative. Our human capital strategy is aligned with our business strategy and priorities and focuses on developing and delivering global solutions to attract, develop, engage and retain top talent. On an annual basis, we review our employees to assess performance and leadership potential. We also create succession plans and individual development plans to ensure we have the team needed for the future. As of December 31, 2025, we employed over 3,000 employees worldwide. Certain of our employees, primarily outside of the United States, are represented by labor unions or work councils and are negotiating or working under collective bargaining or similar agreements, some of which are subject to periodic renegotiation. One labor union within the United States, representing approximately 40 employees, is covered under a collective bargaining agreement.</w:t>
      </w:r>
    </w:p>
    <w:p>
      <w:pPr>
        <w:spacing w:after="0" w:line="140" w:lineRule="exact"/>
        <w:rPr>
          <w:sz w:val="20"/>
          <w:szCs w:val="20"/>
          <w:color w:val="auto"/>
        </w:rPr>
      </w:pPr>
    </w:p>
    <w:p>
      <w:pPr>
        <w:spacing w:after="0" w:line="299" w:lineRule="auto"/>
        <w:rPr>
          <w:sz w:val="20"/>
          <w:szCs w:val="20"/>
          <w:color w:val="auto"/>
        </w:rPr>
      </w:pPr>
      <w:r>
        <w:rPr>
          <w:rFonts w:ascii="Arial" w:cs="Arial" w:eastAsia="Arial" w:hAnsi="Arial"/>
          <w:sz w:val="18"/>
          <w:szCs w:val="18"/>
          <w:color w:val="auto"/>
        </w:rPr>
        <w:t>We are committed to providing a safe work environment for our employees and contractors. We have implemented a health and safety program to manage workplace safety hazards and to protect employees. The program includes periodic reviews of our work practices by external third parties as inputs for continuous improvement. Additionally, as part of our corporate governance practices, we review the outcomes of our safety program at the highest levels of the Company, including our board of directors.</w:t>
      </w:r>
    </w:p>
    <w:p>
      <w:pPr>
        <w:spacing w:after="0" w:line="129" w:lineRule="exact"/>
        <w:rPr>
          <w:sz w:val="20"/>
          <w:szCs w:val="20"/>
          <w:color w:val="auto"/>
        </w:rPr>
      </w:pPr>
    </w:p>
    <w:p>
      <w:pPr>
        <w:ind w:right="140"/>
        <w:spacing w:after="0" w:line="283" w:lineRule="auto"/>
        <w:rPr>
          <w:sz w:val="20"/>
          <w:szCs w:val="20"/>
          <w:color w:val="auto"/>
        </w:rPr>
      </w:pPr>
      <w:r>
        <w:rPr>
          <w:rFonts w:ascii="Arial" w:cs="Arial" w:eastAsia="Arial" w:hAnsi="Arial"/>
          <w:sz w:val="20"/>
          <w:szCs w:val="20"/>
          <w:color w:val="auto"/>
        </w:rPr>
        <w:t>We are committed to creating a positive employee experience for our teams. We work to achieve this through our focus on the inclusion, well-being and development of all of our team members.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Governmental Regulation and Environmental Matters</w:t>
      </w:r>
    </w:p>
    <w:p>
      <w:pPr>
        <w:spacing w:after="0" w:line="217"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 dimensions of this license on an annual basis. Our Nuclear Substance Processing Facility Operating license, CNSC Export license and CNSC Device servicing licenses for our Kanata facility were renewed in September 2025 for a 25-year period. In addition to the nuclear aspect of our products, many of the products that we process are medical devices directed for human use or products used in the manufacture of medical devices that are directed for human use. Our facilities hold various ISO certifications including ISO 9001, 13485, 14001, 45001 and ISO 17025. We have device, facility, and specific product registrations with North American (Health Canada and the Food and Drug Administration (“FDA”) and European Drug and Device health regulators. These regulators exert oversight through requirements for product registration and direct inspection of our operations.</w:t>
      </w:r>
    </w:p>
    <w:p>
      <w:pPr>
        <w:spacing w:after="0" w:line="16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Additionally, our operations in the United States and the majority of our facilities outside the United States (to the extent we are processing or testing a product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therefore subject to FDA requirements. These requirements include site, contract drug manufacturer and supplier of active pharmaceutical ingredients registration and listing and manufacturing requirements. Regulations issued by the Occupational Safety and Health Administration (“OSHA”), the U.S. Nuclear Regulatory Commission (“NRC”) and other agencies also require that equipment used at our facilities be designed and operated in a manner that is safe and with proper safety precautions and practices when handling, monitoring and storing EO and Co-60.</w:t>
      </w:r>
    </w:p>
    <w:p>
      <w:pPr>
        <w:spacing w:after="0" w:line="169" w:lineRule="exact"/>
        <w:rPr>
          <w:sz w:val="20"/>
          <w:szCs w:val="20"/>
          <w:color w:val="auto"/>
        </w:rPr>
      </w:pPr>
    </w:p>
    <w:p>
      <w:pPr>
        <w:spacing w:after="0" w:line="299" w:lineRule="auto"/>
        <w:rPr>
          <w:sz w:val="20"/>
          <w:szCs w:val="20"/>
          <w:color w:val="auto"/>
        </w:rPr>
      </w:pPr>
      <w:r>
        <w:rPr>
          <w:rFonts w:ascii="Arial" w:cs="Arial" w:eastAsia="Arial" w:hAnsi="Arial"/>
          <w:sz w:val="18"/>
          <w:szCs w:val="18"/>
          <w:color w:val="auto"/>
        </w:rPr>
        <w:t>We strive to comply with these regulatory requirements and could be subject to significant civil and criminal fines and penalties for non-compliance. To reduce the risk of noncompliance, we employ engineering and procedural controls and pollution control equipment and undertake internal and external regulatory compliance audits at our facilities. We have a proactive environmental health and safety (“EH&amp;S”) program and a culture of safety and quality across all business units, and we employ</w:t>
      </w:r>
    </w:p>
    <w:p>
      <w:pPr>
        <w:sectPr>
          <w:pgSz w:w="11880" w:h="15480" w:orient="portrait"/>
          <w:cols w:equalWidth="0" w:num="1">
            <w:col w:w="10240"/>
          </w:cols>
          <w:pgMar w:left="820" w:top="405" w:right="82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240"/>
          </w:cols>
          <w:pgMar w:left="820" w:top="405" w:right="820" w:bottom="0" w:gutter="0" w:footer="0" w:header="0"/>
          <w:type w:val="continuous"/>
        </w:sectPr>
      </w:pPr>
    </w:p>
    <w:bookmarkStart w:id="20" w:name="page21"/>
    <w:bookmarkEnd w:id="20"/>
    <w:p>
      <w:pPr>
        <w:ind w:right="20"/>
        <w:spacing w:after="0" w:line="283" w:lineRule="auto"/>
        <w:rPr>
          <w:sz w:val="20"/>
          <w:szCs w:val="20"/>
          <w:color w:val="auto"/>
        </w:rPr>
      </w:pPr>
      <w:r>
        <w:rPr>
          <w:rFonts w:ascii="Arial" w:cs="Arial" w:eastAsia="Arial" w:hAnsi="Arial"/>
          <w:sz w:val="20"/>
          <w:szCs w:val="20"/>
          <w:color w:val="auto"/>
        </w:rPr>
        <w:t>a Senior Vice President of Environmental, Health and Safety who reports directly to the Chief Executive Officer and has a team of approximately 50 employees.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EO Regulatory Overview</w:t>
      </w:r>
    </w:p>
    <w:p>
      <w:pPr>
        <w:spacing w:after="0" w:line="218"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In addition to general environmental laws and regulations, EO facilities and the EO sterilization process are subject to specific regulatory requirements under federal laws in the United States and the laws of the countries in which we operate, including European Union regulations. These additional regulations include specific requirements for permissible employee exposure limits, process safety programs, 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the reduction of bioburden on or sterilization of an approved list of products, including medical devices, pharmaceutical products, spices, and cosmetics is regulated by the U.S. Environmental Protection Agency (“U.S. EPA”) under the Clean Air Act (“CAA”) and the Federal Insecticide, Fungicide and Rodenticide Act (“FIFRA”). In addition, FDA regulations dictate the acceptable amount of EO residue on different types of EO-processed products. Most other countries in which we operate have similar EH&amp;S and worker exposure regulations.</w:t>
      </w:r>
    </w:p>
    <w:p>
      <w:pPr>
        <w:spacing w:after="0" w:line="141"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Our EO sterilization facilities evacuate EO from the sterilization chambers and aeration rooms in a manner designed to meet applicable regulatory requirements in the jurisdictions in which we operate. Most countries in which we operate have varying emission control requirements for EO emissions from our facilities. We are investing in additional controls on EO emissions at our facilities to meet or exceed current and expected future regulatory requirements and further reduce facility emissions. In the United States, our supplier maintains FIFRA registrations for EO as a medical device sterilant for users of EO across the United States. On March 14, 2024, the U.S. EPA announced final rules under the National Emission Standards for Hazardous Air Pollutants (“NESHAP”) to govern EO sterilization facilities in the United States. The final regulation requires EO sterilization facilities to implement additional air pollution technologies, practices and procedures designed to further reduce EO emissions. For facilities like ours, the final NESHAP regulation imposes new requirements such as higher efficiencies for EO emission controls, implementation of permanent total enclosure capture technology, and use of continuous emissions monitoring systems (“CEMS”). The revised final NESHAP regulation generally allows two years for compliance. On March 12, 2025, the U.S. EPA announced that it was reconsidering the NESHAP regulation applicable to commercial sterilizers. On July 17, 2025, the White House issued a CAA proclamation providing a two-year exemption for certain sterilization facilities to allow time to obtain and install new control technology and implement required changes. Although our facilities were granted this exemption, we continue progressing certain changes to our facilities to comply with the final NESHAP EO sterilizer regulation. Additionally, a complaint was filed in January 2026 in the U.S. District Court for the District of Columbia against the President, U.S. EPA and the U.S. EPA Administrator seeking injunctive relief that would, if granted, invalidate the exemption and therefore require our facilities to comply with the original timeframe.</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In January 2025, the U.S. EPA announced its final Interim Decision (“ID”) under FIFRA relating to the registration of EO for medical device sterilization. Over the next one to ten years, the FIFRA ID requires users of EO, including EO sterilization facilities like ours in the United States, to reach and maintain reduced employee exposure levels of EO; implement heightened worker protection practices, particularly in those areas of sterilization facilities where workers do not regularly wear respiratory protective equipment; and implement further facility design, increased employee exposure monitoring, additional indoor EO monitoring practices, sterilization cycle concentration limits, and other worker protection and training practices.</w:t>
      </w:r>
    </w:p>
    <w:p>
      <w:pPr>
        <w:spacing w:after="0" w:line="139"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auto"/>
        </w:rPr>
        <w:t>Additional regulatory requirements and obligations exist in certain other states, including requirements for the provision of notices regarding the release of or exposure to EO. Some states are considering changes that would impose new requirements for EO commercial sterilization facilities. For example, in December 2023, regulators in California imposed a number of new requirements with which our EO sterilization facilities will need to comply. Bills have been introduced in the U.S. Congress to further regulate EO sterilization activity.</w:t>
      </w:r>
    </w:p>
    <w:p>
      <w:pPr>
        <w:spacing w:after="0" w:line="16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Each of our EO sterilization facilities utilizes a variety of control technologies (including wet scrubbers, catalytic oxidizers and dry bed scrubbers) to control emissions, and we are investing in additional control features to further reduce emissions. For 2026, we expect capital expenditures of approximately $51 million related to environmental facility enhancements across all facilities within our business, and we anticipate continuing to invest in environmental facility enhancements in the future. We consistently meet or exceed regulatory emissions control requirements, although we have periodically experienced isolated instances of emissions exceeding applicable standards or other non-compliance, none of which we believe were material. We expect to be able to satisfy any changes to applicable regulatory requirements as they evolve and are committed to doing so, although there can be no assurance that we will always be able to meet new regulatory requirements.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240"/>
          </w:cols>
          <w:pgMar w:left="820" w:top="412" w:right="820" w:bottom="0" w:gutter="0" w:footer="0" w:header="0"/>
          <w:type w:val="continuous"/>
        </w:sectPr>
      </w:pPr>
    </w:p>
    <w:bookmarkStart w:id="21" w:name="page22"/>
    <w:bookmarkEnd w:id="21"/>
    <w:p>
      <w:pPr>
        <w:jc w:val="both"/>
        <w:spacing w:after="0" w:line="266" w:lineRule="auto"/>
        <w:rPr>
          <w:sz w:val="20"/>
          <w:szCs w:val="20"/>
          <w:color w:val="auto"/>
        </w:rPr>
      </w:pPr>
      <w:r>
        <w:rPr>
          <w:rFonts w:ascii="Arial" w:cs="Arial" w:eastAsia="Arial" w:hAnsi="Arial"/>
          <w:sz w:val="20"/>
          <w:szCs w:val="20"/>
          <w:color w:val="auto"/>
        </w:rPr>
        <w:t>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Gamma Irradiation Regulatory Overview</w:t>
      </w:r>
    </w:p>
    <w:p>
      <w:pPr>
        <w:spacing w:after="0" w:line="218"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In the United States, Sterigenics is subject to NRC and state regulations that govern operations involving radioactive materials at gamma irradiation plants. These NRC and state regulations specify the requirements for, among other things, maximum radiation doses, system designs, safety features, alarms, employee and area monitoring, testing and reporting. Each of our U.S. gamma plants has a radioactive materials license from the NRC or the state in which it operates. Nordion also has NRC licenses to distribute radioactive material within the United States, which permit Nordion to install and remove Co-60 sources and provide other services to its customers, as well as a license to export radioactive material from the United States to Canada. The NRC periodically updates and issues new security requirements for our U.S. gamma facilities.</w:t>
      </w:r>
    </w:p>
    <w:p>
      <w:pPr>
        <w:spacing w:after="0" w:line="141"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Our Nordion segment operates through our subsidiary Nordion (Canada) Inc. in Canada and REVISS Services in the United Kingdom. Through Nordion, we are subject to additional Canadian regulations, including Transport Canada regulations for the Transportation of Dangerous Goods, CNSC regulations for General Nuclear Safety and Controls, Health Canada requirements for drugs and devices and CNSC and Canadian Department of Foreign Affairs and International Trade requirements for import and export.</w:t>
      </w:r>
    </w:p>
    <w:p>
      <w:pPr>
        <w:spacing w:after="0" w:line="164"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color w:val="auto"/>
        </w:rPr>
        <w:t>Outside North America, the European Union and other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E-beam and X-ray Irradiation Regulatory Overview</w:t>
      </w:r>
    </w:p>
    <w:p>
      <w:pPr>
        <w:spacing w:after="0" w:line="218" w:lineRule="exact"/>
        <w:rPr>
          <w:sz w:val="20"/>
          <w:szCs w:val="20"/>
          <w:color w:val="auto"/>
        </w:rPr>
      </w:pPr>
    </w:p>
    <w:p>
      <w:pPr>
        <w:jc w:val="both"/>
        <w:ind w:right="180"/>
        <w:spacing w:after="0" w:line="299" w:lineRule="auto"/>
        <w:rPr>
          <w:sz w:val="20"/>
          <w:szCs w:val="20"/>
          <w:color w:val="auto"/>
        </w:rPr>
      </w:pPr>
      <w:r>
        <w:rPr>
          <w:rFonts w:ascii="Arial" w:cs="Arial" w:eastAsia="Arial" w:hAnsi="Arial"/>
          <w:sz w:val="18"/>
          <w:szCs w:val="18"/>
          <w:color w:val="auto"/>
        </w:rPr>
        <w:t>In the United States, irradiators that use accelerators are regulated by the individual state in which a facility is located. While there is some variability in the content of regulations among states, all are patterned after the general regulations of the NRC. These regulations typically specify the requirements for radiation shielding, system designs, safety features, alarms, employee and area monitoring, testing and reporting. Some E-beam and X-ray facilities require environmental permits too.</w:t>
      </w:r>
    </w:p>
    <w:p>
      <w:pPr>
        <w:spacing w:after="0" w:line="129" w:lineRule="exact"/>
        <w:rPr>
          <w:sz w:val="20"/>
          <w:szCs w:val="20"/>
          <w:color w:val="auto"/>
        </w:rPr>
      </w:pPr>
    </w:p>
    <w:p>
      <w:pPr>
        <w:ind w:right="460"/>
        <w:spacing w:after="0" w:line="283" w:lineRule="auto"/>
        <w:rPr>
          <w:sz w:val="20"/>
          <w:szCs w:val="20"/>
          <w:color w:val="auto"/>
        </w:rPr>
      </w:pPr>
      <w:r>
        <w:rPr>
          <w:rFonts w:ascii="Arial" w:cs="Arial" w:eastAsia="Arial" w:hAnsi="Arial"/>
          <w:sz w:val="20"/>
          <w:szCs w:val="20"/>
          <w:color w:val="auto"/>
        </w:rPr>
        <w:t>Outside of the United States, accelerator regulations are similar among various nations. These regulations are based on the IAEA standards and ICRP recommendations, much like those for gamma irradiators.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17"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 xml:space="preserve">Our Annual Report on Form 10-K, Quarterly Reports on Form 10-Q, Current Reports on Form 8-K and amendments to those reports filed or furnished pursuant to Section 13(a) or 15(d) of the Securities Exchange Act of 1934, as amended (the “Exchange Act”), are made available free of charge through the Investor Relations page of our internet website at </w:t>
      </w:r>
      <w:r>
        <w:rPr>
          <w:rFonts w:ascii="Arial" w:cs="Arial" w:eastAsia="Arial" w:hAnsi="Arial"/>
          <w:sz w:val="18"/>
          <w:szCs w:val="18"/>
          <w:u w:val="single" w:color="auto"/>
          <w:color w:val="auto"/>
        </w:rPr>
        <w:t>https://</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investors.soterahealth.com</w:t>
      </w:r>
      <w:r>
        <w:rPr>
          <w:rFonts w:ascii="Arial" w:cs="Arial" w:eastAsia="Arial" w:hAnsi="Arial"/>
          <w:sz w:val="18"/>
          <w:szCs w:val="18"/>
          <w:color w:val="auto"/>
        </w:rPr>
        <w:t xml:space="preserve">, as soon as reasonably practicable after such documents are electronically filed with, or furnished to, the Securities and Exchange Commission (“SEC”). The SEC maintains an internet website, </w:t>
      </w:r>
      <w:r>
        <w:rPr>
          <w:rFonts w:ascii="Arial" w:cs="Arial" w:eastAsia="Arial" w:hAnsi="Arial"/>
          <w:sz w:val="18"/>
          <w:szCs w:val="18"/>
          <w:u w:val="single" w:color="auto"/>
          <w:color w:val="auto"/>
        </w:rPr>
        <w:t>https://www.sec.gov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17"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We describe below certain risks that could adversely affect our business, prospects, financial condition or results of operations. While we believe we have identified and discussed below the key risks affecting our business, there may be additional risks and uncertainties that are not presently known or that are not currently believed to be significant that may adversely affect our business, results of operations, cash flow, liquidity or financial condition in the future. These risk factors may change from time to time and may be amended, supplemented or superseded by updates to the risk factors contained in our future periodic reports, Quarterly Reports on Form 10-Q and reports on other forms we file with the SEC. All forward-looking statements about our future results of operations or other matters made by us in this Annual Report on Form 10-K as well as our consolidated financial statements and notes, and in our subsequently filed or furnished reports with the SEC, as well as in our press releases and other public communications, are qualified by the risks described below.</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240"/>
          </w:cols>
          <w:pgMar w:left="820" w:top="412" w:right="820" w:bottom="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u w:val="single" w:color="auto"/>
          <w:color w:val="auto"/>
        </w:rPr>
        <w:t>Risk Factor Summary</w:t>
      </w:r>
    </w:p>
    <w:p>
      <w:pPr>
        <w:spacing w:after="0" w:line="217" w:lineRule="exact"/>
        <w:rPr>
          <w:sz w:val="20"/>
          <w:szCs w:val="20"/>
          <w:color w:val="auto"/>
        </w:rPr>
      </w:pPr>
    </w:p>
    <w:p>
      <w:pPr>
        <w:ind w:right="320"/>
        <w:spacing w:after="0" w:line="283" w:lineRule="auto"/>
        <w:rPr>
          <w:sz w:val="20"/>
          <w:szCs w:val="20"/>
          <w:color w:val="auto"/>
        </w:rPr>
      </w:pPr>
      <w:r>
        <w:rPr>
          <w:rFonts w:ascii="Arial" w:cs="Arial" w:eastAsia="Arial" w:hAnsi="Arial"/>
          <w:sz w:val="20"/>
          <w:szCs w:val="20"/>
          <w:color w:val="auto"/>
        </w:rPr>
        <w:t>Our business operations are subject to numerous risks, factors and uncertainties, including those outside of our control, that could cause our actual results to be harmed, including the following:</w:t>
      </w:r>
    </w:p>
    <w:p>
      <w:pPr>
        <w:spacing w:after="0" w:line="38" w:lineRule="exact"/>
        <w:rPr>
          <w:sz w:val="20"/>
          <w:szCs w:val="20"/>
          <w:color w:val="auto"/>
        </w:rPr>
      </w:pPr>
    </w:p>
    <w:p>
      <w:pPr>
        <w:ind w:left="720" w:right="320" w:hanging="370"/>
        <w:spacing w:after="0" w:line="309"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disruption in the availability or supply of, or increases in the price of, EO, Co-60 or our other direct materials, services and supplies, including as a result of geopolitical instability and/or sanctions against Russia by the United States, Canada, the United Kingdom and/or the European Union, or sanctions by Russia against those countries;</w:t>
      </w:r>
    </w:p>
    <w:p>
      <w:pPr>
        <w:spacing w:after="0" w:line="20" w:lineRule="exact"/>
        <w:rPr>
          <w:rFonts w:ascii="Arial" w:cs="Arial" w:eastAsia="Arial" w:hAnsi="Arial"/>
          <w:sz w:val="18"/>
          <w:szCs w:val="18"/>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fluctuations in foreign currency exchange rates;</w:t>
      </w:r>
    </w:p>
    <w:p>
      <w:pPr>
        <w:spacing w:after="0" w:line="110"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evolving changes in environmental, health and safety regulations;</w:t>
      </w:r>
    </w:p>
    <w:p>
      <w:pPr>
        <w:spacing w:after="0" w:line="110" w:lineRule="exact"/>
        <w:rPr>
          <w:rFonts w:ascii="Arial" w:cs="Arial" w:eastAsia="Arial" w:hAnsi="Arial"/>
          <w:sz w:val="20"/>
          <w:szCs w:val="20"/>
          <w:color w:val="auto"/>
        </w:rPr>
      </w:pPr>
    </w:p>
    <w:p>
      <w:pPr>
        <w:ind w:left="720" w:right="40" w:hanging="370"/>
        <w:spacing w:after="0" w:line="283"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health and safety risks associated with the use, storage, transportation and disposal of potentially hazardous materials, such as EO and Co-60;</w:t>
      </w:r>
    </w:p>
    <w:p>
      <w:pPr>
        <w:spacing w:after="0" w:line="37" w:lineRule="exact"/>
        <w:rPr>
          <w:rFonts w:ascii="Arial" w:cs="Arial" w:eastAsia="Arial" w:hAnsi="Arial"/>
          <w:sz w:val="20"/>
          <w:szCs w:val="20"/>
          <w:color w:val="auto"/>
        </w:rPr>
      </w:pPr>
    </w:p>
    <w:p>
      <w:pPr>
        <w:ind w:left="720" w:right="20" w:hanging="370"/>
        <w:spacing w:after="0" w:line="266" w:lineRule="auto"/>
        <w:tabs>
          <w:tab w:leader="none" w:pos="720" w:val="left"/>
        </w:tabs>
        <w:numPr>
          <w:ilvl w:val="0"/>
          <w:numId w:val="14"/>
        </w:numPr>
        <w:rPr>
          <w:rFonts w:ascii="Arial" w:cs="Arial" w:eastAsia="Arial" w:hAnsi="Arial"/>
          <w:sz w:val="20"/>
          <w:szCs w:val="20"/>
          <w:b w:val="1"/>
          <w:bCs w:val="1"/>
          <w:i w:val="1"/>
          <w:iCs w:val="1"/>
          <w:color w:val="auto"/>
        </w:rPr>
      </w:pPr>
      <w:r>
        <w:rPr>
          <w:rFonts w:ascii="Arial" w:cs="Arial" w:eastAsia="Arial" w:hAnsi="Arial"/>
          <w:sz w:val="20"/>
          <w:szCs w:val="20"/>
          <w:color w:val="auto"/>
        </w:rPr>
        <w:t>the impact and outcome of current and future legal proceedings and liability claims, including litigation related to the use, emissions and releases of EO from our current and former EO sterilization facilities, and the possibility that other claims will be made in the future;</w:t>
      </w:r>
    </w:p>
    <w:p>
      <w:pPr>
        <w:spacing w:after="0" w:line="55" w:lineRule="exact"/>
        <w:rPr>
          <w:rFonts w:ascii="Arial" w:cs="Arial" w:eastAsia="Arial" w:hAnsi="Arial"/>
          <w:sz w:val="20"/>
          <w:szCs w:val="20"/>
          <w:b w:val="1"/>
          <w:bCs w:val="1"/>
          <w:i w:val="1"/>
          <w:iCs w:val="1"/>
          <w:color w:val="auto"/>
        </w:rPr>
      </w:pPr>
    </w:p>
    <w:p>
      <w:pPr>
        <w:ind w:left="720" w:right="400" w:hanging="370"/>
        <w:spacing w:after="0" w:line="283"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allegations of our failure to properly perform services and potential product liability claims, recalls, penalties and reputational harm;</w:t>
      </w:r>
    </w:p>
    <w:p>
      <w:pPr>
        <w:spacing w:after="0" w:line="37" w:lineRule="exact"/>
        <w:rPr>
          <w:rFonts w:ascii="Arial" w:cs="Arial" w:eastAsia="Arial" w:hAnsi="Arial"/>
          <w:sz w:val="20"/>
          <w:szCs w:val="20"/>
          <w:color w:val="auto"/>
        </w:rPr>
      </w:pPr>
    </w:p>
    <w:p>
      <w:pPr>
        <w:ind w:left="720" w:right="160" w:hanging="370"/>
        <w:spacing w:after="0" w:line="283"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compliance with the extensive regulatory requirements to which we are subject, the related costs, and any failures to receive or maintain, or delays in receiving, required clearances or approvals;</w:t>
      </w:r>
    </w:p>
    <w:p>
      <w:pPr>
        <w:spacing w:after="0" w:line="59"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4"/>
          <w:szCs w:val="24"/>
          <w:b w:val="1"/>
          <w:bCs w:val="1"/>
          <w:color w:val="auto"/>
        </w:rPr>
      </w:pPr>
      <w:r>
        <w:rPr>
          <w:rFonts w:ascii="Arial" w:cs="Arial" w:eastAsia="Arial" w:hAnsi="Arial"/>
          <w:sz w:val="20"/>
          <w:szCs w:val="20"/>
          <w:color w:val="auto"/>
        </w:rPr>
        <w:t>adverse changes in industry trends;</w:t>
      </w:r>
    </w:p>
    <w:p>
      <w:pPr>
        <w:spacing w:after="0" w:line="112" w:lineRule="exact"/>
        <w:rPr>
          <w:rFonts w:ascii="Arial" w:cs="Arial" w:eastAsia="Arial" w:hAnsi="Arial"/>
          <w:sz w:val="24"/>
          <w:szCs w:val="24"/>
          <w:b w:val="1"/>
          <w:bCs w:val="1"/>
          <w:color w:val="auto"/>
        </w:rPr>
      </w:pPr>
    </w:p>
    <w:p>
      <w:pPr>
        <w:ind w:left="720" w:hanging="370"/>
        <w:spacing w:after="0"/>
        <w:tabs>
          <w:tab w:leader="none" w:pos="720" w:val="left"/>
        </w:tabs>
        <w:numPr>
          <w:ilvl w:val="0"/>
          <w:numId w:val="14"/>
        </w:numPr>
        <w:rPr>
          <w:rFonts w:ascii="Arial" w:cs="Arial" w:eastAsia="Arial" w:hAnsi="Arial"/>
          <w:sz w:val="24"/>
          <w:szCs w:val="24"/>
          <w:b w:val="1"/>
          <w:bCs w:val="1"/>
          <w:color w:val="auto"/>
        </w:rPr>
      </w:pPr>
      <w:r>
        <w:rPr>
          <w:rFonts w:ascii="Arial" w:cs="Arial" w:eastAsia="Arial" w:hAnsi="Arial"/>
          <w:sz w:val="20"/>
          <w:szCs w:val="20"/>
          <w:color w:val="auto"/>
        </w:rPr>
        <w:t>competition we face;</w:t>
      </w:r>
    </w:p>
    <w:p>
      <w:pPr>
        <w:spacing w:after="0" w:line="90" w:lineRule="exact"/>
        <w:rPr>
          <w:rFonts w:ascii="Arial" w:cs="Arial" w:eastAsia="Arial" w:hAnsi="Arial"/>
          <w:sz w:val="24"/>
          <w:szCs w:val="24"/>
          <w:b w:val="1"/>
          <w:bCs w:val="1"/>
          <w:color w:val="auto"/>
        </w:rPr>
      </w:pPr>
    </w:p>
    <w:p>
      <w:pPr>
        <w:ind w:left="720" w:right="480" w:hanging="370"/>
        <w:spacing w:after="0" w:line="283"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market conditions and changes, including inflationary trends and the impact of tariffs, that impact our long-term supply contracts with variable price clauses and increase our cost of revenues;</w:t>
      </w:r>
    </w:p>
    <w:p>
      <w:pPr>
        <w:spacing w:after="0" w:line="37" w:lineRule="exact"/>
        <w:rPr>
          <w:rFonts w:ascii="Arial" w:cs="Arial" w:eastAsia="Arial" w:hAnsi="Arial"/>
          <w:sz w:val="20"/>
          <w:szCs w:val="20"/>
          <w:color w:val="auto"/>
        </w:rPr>
      </w:pPr>
    </w:p>
    <w:p>
      <w:pPr>
        <w:ind w:left="720" w:right="560" w:hanging="370"/>
        <w:spacing w:after="0" w:line="283"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business continuity hazards, including supply chain disruptions, federal government shutdowns, and other risks associated with our operations;</w:t>
      </w:r>
    </w:p>
    <w:p>
      <w:pPr>
        <w:spacing w:after="0" w:line="37" w:lineRule="exact"/>
        <w:rPr>
          <w:rFonts w:ascii="Arial" w:cs="Arial" w:eastAsia="Arial" w:hAnsi="Arial"/>
          <w:sz w:val="20"/>
          <w:szCs w:val="20"/>
          <w:color w:val="auto"/>
        </w:rPr>
      </w:pPr>
    </w:p>
    <w:p>
      <w:pPr>
        <w:ind w:left="720" w:right="240" w:hanging="370"/>
        <w:spacing w:after="0" w:line="33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risks of doing business internationally, including global and regional economic and political instability and compliance with various applicable laws and potentially inconsistent laws and regulations in multiple jurisdictions;</w:t>
      </w:r>
    </w:p>
    <w:p>
      <w:pPr>
        <w:ind w:left="720" w:right="380" w:hanging="370"/>
        <w:spacing w:after="0" w:line="283"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our ability to increase capacity at existing facilities, build new facilities in a timely and cost-effective manner and renew leases for our leased facilities;</w:t>
      </w:r>
    </w:p>
    <w:p>
      <w:pPr>
        <w:spacing w:after="0" w:line="37"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our ability to attract and retain qualified employees;</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severe health events or environmental events;</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cybersecurity incidents, unauthorized data disclosures, and our dependence on IT systems;</w:t>
      </w:r>
    </w:p>
    <w:p>
      <w:pPr>
        <w:spacing w:after="0" w:line="110"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risks associated with the introduction of AI technology;</w:t>
      </w:r>
    </w:p>
    <w:p>
      <w:pPr>
        <w:spacing w:after="0" w:line="130" w:lineRule="exact"/>
        <w:rPr>
          <w:rFonts w:ascii="Arial" w:cs="Arial" w:eastAsia="Arial" w:hAnsi="Arial"/>
          <w:sz w:val="20"/>
          <w:szCs w:val="20"/>
          <w:color w:val="auto"/>
        </w:rPr>
      </w:pPr>
    </w:p>
    <w:p>
      <w:pPr>
        <w:ind w:left="720" w:hanging="370"/>
        <w:spacing w:after="0" w:line="283"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 inability to pursue strategic transactions, find suitable acquisition targets, or integrate strategic acquisitions into our business successfully;</w:t>
      </w:r>
    </w:p>
    <w:p>
      <w:pPr>
        <w:spacing w:after="0" w:line="37"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our ability to maintain effective internal control over financial reporting;</w:t>
      </w:r>
    </w:p>
    <w:p>
      <w:pPr>
        <w:spacing w:after="0" w:line="110" w:lineRule="exact"/>
        <w:rPr>
          <w:rFonts w:ascii="Arial" w:cs="Arial" w:eastAsia="Arial" w:hAnsi="Arial"/>
          <w:sz w:val="20"/>
          <w:szCs w:val="20"/>
          <w:color w:val="auto"/>
        </w:rPr>
      </w:pPr>
    </w:p>
    <w:p>
      <w:pPr>
        <w:ind w:left="720" w:right="340" w:hanging="370"/>
        <w:spacing w:after="0" w:line="266"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our reliance on intellectual property rights to maintain our competitive position and the risk of claims from third parties that we have infringed or misappropriated, or are infringing or misappropriating, their intellectual property rights;</w:t>
      </w:r>
    </w:p>
    <w:p>
      <w:pPr>
        <w:spacing w:after="0" w:line="55" w:lineRule="exact"/>
        <w:rPr>
          <w:rFonts w:ascii="Arial" w:cs="Arial" w:eastAsia="Arial" w:hAnsi="Arial"/>
          <w:sz w:val="20"/>
          <w:szCs w:val="20"/>
          <w:color w:val="auto"/>
        </w:rPr>
      </w:pPr>
    </w:p>
    <w:p>
      <w:pPr>
        <w:ind w:left="720" w:right="40" w:hanging="370"/>
        <w:spacing w:after="0" w:line="283"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our ability to comply with rapidly evolving data privacy and security laws and regulations in various jurisdictions and any ineffective compliance efforts with such laws and regulations;</w:t>
      </w:r>
    </w:p>
    <w:p>
      <w:pPr>
        <w:spacing w:after="0" w:line="37"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our ability to maintain profitability in future periods;</w:t>
      </w:r>
    </w:p>
    <w:p>
      <w:pPr>
        <w:spacing w:after="0" w:line="110" w:lineRule="exact"/>
        <w:rPr>
          <w:rFonts w:ascii="Arial" w:cs="Arial" w:eastAsia="Arial" w:hAnsi="Arial"/>
          <w:sz w:val="20"/>
          <w:szCs w:val="20"/>
          <w:color w:val="auto"/>
        </w:rPr>
      </w:pPr>
    </w:p>
    <w:p>
      <w:pPr>
        <w:ind w:left="720" w:hanging="370"/>
        <w:spacing w:after="0" w:line="283"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impairment charges on our goodwill and other intangible assets with indefinite lives, as well as other long-lived assets and intangible assets with definite lives;</w:t>
      </w:r>
    </w:p>
    <w:p>
      <w:pPr>
        <w:spacing w:after="0" w:line="37" w:lineRule="exact"/>
        <w:rPr>
          <w:rFonts w:ascii="Arial" w:cs="Arial" w:eastAsia="Arial" w:hAnsi="Arial"/>
          <w:sz w:val="20"/>
          <w:szCs w:val="20"/>
          <w:color w:val="auto"/>
        </w:rPr>
      </w:pPr>
    </w:p>
    <w:p>
      <w:pPr>
        <w:ind w:left="720" w:hanging="37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effects of unionization efforts and labor regulations in countries in which we operate;</w:t>
      </w:r>
    </w:p>
    <w:p>
      <w:pPr>
        <w:spacing w:after="0" w:line="110" w:lineRule="exact"/>
        <w:rPr>
          <w:rFonts w:ascii="Arial" w:cs="Arial" w:eastAsia="Arial" w:hAnsi="Arial"/>
          <w:sz w:val="20"/>
          <w:szCs w:val="20"/>
          <w:color w:val="auto"/>
        </w:rPr>
      </w:pPr>
    </w:p>
    <w:p>
      <w:pPr>
        <w:ind w:left="720" w:right="100" w:hanging="370"/>
        <w:spacing w:after="0" w:line="283"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adverse changes to our tax positions in U.S. or non-U.S. jurisdictions or the interpretation and application of U.S. tax legislation or other changes in U.S. or non-U.S. taxation of our operations;</w:t>
      </w:r>
    </w:p>
    <w:p>
      <w:pPr>
        <w:sectPr>
          <w:pgSz w:w="11880" w:h="15480" w:orient="portrait"/>
          <w:cols w:equalWidth="0" w:num="1">
            <w:col w:w="10160"/>
          </w:cols>
          <w:pgMar w:left="820" w:top="40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160"/>
          </w:cols>
          <w:pgMar w:left="820" w:top="405" w:right="900" w:bottom="0" w:gutter="0" w:footer="0" w:header="0"/>
          <w:type w:val="continuous"/>
        </w:sectPr>
      </w:pPr>
    </w:p>
    <w:bookmarkStart w:id="23" w:name="page24"/>
    <w:bookmarkEnd w:id="23"/>
    <w:p>
      <w:pPr>
        <w:ind w:left="720" w:right="180" w:hanging="370"/>
        <w:spacing w:after="0" w:line="263" w:lineRule="auto"/>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and/or prevent us from meeting our obligations under our existing and future indebtedness; and</w:t>
      </w:r>
    </w:p>
    <w:p>
      <w:pPr>
        <w:spacing w:after="0" w:line="2" w:lineRule="exact"/>
        <w:rPr>
          <w:rFonts w:ascii="Arial" w:cs="Arial" w:eastAsia="Arial" w:hAnsi="Arial"/>
          <w:sz w:val="19"/>
          <w:szCs w:val="19"/>
          <w:color w:val="auto"/>
        </w:rPr>
      </w:pPr>
    </w:p>
    <w:p>
      <w:pPr>
        <w:ind w:left="720" w:right="400" w:hanging="370"/>
        <w:spacing w:after="0" w:line="283"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control that certain investment funds and entities affiliated with Warburg Pincus and GTCR, which we refer to collectively as the “Sponsors,” continue to have over us.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b w:val="1"/>
          <w:bCs w:val="1"/>
          <w:i w:val="1"/>
          <w:iCs w:val="1"/>
          <w:color w:val="auto"/>
        </w:rPr>
        <w:t>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or sanctions against Russia by the United States, Canada, the United Kingdom and/or the European Union, or sanctions by Russia against those countries, may have a material adverse effect on our operating results.</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We purchase certain direct materials, equipment and services necessary for our specialized products and services from a limited number of suppliers and subcontractors, and, in certain cases, we purchase large quantities of product from a sole supplier. If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the unavailability or short-supply of raw materials or services, labor disruptions, changes in regulatory requirements, delays in securing required regulatory approvals, geopolitical instability, sanctions or other adverse occurrences), we may incur increased costs for our direct materials or equipment and may be unable to accommodate new business or meet our current customer commitments. For example, although there is more than one supplier of EO in most of the countries in which we operate, in the United States there is a single supplier for EO for our sterilization business. Further, our reliance on a single or limited number of suppliers may limit our negotiating power, particularly during times of rising direct material costs. Any interruptions that we experience in our supply of EO or Co-60 may disrupt, interrupt or shut down portions of our operations, materially increase our costs or have other adverse effects on our business, prospects, financial condition or results of operations.</w:t>
      </w:r>
    </w:p>
    <w:p>
      <w:pPr>
        <w:spacing w:after="0" w:line="147"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We source a substantial portion of our Co-60 supply from three nuclear reactor operators and six reactor sites in Canada and Russia under contracts that extend to between 2026 and 2064. See Item 1, “Business—Our Businesses—Sterilization Services —Nordion—Nuclear Reactor Operators.” If there is a decrease in output from any of these reactors (including as a result of a natural disaster, war, geopolitical instability or other adverse occurrence), the counterparties fail to perform under their agreements with us or decline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Shutdowns of government owned reactors in the past have decreased the availability of Co-60 and potential shutdowns in the future could decrease the availability of Co-60, which could have a material adverse effect on our business, prospects, financial condition or results of operations.</w:t>
      </w:r>
    </w:p>
    <w:p>
      <w:pPr>
        <w:spacing w:after="0" w:line="142"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We estimate approximately 20% of our long-term supply of Co-60 will be generated by Russian nuclear reactors. Further, over the next few years, we expect that there will be periods when, owing to planned or unplanned outages and variability in supply from reactors located in other countries, the proportion of our supply from Russian reactors may increase to as much as approximately 50% in a given year. The United States, Canada, the United Kingdom and the European Union have imposed and are expected to continue imposing sanctions against Russian industries, Russian officials and certain Russian companies, banks, logistics providers and individuals. Russia has responded and is expected to continue to respond with countermeasures, including prohibiting imports of certain goods from certain other countries and exports of certain goods from Russia to certain other countries.</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Expanded sanctions could target additional government- and privately-owned operations in Russia, including nuclear reactor operators, banks and logistics providers, and these expanded sanctions could prevent us from doing business with them. For example, certain banks through which our suppliers have been paid in the past have been sanctioned and there is no assurance the suppliers will be able to continue to find new, unsanctioned banking relationships in the future. Moreover, sanctions on products and materials imported from and exported to Russia have disrupted the logistics required to import Co-60 from Russia, requiring us, our logistics providers (including the single ocean carrier that is presently licensed to carry radioactive goods from Russia to North America) and insurers to seek licenses that will come up for renewal in 2026 and 2027. There are also various Canadian CNSC and Global Affairs Canada licenses for export and import of Canadian Co-59 “targets,” such as cobalt pellets and slugs, that require renewal on a routine basis. Although these other licenses were historically required as part of control of the nuclear industry and are not related to the increased sanction frameworks, an inability to obtain these licenses would impact</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240"/>
          </w:cols>
          <w:pgMar w:left="820" w:top="412" w:right="820" w:bottom="0" w:gutter="0" w:footer="0" w:header="0"/>
          <w:type w:val="continuous"/>
        </w:sectPr>
      </w:pPr>
    </w:p>
    <w:bookmarkStart w:id="24" w:name="page25"/>
    <w:bookmarkEnd w:id="24"/>
    <w:p>
      <w:pPr>
        <w:ind w:right="120"/>
        <w:spacing w:after="0" w:line="273" w:lineRule="auto"/>
        <w:rPr>
          <w:sz w:val="20"/>
          <w:szCs w:val="20"/>
          <w:color w:val="auto"/>
        </w:rPr>
      </w:pPr>
      <w:r>
        <w:rPr>
          <w:rFonts w:ascii="Arial" w:cs="Arial" w:eastAsia="Arial" w:hAnsi="Arial"/>
          <w:sz w:val="19"/>
          <w:szCs w:val="19"/>
          <w:color w:val="auto"/>
        </w:rPr>
        <w:t>future supply. CNSC licenses for the imports and exports related to the targets expire in 2028. If present or future sanctions against Russia directly or indirectly impede the shipment of Co-60 from Russia to North America or targets from North America to Russia, if we or our logistics providers are unable to secure or renew licenses under existing or future sanctions, if we are unable to identify international logistics providers needed for the supply of Co-60 or if Russia responds with further countersanctions, it may generally become more difficult to do business with Russian entities, which could have a material adverse effect on our business, prospects, financial condition or results of operations.</w:t>
      </w:r>
    </w:p>
    <w:p>
      <w:pPr>
        <w:spacing w:after="0" w:line="141" w:lineRule="exact"/>
        <w:rPr>
          <w:sz w:val="20"/>
          <w:szCs w:val="20"/>
          <w:color w:val="auto"/>
        </w:rPr>
      </w:pPr>
    </w:p>
    <w:p>
      <w:pPr>
        <w:ind w:right="220"/>
        <w:spacing w:after="0" w:line="288" w:lineRule="auto"/>
        <w:rPr>
          <w:sz w:val="20"/>
          <w:szCs w:val="20"/>
          <w:color w:val="auto"/>
        </w:rPr>
      </w:pPr>
      <w:r>
        <w:rPr>
          <w:rFonts w:ascii="Arial" w:cs="Arial" w:eastAsia="Arial" w:hAnsi="Arial"/>
          <w:sz w:val="20"/>
          <w:szCs w:val="20"/>
          <w:b w:val="1"/>
          <w:bCs w:val="1"/>
          <w:i w:val="1"/>
          <w:iCs w:val="1"/>
          <w:color w:val="auto"/>
        </w:rPr>
        <w:t>We may be subject to evolving changes in environmental, health and safety regulations, which may negatively impact our business.</w:t>
      </w:r>
    </w:p>
    <w:p>
      <w:pPr>
        <w:spacing w:after="0" w:line="13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auto"/>
        </w:rPr>
        <w:t>Federal, state, local and international authorities regulate operations within our three business units, including the operation of our gamma irradiation, E-beam, X-ray, and EO sterilization facilities, as well as the operations of our customers. If the regulators that govern our operations or the operations of our customers were to institute restrictive or onerous policies or regulations that increase our costs or change the preferences or requirements of our customers or suppliers, demand for and the timely and cost-effective availability of our products and services may be materially affected.</w:t>
      </w:r>
    </w:p>
    <w:p>
      <w:pPr>
        <w:spacing w:after="0" w:line="132"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Additionally, certain regulators, including the FDA, have started initiatives to encourage development of sterilization alternatives to EO processing. For example, the FDA approved vaporized hydrogen peroxide as a Category-A sterilization methodology in 2024. We have taken part in some of these initiatives. We have also made proactive, voluntary investments to enhance the emissions controls and employee protections within our EO facilities. Still, new regulations or changes to existing or expected regulations may require additional investments in new emissions control or employee protection technology or otherwise increase the cost of our gamma irradiation or EO processing. See related Risk Factor “—We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 Reconfiguring a gamma irradiation or EO sterilization facility so that it is suitable for a different sterilization technology, in response to changes in demand, regulations or other factors, would require significant capital investment and require us to suspend operations at the affected facility during the conversion. Any of the foregoing could have a material adverse effect on our business, prospects, financial condition or results of operations.</w:t>
      </w:r>
    </w:p>
    <w:p>
      <w:pPr>
        <w:spacing w:after="0" w:line="135" w:lineRule="exact"/>
        <w:rPr>
          <w:sz w:val="20"/>
          <w:szCs w:val="20"/>
          <w:color w:val="auto"/>
        </w:rPr>
      </w:pPr>
    </w:p>
    <w:p>
      <w:pPr>
        <w:spacing w:after="0" w:line="316" w:lineRule="auto"/>
        <w:rPr>
          <w:sz w:val="20"/>
          <w:szCs w:val="20"/>
          <w:color w:val="auto"/>
        </w:rPr>
      </w:pPr>
      <w:r>
        <w:rPr>
          <w:rFonts w:ascii="Arial" w:cs="Arial" w:eastAsia="Arial" w:hAnsi="Arial"/>
          <w:sz w:val="19"/>
          <w:szCs w:val="19"/>
          <w:b w:val="1"/>
          <w:bCs w:val="1"/>
          <w:i w:val="1"/>
          <w:iCs w:val="1"/>
          <w:color w:val="auto"/>
        </w:rPr>
        <w:t>Safety risks associated with the use, storage, transportation and disposal of potentially hazardous materials, such as EO and Co-60, may result in accidents or liabilities that materially affect our results of operations.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EO is flammable and explosive under certain conditions. Despite our extensive safety measures, a fire or explosion could occur at a sterilization facility where we use EO, which could interrupt our normal operations and result in facility closures, workplace and other injuries, property damage, or otherwise adversely affect our business.</w:t>
      </w:r>
    </w:p>
    <w:p>
      <w:pPr>
        <w:spacing w:after="0" w:line="155"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Because Co-60 is radioactive, its containment and proper shielding is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153"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Potentially hazardous materials must be handled and disposed of properly. Accidents involving disposal or handling of these substances, including accidents resulting from employees failing to follow safety protocols, could result in injury to people, property or the environment, as well as possible disruptions, restrictions or delays in production, and have in the past and could in the future result in claims relating to such events. For example, members of our workforce have been injured in our facilities and we have experienced property damage, production disruptions and temporary facility closures. Any injuries or damage to people, equipment or property or other disruptions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42" w:lineRule="exact"/>
        <w:rPr>
          <w:sz w:val="20"/>
          <w:szCs w:val="20"/>
          <w:color w:val="auto"/>
        </w:rPr>
      </w:pPr>
    </w:p>
    <w:p>
      <w:pPr>
        <w:jc w:val="both"/>
        <w:ind w:right="40"/>
        <w:spacing w:after="0" w:line="309" w:lineRule="auto"/>
        <w:rPr>
          <w:sz w:val="20"/>
          <w:szCs w:val="20"/>
          <w:color w:val="auto"/>
        </w:rPr>
      </w:pPr>
      <w:r>
        <w:rPr>
          <w:rFonts w:ascii="Arial" w:cs="Arial" w:eastAsia="Arial" w:hAnsi="Arial"/>
          <w:sz w:val="18"/>
          <w:szCs w:val="18"/>
          <w:color w:val="auto"/>
        </w:rPr>
        <w:t>Any incident at or emission from any of our EO, gamma or lab facilities that causes harm to workers or people who live, work, attend school or otherwise spend significant amounts of time near our facilities, or the interruption of normal operations at our facilities, could result in claims against us and, if those claims are successful, substantial liability to us. We are currently the</w:t>
      </w:r>
    </w:p>
    <w:p>
      <w:pPr>
        <w:sectPr>
          <w:pgSz w:w="11880" w:h="15480" w:orient="portrait"/>
          <w:cols w:equalWidth="0" w:num="1">
            <w:col w:w="10180"/>
          </w:cols>
          <w:pgMar w:left="820" w:top="412" w:right="880" w:bottom="0" w:gutter="0" w:footer="0" w:header="0"/>
        </w:sect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180"/>
          </w:cols>
          <w:pgMar w:left="820" w:top="412" w:right="880" w:bottom="0" w:gutter="0" w:footer="0" w:header="0"/>
          <w:type w:val="continuous"/>
        </w:sectPr>
      </w:pPr>
    </w:p>
    <w:bookmarkStart w:id="25" w:name="page26"/>
    <w:bookmarkEnd w:id="25"/>
    <w:p>
      <w:pPr>
        <w:spacing w:after="0" w:line="270" w:lineRule="auto"/>
        <w:rPr>
          <w:sz w:val="20"/>
          <w:szCs w:val="20"/>
          <w:color w:val="auto"/>
        </w:rPr>
      </w:pPr>
      <w:r>
        <w:rPr>
          <w:rFonts w:ascii="Arial" w:cs="Arial" w:eastAsia="Arial" w:hAnsi="Arial"/>
          <w:sz w:val="19"/>
          <w:szCs w:val="19"/>
          <w:color w:val="auto"/>
        </w:rPr>
        <w:t>subject of lawsuits alleging that the use, emissions and releases of EO from certain of our current and former facilities have resulted in toxicological or health-related impacts on the environment and members of the communities that surround these facilities. We deny these allegations.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related Risk Factors “—We are currently defending certain litigation, and we are likely to be subject to additional litigation in the future” and “—Potential health risks associated with the use of EO may subject us to future liability claims and associated adverse effects.”</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Nordion contracts for the activation of Co-59 “targets,” such as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nevertheless could be subject to lawsuits for damage to the nuclear installation or damages from a nuclear incident that were alleged to have been caused intentionally. While we make efforts to protect our interests through contractual provisions, quality assurance programs and the nature of our commercial relationships, there is no assurance that any of these measures or liability channeling laws or conventions will always prove effective in shielding us from liability, and any such liability or consequences could have a material adverse impact on our business, results of operations and financial condition.</w:t>
      </w:r>
    </w:p>
    <w:p>
      <w:pPr>
        <w:spacing w:after="0" w:line="156"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We currently carry pollution liability insurance for all our facilities and related operations and liability insurance, including from third party bodily injury or property damage allegedly arising from the storage, use, transportation or accident involving Co-60 sources in our operations. But this insurance may not cover all risks associated with the potential hazards of our business and is subject to limitations, including deductibles and maximum liabilities covered. We may incur losses beyond the limits, or outside the coverage, of our insurance policies. Additionally, our insurance for future alleged environmental liabilities excludes coverage for EO claims. Our ability to increase pollution liability insurance limits or replace any policies upon their expiration without exclusions for claims related to alleged EO exposure has been adversely impacted by claims against us, including pending claims alleging that the use, emissions and releases of EO from certain of our facilities have resulted in toxicological or health-related impacts on the environment and members of the communities that surround these facilities. To the extent any pollution liability is not covered by our insurance or able to be recovered from other parties, our business, financial condition or results of operations could be materially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health risks associated with the use of EO may subject us to future liability claims and associated adverse effects.</w:t>
      </w:r>
    </w:p>
    <w:p>
      <w:pPr>
        <w:spacing w:after="0" w:line="253"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color w:val="auto"/>
        </w:rPr>
        <w:t>Potential health risks associated with exposure to EO subject us to the risk of liability claims being made against us by workers, contractors, employees of our customers and individuals who have resided, worked, attended school or otherwise spent time within miles of our EO sterilization facilities. Assessments of the potential health risks of exposure to EO have evolved over time. For example, although EO is present in the environment from a variety of sources and naturally produced by the human body, the U.S. EPA has identified a potential for increased risk of certain cancers from exposure to EO emitted from sterilization facilities. In 2016, the U.S. EPA published its Integrated Risk Information System toxicity assessment of EO (the “2016 IRIS Assessment”), and, since 2018, the U.S. EPA has published National Air Toxics Assessments, which have been succeeded by Air Toxics Screening Assessments. These assessments have used the 2016 IRIS Assessment and other data to identify EO as a potential cancer concern in several areas across the country, including areas surrounding certain of our current and former EO sterilization facilities in the United States. Although we and other organizations disagree with the U.S. EPA’s assessments of the carcinogenic potency of EO, Sterigenics’ facilities and other EO facilities could continue to be the subject of unfavorable air quality assessments, regulations and other initiatives as risk assessments of EO continue to evolve. We can give no assurance as to the impact of such EO risk or air quality assessments on our business, prospects, financial condition, litigation and regulatory risks or results of operations. See related Risk Factor “—We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w:t>
      </w:r>
    </w:p>
    <w:p>
      <w:pPr>
        <w:spacing w:after="0" w:line="158"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We are currently subject to lawsuits in California, Georgia, Illinois and New Mexico alleging personal injury, property devaluation and other claims related to the use, emissions and releases of EO from our facilities. Additional EO lawsuits have been threatened and may be filed in the future relating to our EO facilities in the United States. These threats of additional EO lawsuits are comparable to threats that have similarly been made against other companies within our industry. We deny these allegations against us and our subsidiaries. See related Risk Factor “—We are currently defending certain litigation, and we are likely to be subject to additional litigation in the future,” Item 3, “Legal Proceedings” and Note 19, “Commitments and Contingencies,” to our consolidated financial statements. We may be subject to other claims by private plaintiffs and/or state or</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240"/>
          </w:cols>
          <w:pgMar w:left="820" w:top="412" w:right="820" w:bottom="0" w:gutter="0" w:footer="0" w:header="0"/>
          <w:type w:val="continuous"/>
        </w:sectPr>
      </w:pPr>
    </w:p>
    <w:bookmarkStart w:id="26" w:name="page27"/>
    <w:bookmarkEnd w:id="26"/>
    <w:p>
      <w:pPr>
        <w:spacing w:after="0" w:line="294" w:lineRule="auto"/>
        <w:rPr>
          <w:sz w:val="20"/>
          <w:szCs w:val="20"/>
          <w:color w:val="auto"/>
        </w:rPr>
      </w:pPr>
      <w:r>
        <w:rPr>
          <w:rFonts w:ascii="Arial" w:cs="Arial" w:eastAsia="Arial" w:hAnsi="Arial"/>
          <w:sz w:val="18"/>
          <w:szCs w:val="18"/>
          <w:color w:val="auto"/>
        </w:rPr>
        <w:t>local governments and/or agencies in the future relating to our current or former facilities. In addition, we have encountered and may continue to encounter resistance, protests or other actions in communities where our existing facilities are located or where we seek to establish or expand facilities based on perceptions within these communities of the risks associated with exposure to EO. Publicity regarding community resistance to EO facilities may also have other adverse impacts, including damage to our reputation and public pressure against our facilities that may affect our ability to conduct our business.</w:t>
      </w:r>
    </w:p>
    <w:p>
      <w:pPr>
        <w:spacing w:after="0" w:line="172"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color w:val="auto"/>
        </w:rPr>
        <w:t>If we are the subject of other lawsuits related to use, emissions and releases of EO, that litigation, regardless of the merits of the claims at issue or the ultimate outcome of the case, could result in a substantial cost to us and could have a material adverse effect on our business, prospects, financial condition or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currently defending certain litigation, and we are likely to be subject to additional litigation in the future.</w:t>
      </w:r>
    </w:p>
    <w:p>
      <w:pPr>
        <w:spacing w:after="0" w:line="230"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 As detailed in Note 19, “Commitments and Contingencies,” to our consolidated financial statements under the heading “Ethylene Oxide Tort Litigation,” we are currently subject to lawsuits in California, Georgia and Illinois brought by private plaintiffs and, in New Mexico, a government entity, alleging personal injury, property devaluation and other claims related to our use, emissions and releases of EO. Additional EO lawsuits have been threatened and may be filed in the future relating to our EO facilities in the United States; these threats of additional EO lawsuits are comparable to threats that have similarly been made against other companies within our industry.</w:t>
      </w:r>
    </w:p>
    <w:p>
      <w:pPr>
        <w:spacing w:after="0" w:line="15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In such litigation, plaintiffs typically seek various remedies, including injunctive relief and compensatory and punitive damages. Settlement demands may seek significant payments and other remedies, or otherwise be on terms that we do not consider reasonable under the circumstances. Settlement negotiations may result in agreements to settle claims on various terms and conditions adverse to the Company, including significant payments to settle claims that we believe are without merit. In some instances, despite our compliance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Defense of litigation may result in diversion of management attention from other priorities. We may be subject to future claims in addition to those described above by or on behalf of similar groups of plaintiffs, including potentially our employees or former employees, relating to any of our current or former facilities or activities. In addition, awards against and settlements by us or our competitors or publicity associated with EO-related litigation or regulator activity could incentivize parties to bring additional claims against us.</w:t>
      </w:r>
    </w:p>
    <w:p>
      <w:pPr>
        <w:spacing w:after="0" w:line="146"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The financial impact of litigation, particularly mass action lawsuits, is difficult to assess or quantify. The outcomes of jury trials are unpredictable, and a judgment entered or settlement reached in one case is not representative of the outcome of other seemingly comparable cases. If we are the subject of future lawsuits, regardless of the merits of the claims at issue or the ultimate outcome of a case, any litigation could be costly to defend, result in an increase of our insurance premiums, and exhaust any available insurance coverage. Claims against us that result in entry of a judgment, that we settle that are not covered or not sufficiently covered by insurance policies, or that fall within retained liability under our policies, could have a material adverse impact on our business, prospects, financial condition or results of operations. Our current environmental liability insurance does not cover claims related to EO. Even where we have coverage under prior or existing policies for claims brought against us, our insurance may not be adequate to cover all potential liabilities and losses arising from those claims, and we have significant self-insured retention amounts, which we would have to pay in full before obtaining any insurance proceeds. Additionally, even where a claim should be covered by insurance, an insurer might refuse coverage. To the extent our insurance coverage is inadequate, and we are not successful in identifying additional coverage for such claims, we would have to pay any costs or losses in excess of policy limits, including costs to defend such claims, and the amount of any settlement or judgment. Any settlement or judgment against us arising out of pending or future claims related to EO would likely exceed any insurance recoveries available to us and could have a material adverse effect on our business, prospects, financial condition or results of operations. See Note 19, “Commitments and Contingencies,” to our consolidated financial statements for more detail on our pending litigation.</w:t>
      </w:r>
    </w:p>
    <w:p>
      <w:pPr>
        <w:spacing w:after="0" w:line="155" w:lineRule="exact"/>
        <w:rPr>
          <w:sz w:val="20"/>
          <w:szCs w:val="20"/>
          <w:color w:val="auto"/>
        </w:rPr>
      </w:pPr>
    </w:p>
    <w:p>
      <w:pPr>
        <w:ind w:right="160"/>
        <w:spacing w:after="0" w:line="276" w:lineRule="auto"/>
        <w:rPr>
          <w:sz w:val="20"/>
          <w:szCs w:val="20"/>
          <w:color w:val="auto"/>
        </w:rPr>
      </w:pPr>
      <w:r>
        <w:rPr>
          <w:rFonts w:ascii="Arial" w:cs="Arial" w:eastAsia="Arial" w:hAnsi="Arial"/>
          <w:sz w:val="19"/>
          <w:szCs w:val="19"/>
          <w:b w:val="1"/>
          <w:bCs w:val="1"/>
          <w:i w:val="1"/>
          <w:iCs w:val="1"/>
          <w:color w:val="auto"/>
        </w:rPr>
        <w:t>We have received an adverse judgment and may in the future receive other adverse judgments in litigation relating to our use, emissions and releases of EO. Despite our belief that these claims are not supported by the science and are otherwise without merit, we have entered and may in the future enter into agreements to settle claims relating to our use, emissions and releases of EO. The resolution of these matters by litigation or settlement may have a negative impact on our financial condition and liquidity in the near and long term.</w:t>
      </w:r>
    </w:p>
    <w:p>
      <w:pPr>
        <w:sectPr>
          <w:pgSz w:w="11880" w:h="15480" w:orient="portrait"/>
          <w:cols w:equalWidth="0" w:num="1">
            <w:col w:w="10220"/>
          </w:cols>
          <w:pgMar w:left="820" w:top="41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220"/>
          </w:cols>
          <w:pgMar w:left="820" w:top="412" w:right="840" w:bottom="0" w:gutter="0" w:footer="0" w:header="0"/>
          <w:type w:val="continuous"/>
        </w:sectPr>
      </w:pPr>
    </w:p>
    <w:bookmarkStart w:id="27" w:name="page28"/>
    <w:bookmarkEnd w:id="27"/>
    <w:p>
      <w:pPr>
        <w:ind w:right="40"/>
        <w:spacing w:after="0" w:line="271" w:lineRule="auto"/>
        <w:rPr>
          <w:sz w:val="20"/>
          <w:szCs w:val="20"/>
          <w:color w:val="auto"/>
        </w:rPr>
      </w:pPr>
      <w:r>
        <w:rPr>
          <w:rFonts w:ascii="Arial" w:cs="Arial" w:eastAsia="Arial" w:hAnsi="Arial"/>
          <w:sz w:val="19"/>
          <w:szCs w:val="19"/>
          <w:color w:val="auto"/>
        </w:rPr>
        <w:t>As described elsewhere in Note 19, “Commitments and Contingencies,” to our consolidated financial statements under the heading “Ethylene Oxide Tort Litigation,” we are subject to tort lawsuits alleging injuries caused by our use of EO and low-level environmental exposure to EO emissions and releases from certain of our sterilization facilities. Trials were conducted in the Circuit Court of Cook County, Illinois in late 2022 in two individual cases related to our former facility in Willowbrook, Illinois. The first trial resulted in a verdict for the plaintiff and a judgment of $358.7 million (including $320 million in punitive damages) against Sterigenics U.S., LLC and Sotera Health LLC (the “Defendant Subsidiaries”). Two months later, the second trial resulted in a verdict for the Defendant Subsidiaries.</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January 2023, the Defendant Subsidiaries entered into binding term sheets that provided an agreed path to pay $408.0 million to settle over 880 claims related to our former facility in Willowbrook, Illinois, including the claim of the plaintiff in the first trial. The settlement was finalized in June 2023. In April 2025, the Defendant Subsidiaries entered into binding term sheets to pay $30.9 million to resolve 97 claims, including claimants with pending lawsuits and claimants who asserted claims but had yet to file lawsuits. The settlement was finalized in September 2025. In July 2025, the Defendant Subsidiaries entered into binding term sheets to pay $34.0 million to resolve 129 additional claims, including those of claimants with pending lawsuits and claimants who asserted claims but had yet to file lawsuits. That settlement was finalized in February 2026. In addition, in December 2025, the Defendant Subsidiaries settled with the remaining plaintiff to opt-out of the January 2023 settlement.</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auto"/>
        </w:rPr>
        <w:t>In October 2023, the Defendant Subsidiaries entered into binding term sheets to pay $35 million to resolve 79 claims related to the Atlanta, Georgia facility. The settlement was finalized in January 2024. Approximately 450 personal injury claims and 305 property devaluation claims related to the Atlanta facility, as well as a lawsuit in which employees of a sterilization customer of Sterigenics allege they were injured while working at the customer’s distribution facility by exposure to residual EO allegedly emanating from products of the customer that had been sterilized by Sterigenics, remain pending in Cobb County, Georgia.</w:t>
      </w:r>
    </w:p>
    <w:p>
      <w:pPr>
        <w:spacing w:after="0" w:line="132"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color w:val="auto"/>
        </w:rPr>
        <w:t>We continue to believe that the EO-related claims are without merit and intend to vigorously defend the remaining EO cases and any future EO cases. We do not believe the damages awarded in the first trial in Illinois are predictive of potential future damage awards in the other EO tort cases, or that the settlement amounts reflected in the Willowbrook or Atlanta settlements described above are predictive of potential future settlements, but there can be no assurance that any cases proceeding to trial will not result in significant judgments adverse to us, the Defendant Subsidiaries or other subsidiaries and future settlements of EO cases are reasonably possible. In the event we or our subsidiaries receive one or more additional adverse judgments in any EO tort case(s), we or our subsidiaries may be required to post security, such as an appellate bond, of a significant amount to stay those judgments through the appeals process.</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Actions required to secure appellate bonds may create a substantial strain on our and our subsidiaries’ liquidity and financial condition. There is no assurance that our subsidiaries or the Company will meet the requirements to provide an appellate bond(s) for appeals of any future adverse judgments. If we or our subsidiaries are unable to meet those requirements and are not able to secure an appellate bond when and in the form and amount required by the courts for the appeal to proceed, the judgment(s) will become enforceable and may exceed our or our subsidiaries’ ability to pay in cash. If we or our subsidiaries are unable to pay in cash, the Company or our subsidiaries may be required to seek financing, sell assets or take other measures to address the judgments. There can be no assurance that our subsidiaries or the Company will be able to secure such financing, and any sales of assets or other such actions taken to attempt to satisfy judgments may significantly limit our liquidity, harm our financial condition and increase our leverage.</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In addition, an event of default under the Senior Secured Credit Facilities (as defined below) and the Indenture (as defined below) would occur if the Company or certain of its subsidiaries received one or more enforceable judgments for payment in an aggregate amount in excess of the greater of (i) $162.6 million or (ii) 30.0% of consolidated EBITDA or LTM EBITDA (as defined in the Credit Agreement (as defined below) and the Indenture, respectively) and the judgments were not stayed or remained undischarged for a period of 60 consecutive days. Thus, if we or our subsidiaries are unable to meet collateral requirements to post an appellate bond to stay the enforceability of a judgment, absent judicial relief, we may be required to negotiate with our current lenders to avert a default under our senior secured credit facilities and the success of such negotiations cannot be assured.</w:t>
      </w:r>
    </w:p>
    <w:p>
      <w:pPr>
        <w:spacing w:after="0" w:line="157" w:lineRule="exact"/>
        <w:rPr>
          <w:sz w:val="20"/>
          <w:szCs w:val="20"/>
          <w:color w:val="auto"/>
        </w:rPr>
      </w:pPr>
    </w:p>
    <w:p>
      <w:pPr>
        <w:ind w:right="620"/>
        <w:spacing w:after="0" w:line="347" w:lineRule="auto"/>
        <w:rPr>
          <w:sz w:val="20"/>
          <w:szCs w:val="20"/>
          <w:color w:val="auto"/>
        </w:rPr>
      </w:pPr>
      <w:r>
        <w:rPr>
          <w:rFonts w:ascii="Arial" w:cs="Arial" w:eastAsia="Arial" w:hAnsi="Arial"/>
          <w:sz w:val="18"/>
          <w:szCs w:val="18"/>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240"/>
          </w:cols>
          <w:pgMar w:left="820" w:top="412" w:right="820" w:bottom="0" w:gutter="0" w:footer="0" w:header="0"/>
          <w:type w:val="continuous"/>
        </w:sectPr>
      </w:pPr>
    </w:p>
    <w:bookmarkStart w:id="28" w:name="page29"/>
    <w:bookmarkEnd w:id="28"/>
    <w:p>
      <w:pPr>
        <w:ind w:right="60"/>
        <w:spacing w:after="0" w:line="283" w:lineRule="auto"/>
        <w:rPr>
          <w:sz w:val="20"/>
          <w:szCs w:val="20"/>
          <w:color w:val="auto"/>
        </w:rPr>
      </w:pPr>
      <w:r>
        <w:rPr>
          <w:rFonts w:ascii="Arial" w:cs="Arial" w:eastAsia="Arial" w:hAnsi="Arial"/>
          <w:sz w:val="18"/>
          <w:szCs w:val="18"/>
          <w:color w:val="auto"/>
        </w:rPr>
        <w:t>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products that are damaged as a result of the nonconformance. We could be held liable for personal injury, contractual or other damages that are alleged to result from improper or incorrect processing, cycle parameters or dosage specifications, testing or product damage. Even where processing occurred within cycle parameters, we have faced and may face future claims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any of which could require retesting and result in personal injury claims or claims of economic or other loss.</w:t>
      </w:r>
    </w:p>
    <w:p>
      <w:pPr>
        <w:spacing w:after="0" w:line="143"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We derive limited revenue from government customers. Our government contracts may contain additional requirements that may increase our costs of doing business, subject us to additional government scrutiny and expose us to liability for failure to comply with additional government requirements. In our Nordion business, our processing and sale of medical-grade Co-60 used for radiation therapy involves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w:t>
      </w:r>
    </w:p>
    <w:p>
      <w:pPr>
        <w:spacing w:after="0" w:line="141"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Although we maintain product and professional liability insurance coverage in amounts we believe are customary for a company of our size, there can be no assurance that this level of coverage is adequate or that we will be able to continue to maintain our existing insurance or obtain comparable insurance at a reasonable cost, if at all. In addition, insurance coverage is subject to exclusions, which change from time to time based on industry developments. For example, our current product and professional liability insurance does not cover matters related to EO emissions. A product recall or seizure or a partially or completely uninsured judgment against us could have a material adverse effect on our business, prospects, financial condition or results of operations.</w:t>
      </w:r>
    </w:p>
    <w:p>
      <w:pPr>
        <w:spacing w:after="0" w:line="161"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b w:val="1"/>
          <w:bCs w:val="1"/>
          <w:i w:val="1"/>
          <w:iCs w:val="1"/>
          <w:color w:val="auto"/>
        </w:rPr>
        <w:t>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w:t>
      </w:r>
    </w:p>
    <w:p>
      <w:pPr>
        <w:spacing w:after="0" w:line="2" w:lineRule="exact"/>
        <w:rPr>
          <w:sz w:val="20"/>
          <w:szCs w:val="20"/>
          <w:color w:val="auto"/>
        </w:rPr>
      </w:pPr>
    </w:p>
    <w:p>
      <w:pPr>
        <w:ind w:right="400"/>
        <w:spacing w:after="0" w:line="288" w:lineRule="auto"/>
        <w:rPr>
          <w:sz w:val="20"/>
          <w:szCs w:val="20"/>
          <w:color w:val="auto"/>
        </w:rPr>
      </w:pPr>
      <w:r>
        <w:rPr>
          <w:rFonts w:ascii="Arial" w:cs="Arial" w:eastAsia="Arial" w:hAnsi="Arial"/>
          <w:sz w:val="20"/>
          <w:szCs w:val="20"/>
          <w:b w:val="1"/>
          <w:bCs w:val="1"/>
          <w:i w:val="1"/>
          <w:iCs w:val="1"/>
          <w:color w:val="auto"/>
        </w:rPr>
        <w:t>or approvals may impact our revenues, profitability, financial condition or value. We may face liability and reputational risks even if we comply with all laws and regulations.</w:t>
      </w:r>
    </w:p>
    <w:p>
      <w:pPr>
        <w:spacing w:after="0" w:line="13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fire protection, research, marketing, transportation, drug enforcement (governing the handling of controlled substances), protection against infectious diseases and pathogens and agriculture, fish and wildlife. These laws and regulations regulate our use of potentially hazardous materials, such as EO, Co-60, E-beam, and X-ray, and can require us to carefully manage, control emissions of and/or limit human exposure to, these materials. For example, OSHA and U.S. EPA regulations and similar laws in other jurisdictions limit worker exposure to EO. In addition, FDA and comparable foreign regulations dictate the acceptable amount of EO residue on different types of sterilized products. In most jurisdictions, we are required to maintain and operate pollution control equipment to minimize emissions and releases of EO. Regulations issued by OSHA, the NRC and other agencies also require that equipment used at our facilities be designed and operated in a manner that is safe.</w:t>
      </w:r>
    </w:p>
    <w:p>
      <w:pPr>
        <w:spacing w:after="0" w:line="163"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In the United States, the use of EO for medical device sterilization is regulated by the U.S. EPA under the CAA and FIFRA. Our supplier maintains a FIFRA registration for the EO they sell in the United States that is used to sterilize or reduce the viable microorganisms on a listed group of products, including medical devices, pharmaceutical products, cosmetics and spice products.</w:t>
      </w:r>
    </w:p>
    <w:p>
      <w:pPr>
        <w:spacing w:after="0" w:line="160" w:lineRule="exact"/>
        <w:rPr>
          <w:sz w:val="20"/>
          <w:szCs w:val="20"/>
          <w:color w:val="auto"/>
        </w:rPr>
      </w:pPr>
    </w:p>
    <w:p>
      <w:pPr>
        <w:ind w:right="360"/>
        <w:spacing w:after="0" w:line="299" w:lineRule="auto"/>
        <w:rPr>
          <w:sz w:val="20"/>
          <w:szCs w:val="20"/>
          <w:color w:val="auto"/>
        </w:rPr>
      </w:pPr>
      <w:r>
        <w:rPr>
          <w:rFonts w:ascii="Arial" w:cs="Arial" w:eastAsia="Arial" w:hAnsi="Arial"/>
          <w:sz w:val="18"/>
          <w:szCs w:val="18"/>
          <w:color w:val="auto"/>
        </w:rPr>
        <w:t>In March 2024, the U.S. EPA announced final rules under the National Emissions Standards for Hazardous Air Pollutants (“NESHAP”) to govern EO sterilization facilities in the United States, and on April 5, 2024, the final NESHAP regulation became effective. The final regulation requires EO sterilization facilities to implement additional air pollution technologies, practices and procedures designed to further reduce EO emissions. For facilities like ours, the final NESHAP regulation</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240"/>
          </w:cols>
          <w:pgMar w:left="820" w:top="412" w:right="820" w:bottom="0" w:gutter="0" w:footer="0" w:header="0"/>
          <w:type w:val="continuous"/>
        </w:sectPr>
      </w:pPr>
    </w:p>
    <w:bookmarkStart w:id="29" w:name="page30"/>
    <w:bookmarkEnd w:id="29"/>
    <w:p>
      <w:pPr>
        <w:ind w:right="20"/>
        <w:spacing w:after="0" w:line="286" w:lineRule="auto"/>
        <w:rPr>
          <w:sz w:val="20"/>
          <w:szCs w:val="20"/>
          <w:color w:val="auto"/>
        </w:rPr>
      </w:pPr>
      <w:r>
        <w:rPr>
          <w:rFonts w:ascii="Arial" w:cs="Arial" w:eastAsia="Arial" w:hAnsi="Arial"/>
          <w:sz w:val="18"/>
          <w:szCs w:val="18"/>
          <w:color w:val="auto"/>
        </w:rPr>
        <w:t>imposes new requirements such as higher efficiencies for EO emission controls, implementation of permanent total enclosure capture technology, and use of CEMS. The revised final NESHAP regulation generally allows two years for compliance. On March 12, 2025, the U.S. EPA announced that it was reconsidering the NESHAP regulation applicable to commercial sterilizers. On July 17, 2025, the White House issued a CAA proclamation providing a two-year exemption for certain sterilization facilities to allow time to obtain and install new control technology and implement required changes. Although our operations are covered by this exemption, we continue progressing certain changes to our facilities to comply with the final NESHAP EO sterilizer regulation. Additionally, a complaint was filed in January 2026 in the U.S. District Court for the District of Columbia against the President, U.S. EPA and the U.S. EPA Administrator seeking injunctive relief that would, if granted, invalidate the exemption and therefore require our facilities to comply with the original timeframe.</w:t>
      </w:r>
    </w:p>
    <w:p>
      <w:pPr>
        <w:spacing w:after="0" w:line="140" w:lineRule="exact"/>
        <w:rPr>
          <w:sz w:val="20"/>
          <w:szCs w:val="20"/>
          <w:color w:val="auto"/>
        </w:rPr>
      </w:pPr>
    </w:p>
    <w:p>
      <w:pPr>
        <w:ind w:right="200"/>
        <w:spacing w:after="0" w:line="275" w:lineRule="auto"/>
        <w:rPr>
          <w:sz w:val="20"/>
          <w:szCs w:val="20"/>
          <w:color w:val="auto"/>
        </w:rPr>
      </w:pPr>
      <w:r>
        <w:rPr>
          <w:rFonts w:ascii="Arial" w:cs="Arial" w:eastAsia="Arial" w:hAnsi="Arial"/>
          <w:sz w:val="19"/>
          <w:szCs w:val="19"/>
          <w:color w:val="auto"/>
        </w:rPr>
        <w:t>Over the next one to ten years, the FIFRA ID requires users of EO, including EO sterilization facilities like ours in the United States, to reach and maintain reduced employee exposure levels of EO; implement heightened worker protection practices, particularly in those areas of sterilization facilities where workers do not regularly wear respiratory protective equipment; and implement further facility design, increased employee exposure monitoring, additional indoor EO monitoring practices, sterilization cycle concentration limits, and other worker protection and training practices.</w:t>
      </w:r>
    </w:p>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We believe that our investments in emission control enhancements and employee protection at our EO facilities have positioned us to be able to comply with the updated NESHAP and FIFRA ID requirements within the timeframes specified by the final rules or regulatory exemptions received, but the requirements of the final rules represent significant changes from historical requirements and are challenging for existing EO sterilization facilities like ours, and therefore we cannot provide certainty that we will be able to comply with the requirements of the final rules at our EO facilities within the time required. Compliance with the final NESHAP and FIFRA ID may ultimately require additional facility modifications, capital expenditures and operational costs beyond what the Company is presently anticipating.</w:t>
      </w:r>
    </w:p>
    <w:p>
      <w:pPr>
        <w:spacing w:after="0" w:line="15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U.S. EPA has engaged in additional regulatory activities relating to EO emissions that could trigger additional community concerns and litigation regarding EO that could cause us to incur material defense costs, could result in diversion of management resources, and potentially could cause us to incur material liability or settlement costs or have other adverse effects on our business, financial condition, or operations. For example, in recent years, the U.S. EPA has conducted outreach sessions in communities located near commercial EO sterilization facilities. Such community outreach sessions have in the past, and may in the future, create community concerns and increase the risk of litigation near commercial EO sterilization facilities, including ours, notwithstanding facility compliance with applicable rules and control of emissions beyond the requirements of applicable rules.</w:t>
      </w:r>
    </w:p>
    <w:p>
      <w:pPr>
        <w:spacing w:after="0" w:line="165"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State and local authorities, including California and the South Coast Air Quality Management District (“SCAQMD”) in Southern California, are also conducting community outreach sessions relating to EO commercial sterilization facilities. SCAQMD also adopted new regulations for EO sterilization facilities in December 2023, which required new compliance actions by September 2025. In 2024, SCAQMD published a new health risk assessment and conducted community meetings about risks related to EO emissions from Sterigenics facilities in Vernon, California, and is expected in early 2026 to do the same related to the Sterigenics facility in Ontario, California. The European Union has also been reviewing current regulations for the use of EO in EO sterilization facilities and has decided that EO as a sterilizing agent for medical devices will fall under the scope of the European Union Medical Devices Regulation, which may impose new and different regulatory requirements for the use of EO in the European Union. We expect to incur capital costs for enhancements to our equipment and to implement process automation and emission control enhancements to comply with these and other evolving requirements, and we cannot provide assurance that we will be able to timely meet all requirements. If future regulations differ from our current expectations, they may require additional modifications and capital costs beyond what we have budgeted for, which could be material. New standards for commercial EO sterilization, such as the new U.S. EPA standards based on the 2016 IRIS Assessment, could also make it more difficult and expensive to raise capital for future investments in EO sterilization facilities.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inasmuch as all are signatories to the IAEA conventions and have adopted safety standards from the IAEA and recommendations from the ICRP.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240"/>
          </w:cols>
          <w:pgMar w:left="820" w:top="412" w:right="820" w:bottom="0" w:gutter="0" w:footer="0" w:header="0"/>
          <w:type w:val="continuous"/>
        </w:sectPr>
      </w:pPr>
    </w:p>
    <w:bookmarkStart w:id="30" w:name="page31"/>
    <w:bookmarkEnd w:id="30"/>
    <w:p>
      <w:pPr>
        <w:ind w:right="20"/>
        <w:spacing w:after="0" w:line="287" w:lineRule="auto"/>
        <w:rPr>
          <w:sz w:val="20"/>
          <w:szCs w:val="20"/>
          <w:color w:val="auto"/>
        </w:rPr>
      </w:pPr>
      <w:r>
        <w:rPr>
          <w:rFonts w:ascii="Arial" w:cs="Arial" w:eastAsia="Arial" w:hAnsi="Arial"/>
          <w:sz w:val="18"/>
          <w:szCs w:val="18"/>
          <w:color w:val="auto"/>
        </w:rPr>
        <w:t>Additionally, our operations in the United States and the majority of our facilities outside the United States (to the extent we are processing a product in that facility, or providing lab services related to a product, that may end up in the U.S. market) are regulated by the FDA. We are also regulated by other health regulatory authorities in other countries. Specifically, these operations include some of our sterilization and product testing activities that may constitute as “manufacturing” activities and are therefore subject to FDA requirements. From time to time, the FDA issues Form 483 findings related to our operations and may issue warning letters or take other administrative or enforcement actions for noncompliance with FDA laws and regulations. The issues raised by such warning letters and related administrative actions require significant resources and time to correct. Failure to comply with regulatory requirements could have a material adverse effect on our business.</w:t>
      </w:r>
    </w:p>
    <w:p>
      <w:pPr>
        <w:spacing w:after="0" w:line="140"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To the extent Nordion ceases to operate its facility in Kanata, Canada in the future, Nordion will be responsible for the radiological decommissioning of such facility, including in respect of the portion leased by BWX Technologies, Inc. in connection with its 2018 acquisition of the Medical Isotopes business to the extent any contamination precedes such transaction. In addition, if Sterigenics in the future ceases operating any of its irradiation facilities, it will be responsible for decommissioning costs in respect of such facilities. We currently provide financial assurance for approximately $50.3 million of such decommissioning liabilities in the 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 xml:space="preserve">See Item 1, </w:t>
      </w:r>
      <w:r>
        <w:rPr>
          <w:rFonts w:ascii="Arial" w:cs="Arial" w:eastAsia="Arial" w:hAnsi="Arial"/>
          <w:sz w:val="23"/>
          <w:szCs w:val="23"/>
          <w:b w:val="1"/>
          <w:bCs w:val="1"/>
          <w:color w:val="auto"/>
        </w:rPr>
        <w:t>“</w:t>
      </w:r>
      <w:r>
        <w:rPr>
          <w:rFonts w:ascii="Arial" w:cs="Arial" w:eastAsia="Arial" w:hAnsi="Arial"/>
          <w:sz w:val="19"/>
          <w:szCs w:val="19"/>
          <w:color w:val="auto"/>
        </w:rPr>
        <w:t>Business—Governmental Regulation and Environmental Matters” for more information on the regulatory requirements of our businesses. Compliance with these regulations, our own voluntary programs that relate to maintaining the safety of our employees and facilities as well as the environment, and the safety and competitiveness of our equipment, systems and facilities, may be difficult, burdensome or expensive. Any changes in these regulations, or the interpretation of such regulations or our customers’ perception of such changes could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some of the countries in which we operate. Failure to secure renewal of permits or tightening of restrictions within our existing permits could have a material adverse effect on our business or cause us to incur material expenses.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For example, in the past, officials stopped operations at one of our facilities purportedly to review our fire and building code status and certificate of occupancy and we were required to initiate and prevail in litigation to establish that we were entitled to continue to operate our facility.</w:t>
      </w:r>
    </w:p>
    <w:p>
      <w:pPr>
        <w:spacing w:after="0" w:line="155"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Our failure to comply with the regulatory requirements of these agencies and officials may subject us to administratively or judicially imposed sanctions. These sanctions include, among others, warning letters, notices of violation,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Item 3, Legal Proceedings and Note 19, “Commitments and Contingencies,” to our consolidated financial statements and related Risk Factor “—Potential health risks associated with the use of EO may subject us to future liability claims and associated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134" w:lineRule="exact"/>
        <w:rPr>
          <w:sz w:val="20"/>
          <w:szCs w:val="20"/>
          <w:color w:val="auto"/>
        </w:rPr>
      </w:pPr>
    </w:p>
    <w:p>
      <w:pPr>
        <w:ind w:right="480"/>
        <w:spacing w:after="0" w:line="288" w:lineRule="auto"/>
        <w:rPr>
          <w:sz w:val="20"/>
          <w:szCs w:val="20"/>
          <w:color w:val="auto"/>
        </w:rPr>
      </w:pPr>
      <w:r>
        <w:rPr>
          <w:rFonts w:ascii="Arial" w:cs="Arial" w:eastAsia="Arial" w:hAnsi="Arial"/>
          <w:sz w:val="20"/>
          <w:szCs w:val="20"/>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13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injuries or significant property damage, regulatory repercussions or difficulties fulfilling our obligations to our customers, any of which could have a material adverse effect on our business, prospects, financial condition or results of operations.</w:t>
      </w:r>
    </w:p>
    <w:p>
      <w:pPr>
        <w:spacing w:after="0" w:line="149" w:lineRule="exact"/>
        <w:rPr>
          <w:sz w:val="20"/>
          <w:szCs w:val="20"/>
          <w:color w:val="auto"/>
        </w:rPr>
      </w:pPr>
    </w:p>
    <w:p>
      <w:pPr>
        <w:ind w:right="100"/>
        <w:spacing w:after="0" w:line="335" w:lineRule="auto"/>
        <w:rPr>
          <w:sz w:val="20"/>
          <w:szCs w:val="20"/>
          <w:color w:val="auto"/>
        </w:rPr>
      </w:pPr>
      <w:r>
        <w:rPr>
          <w:rFonts w:ascii="Arial" w:cs="Arial" w:eastAsia="Arial" w:hAnsi="Arial"/>
          <w:sz w:val="17"/>
          <w:szCs w:val="17"/>
          <w:color w:val="auto"/>
        </w:rPr>
        <w:t>Our EO and Co-60 raw materials are potentially hazardous, and we are therefore subject to stringent requirements to secure these materials from theft or other unauthorized uses. If our failure to adequately secure these materials leads to them being stolen or materially damaged, our licenses to operate could be suspended, resulting in a material adverse effect to our business,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240"/>
          </w:cols>
          <w:pgMar w:left="820" w:top="412" w:right="820" w:bottom="0" w:gutter="0" w:footer="0" w:header="0"/>
          <w:type w:val="continuous"/>
        </w:sectPr>
      </w:pPr>
    </w:p>
    <w:bookmarkStart w:id="31" w:name="page32"/>
    <w:bookmarkEnd w:id="31"/>
    <w:p>
      <w:pPr>
        <w:jc w:val="both"/>
        <w:ind w:right="40"/>
        <w:spacing w:after="0" w:line="261" w:lineRule="auto"/>
        <w:rPr>
          <w:sz w:val="20"/>
          <w:szCs w:val="20"/>
          <w:color w:val="auto"/>
        </w:rPr>
      </w:pPr>
      <w:r>
        <w:rPr>
          <w:rFonts w:ascii="Arial" w:cs="Arial" w:eastAsia="Arial" w:hAnsi="Arial"/>
          <w:sz w:val="20"/>
          <w:szCs w:val="20"/>
          <w:color w:val="auto"/>
        </w:rPr>
        <w:t>prospects, financial condition or results of operations. Any such incident could also have legal consequences, such as fines and penalties for violations of regulatory requirements and/or lawsuits for personal injuries, property damage or diminution or other claims that could result in substantial liability to us. Additionally, loss of control of Co-60 sources by a customer could result in contamination and significant public health consequences.</w:t>
      </w:r>
    </w:p>
    <w:p>
      <w:pPr>
        <w:spacing w:after="0" w:line="151" w:lineRule="exact"/>
        <w:rPr>
          <w:sz w:val="20"/>
          <w:szCs w:val="20"/>
          <w:color w:val="auto"/>
        </w:rPr>
      </w:pPr>
    </w:p>
    <w:p>
      <w:pPr>
        <w:ind w:right="460"/>
        <w:spacing w:after="0" w:line="288" w:lineRule="auto"/>
        <w:rPr>
          <w:sz w:val="20"/>
          <w:szCs w:val="20"/>
          <w:color w:val="auto"/>
        </w:rPr>
      </w:pPr>
      <w:r>
        <w:rPr>
          <w:rFonts w:ascii="Arial" w:cs="Arial" w:eastAsia="Arial" w:hAnsi="Arial"/>
          <w:sz w:val="20"/>
          <w:szCs w:val="20"/>
          <w:b w:val="1"/>
          <w:bCs w:val="1"/>
          <w:i w:val="1"/>
          <w:iCs w:val="1"/>
          <w:color w:val="auto"/>
        </w:rPr>
        <w:t>Industry trends could impact the demand for our products and services and could have a material adverse effect on our business.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Industry trends that affect medical device, pharmaceutical or biotechnology companies could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or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For example, while X-ray has yet to be widely adopted as a method of sterilization, X-ray could be adopted as an alternative to Co-60 gamma irradiation in the future because of potential concerns about the cost or availability of Co-60 or the perceived benefits of X-ray. In addition, government agencies may encourage the development of X-ray to mitigate potential risks to the supply of Co-60 or to try to reduce access to radioactive material in particular areas, which could have an adverse impact on our business.</w:t>
      </w:r>
    </w:p>
    <w:p>
      <w:pPr>
        <w:spacing w:after="0" w:line="156" w:lineRule="exact"/>
        <w:rPr>
          <w:sz w:val="20"/>
          <w:szCs w:val="20"/>
          <w:color w:val="auto"/>
        </w:rPr>
      </w:pPr>
    </w:p>
    <w:p>
      <w:pPr>
        <w:ind w:right="40"/>
        <w:spacing w:after="0" w:line="314" w:lineRule="auto"/>
        <w:rPr>
          <w:sz w:val="20"/>
          <w:szCs w:val="20"/>
          <w:color w:val="auto"/>
        </w:rPr>
      </w:pPr>
      <w:r>
        <w:rPr>
          <w:rFonts w:ascii="Arial" w:cs="Arial" w:eastAsia="Arial" w:hAnsi="Arial"/>
          <w:sz w:val="17"/>
          <w:szCs w:val="17"/>
          <w:color w:val="auto"/>
        </w:rPr>
        <w:t>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If changes in healthcare regulations or other developments in the healthcare industry, including concerns around single-use medical devices were to lead to a material reduction in medical procedures or use of medical devices, demand for our services could be adversely affected. For more information, see Risk Factor “— Severe health events or environmental events, including impacts from climate change, and natural disasters, could have material adverse effects on our business, financial condition and results of operations.”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may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139" w:lineRule="exact"/>
        <w:rPr>
          <w:sz w:val="20"/>
          <w:szCs w:val="20"/>
          <w:color w:val="auto"/>
        </w:rPr>
      </w:pPr>
    </w:p>
    <w:p>
      <w:pPr>
        <w:ind w:right="380"/>
        <w:spacing w:after="0" w:line="288" w:lineRule="auto"/>
        <w:rPr>
          <w:sz w:val="20"/>
          <w:szCs w:val="20"/>
          <w:color w:val="auto"/>
        </w:rPr>
      </w:pPr>
      <w:r>
        <w:rPr>
          <w:rFonts w:ascii="Arial" w:cs="Arial" w:eastAsia="Arial" w:hAnsi="Arial"/>
          <w:sz w:val="20"/>
          <w:szCs w:val="20"/>
          <w:b w:val="1"/>
          <w:bCs w:val="1"/>
          <w:i w:val="1"/>
          <w:iCs w:val="1"/>
          <w:color w:val="auto"/>
        </w:rPr>
        <w:t>Our business is highly competitive, and if we fail to compete successfully, our business, prospects, financial condition or results of operations may be materially adversely affected.</w:t>
      </w:r>
    </w:p>
    <w:p>
      <w:pPr>
        <w:spacing w:after="0" w:line="136"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We face competition from other providers of outsourced sterilization and lab services. In addition, some manufacturers have developed or are developing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technologies, which would not rely on the availability of Co-60. If our competitors or manufacturers significantly expand their sterilization or lab testing capacities, including as a result of these alternative technologies, this could lead to price fluctuations and competitive pricing pressure, diminish our profitability or result in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60" w:lineRule="exact"/>
        <w:rPr>
          <w:sz w:val="20"/>
          <w:szCs w:val="20"/>
          <w:color w:val="auto"/>
        </w:rPr>
      </w:pPr>
    </w:p>
    <w:p>
      <w:pPr>
        <w:ind w:right="200"/>
        <w:spacing w:after="0" w:line="341" w:lineRule="auto"/>
        <w:rPr>
          <w:sz w:val="20"/>
          <w:szCs w:val="20"/>
          <w:color w:val="auto"/>
        </w:rPr>
      </w:pPr>
      <w:r>
        <w:rPr>
          <w:rFonts w:ascii="Arial" w:cs="Arial" w:eastAsia="Arial" w:hAnsi="Arial"/>
          <w:sz w:val="18"/>
          <w:szCs w:val="18"/>
          <w:color w:val="auto"/>
        </w:rPr>
        <w:t>If Co-60 source suppliers in other countries, including China, India, Argentina or Russia, significantly increase their involvement in the global Co-60 sources market, this could have a material adverse effect over the long-term on our business,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240"/>
          </w:cols>
          <w:pgMar w:left="820" w:top="412" w:right="820" w:bottom="0" w:gutter="0" w:footer="0" w:header="0"/>
          <w:type w:val="continuous"/>
        </w:sectPr>
      </w:pPr>
    </w:p>
    <w:bookmarkStart w:id="32" w:name="page33"/>
    <w:bookmarkEnd w:id="32"/>
    <w:p>
      <w:pPr>
        <w:ind w:right="20"/>
        <w:spacing w:after="0" w:line="290" w:lineRule="auto"/>
        <w:rPr>
          <w:sz w:val="20"/>
          <w:szCs w:val="20"/>
          <w:color w:val="auto"/>
        </w:rPr>
      </w:pPr>
      <w:r>
        <w:rPr>
          <w:rFonts w:ascii="Arial" w:cs="Arial" w:eastAsia="Arial" w:hAnsi="Arial"/>
          <w:sz w:val="18"/>
          <w:szCs w:val="18"/>
          <w:color w:val="auto"/>
        </w:rPr>
        <w:t>prospects, financial condition or results of operations. Several customers of our Nordion business are themselves providers of sterilization services and therefore are competitors of our Sterigenics business. If these customers were to shift to a different supplier of Co-60 because they prefer to use a supplier not affiliated with us or for any other reason, this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39"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w:t>
      </w:r>
    </w:p>
    <w:p>
      <w:pPr>
        <w:spacing w:after="0" w:line="151" w:lineRule="exact"/>
        <w:rPr>
          <w:sz w:val="20"/>
          <w:szCs w:val="20"/>
          <w:color w:val="auto"/>
        </w:rPr>
      </w:pPr>
    </w:p>
    <w:p>
      <w:pPr>
        <w:spacing w:after="0" w:line="316" w:lineRule="auto"/>
        <w:rPr>
          <w:sz w:val="20"/>
          <w:szCs w:val="20"/>
          <w:color w:val="auto"/>
        </w:rPr>
      </w:pPr>
      <w:r>
        <w:rPr>
          <w:rFonts w:ascii="Arial" w:cs="Arial" w:eastAsia="Arial" w:hAnsi="Arial"/>
          <w:sz w:val="19"/>
          <w:szCs w:val="19"/>
          <w:b w:val="1"/>
          <w:bCs w:val="1"/>
          <w:i w:val="1"/>
          <w:iCs w:val="1"/>
          <w:color w:val="auto"/>
        </w:rPr>
        <w:t>The price of our input costs, including labor, raw materials and energy, are subject to inflation and other market risks and our ability to pass through increases in our input costs is highly dependent on market conditions.</w:t>
      </w:r>
    </w:p>
    <w:p>
      <w:pPr>
        <w:spacing w:after="0" w:line="11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Our aggregate direct input costs, including labor, raw materials and energy, represent a significant portion of our cost of revenues. We have experienced and may continue to experience, volatility and increases in the price of certain of these costs as a result of global market and supply chain disruptions, as well as the broader inflationary environment.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labor, direct materials or energy with corresponding increases in prices for our products and services, our ability to pass through increases in our input costs is highly dependent upon market conditions and we may not be able to immediately raise our prices, if at all. Most of our customer contracts for sterilization services allow us to pass through all direct material costs, but we may not be able to immediately or completely implement increases in the prices of our products and services. Specifically, there is a risk that raising prices charged to our customers could result in a loss of sales volume. Reactions or anticipated reactions by our customers and competitors to our price increases could cause us to reevaluate and possibly reverse or reduce such price increases. We also may not be able to accurately predict the volume impact of price increases, especially if our competitors are able to adjust to such input cost volatility more successfully. Material increases in the price of labor, raw materials, or energy could have a material adverse effect on our business, prospects, financial condition or results of operations, particularly if we are unable to increase the prices to our customers of our products or services to offset inflationary cost trends. Additionally, if we are unable to achieve cost savings to offset such cost increases, our profits and operating results could be adversely affected.</w:t>
      </w:r>
    </w:p>
    <w:p>
      <w:pPr>
        <w:spacing w:after="0" w:line="137" w:lineRule="exact"/>
        <w:rPr>
          <w:sz w:val="20"/>
          <w:szCs w:val="20"/>
          <w:color w:val="auto"/>
        </w:rPr>
      </w:pPr>
    </w:p>
    <w:p>
      <w:pPr>
        <w:ind w:right="80"/>
        <w:spacing w:after="0" w:line="263" w:lineRule="auto"/>
        <w:rPr>
          <w:sz w:val="20"/>
          <w:szCs w:val="20"/>
          <w:color w:val="auto"/>
        </w:rPr>
      </w:pPr>
      <w:r>
        <w:rPr>
          <w:rFonts w:ascii="Arial" w:cs="Arial" w:eastAsia="Arial" w:hAnsi="Arial"/>
          <w:sz w:val="20"/>
          <w:szCs w:val="20"/>
          <w:b w:val="1"/>
          <w:bCs w:val="1"/>
          <w:i w:val="1"/>
          <w:iCs w:val="1"/>
          <w:color w:val="auto"/>
        </w:rPr>
        <w:t>Our operations are subject to a variety of business continuity hazards and risks, including supply chain disruptions due to geopolitical uncertainty and federal government shutdowns, and our reliance on the use and sale of products and services from single locations, any of which could interrupt production or operations or otherwise adversely affect our performance, results of operations or value.</w:t>
      </w:r>
    </w:p>
    <w:p>
      <w:pPr>
        <w:spacing w:after="0" w:line="160"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Our operations and our supplier and customers’ operations are subject to business continuity hazards and risks that include explosions, fires, earthquakes, inclement weather and other natural disasters; utility, equipment or other mechanical failures; unscheduled downtime; labor difficulties; disruption of communications; security breaches or other workplace violence events; changes in regulations, including sanctions, export and import controls and other trade restrictions; changes in the use of government-owned reactors, such as repurposing nuclear facilities; other governmental action; federal government shutdowns; and pandemics or other public health crises.</w:t>
      </w:r>
    </w:p>
    <w:p>
      <w:pPr>
        <w:spacing w:after="0" w:line="149"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to which we are subject regarding the manufacture of our products and provision of services and the complexities involved with processing Co-60 may prevent or delay us from establishing additional or replacement sources for our production facilities. Any event, including those listed above, that results in a prolonged business disruption or shutdown to one or more of our facilities, or the facilities of a supplier or customer,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240"/>
          </w:cols>
          <w:pgMar w:left="820" w:top="412" w:right="820" w:bottom="0" w:gutter="0" w:footer="0" w:header="0"/>
          <w:type w:val="continuous"/>
        </w:sectPr>
      </w:pPr>
    </w:p>
    <w:bookmarkStart w:id="33" w:name="page34"/>
    <w:bookmarkEnd w:id="33"/>
    <w:p>
      <w:pPr>
        <w:ind w:right="20"/>
        <w:spacing w:after="0" w:line="268" w:lineRule="auto"/>
        <w:rPr>
          <w:sz w:val="20"/>
          <w:szCs w:val="20"/>
          <w:color w:val="auto"/>
        </w:rPr>
      </w:pPr>
      <w:r>
        <w:rPr>
          <w:rFonts w:ascii="Arial" w:cs="Arial" w:eastAsia="Arial" w:hAnsi="Arial"/>
          <w:sz w:val="19"/>
          <w:szCs w:val="19"/>
          <w:color w:val="auto"/>
        </w:rPr>
        <w:t>Supply chain disruptions related to geopolitical uncertainty and conflicts, federal government shutdowns, severe health events or a natural disaster, may impair or delay our ability to obtain sufficient quantities of certain materials through our ordinary supply channels and cause us to incur higher costs by procuring raw materials from other sources in order to compensate for such delays or lack of availability. For example, the prolonged U.S. federal government shutdown that ended in November 2025 had supply chain disruptions resulting from worker shortages and delays in transportation services. Supply chain disruptions such as these may impair or delay our customers’ ability to provide us work or products for processing or affect the availability, quality and pricing of materials used in the operation of our business or our customers’ businesses. If we are not able to successfully mitigate such supply chain related risks, we could experience disruptions in production or increased costs, which may result in decrease in our gross margin or reduced sales, and have a material adverse effect on our business, results of operations and financial condition.</w:t>
      </w:r>
    </w:p>
    <w:p>
      <w:pPr>
        <w:spacing w:after="0" w:line="160"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Governmental action may disrupt the operations of our facilities that process potentially hazardous materials. For example, in June 2021, in a lawsuit related to Sterigenics’ facility in Santa Teresa, New Mexico, the court granted a motion by New Mexico’s Attorney General for a preliminary injunction prohibiting Sterigenics from allowing any uncontrolled emission or release of EO from that facility. In December 2021, the court further established protocols to monitor Sterigenics’ compliance with the preliminary injunction. Although operations at the Santa Teresa facility comply with these orders, operations at the facility may be negatively impacted if Sterigenics is unable to continue to comply. Similar actions in the future by local, state or federal officials might disrupt or shut down operations or otherwise adversely impact the production or profitability of our facilities or operations as a whole.</w:t>
      </w:r>
    </w:p>
    <w:p>
      <w:pPr>
        <w:spacing w:after="0" w:line="16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obtain Co-60 from a limited number of suppliers. If any of the facilities or reactors from which we obtain Co-60 were to be seriously damaged or have their production materially decrease due to a natural disaster or other adverse occurrence, or if we become unable to transact with one of our suppliers of Co-60 due to expanded sanctions, our access to Co-60 would be materially affected and we may be unable to meet all the needs of our customers. See related Risk Factor “—We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and sanctions against Russia by the United States, Canada, the United Kingdom and/or the European Union, or sanctions by Russia against those countries, may have a material adverse effect on our operating results.”</w:t>
      </w:r>
    </w:p>
    <w:p>
      <w:pPr>
        <w:spacing w:after="0" w:line="140" w:lineRule="exact"/>
        <w:rPr>
          <w:sz w:val="20"/>
          <w:szCs w:val="20"/>
          <w:color w:val="auto"/>
        </w:rPr>
      </w:pPr>
    </w:p>
    <w:p>
      <w:pPr>
        <w:ind w:right="80"/>
        <w:spacing w:after="0" w:line="309" w:lineRule="auto"/>
        <w:rPr>
          <w:sz w:val="20"/>
          <w:szCs w:val="20"/>
          <w:color w:val="auto"/>
        </w:rPr>
      </w:pPr>
      <w:r>
        <w:rPr>
          <w:rFonts w:ascii="Arial" w:cs="Arial" w:eastAsia="Arial" w:hAnsi="Arial"/>
          <w:sz w:val="18"/>
          <w:szCs w:val="18"/>
          <w:color w:val="auto"/>
        </w:rPr>
        <w:t>While we maintain insurance policies covering, among other things, physical damage, premises liability,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adversely affected by global and regional economic and political instability.</w:t>
      </w:r>
    </w:p>
    <w:p>
      <w:pPr>
        <w:spacing w:after="0" w:line="218"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We may be adversely affected by global and regional economic and political conditions. For example, the uncertainty or deterioration of the global economic and political environment could adversely affect us. Russia’s invasion of Ukraine has significantly elevated global geopolitical tensions and continues to cause instability and volatility in global markets. The United States, Canada, the United Kingdom and the European Union have implemented broad sanctions targeting Russia, which have the potential to disrupt our supply of Co-60 from Russia. Geopolitical conflicts have caused and, in the future, may cause instability and volatility in global markets and adversely impact global supply chains, including potentially disrupting shipping channels. In addition, the United States recently has imposed significant duties and tariffs and implemented other restrictions on trade with many countries, including Canada, Mexico, China, and various other countries in Europe, Latin America and Asia, which have disrupted and increased the cost of trade between the United States and other countries. In response, many countries have implemented or increased tariffs on imports into their countries. Such tariffs and trade restrictions may negatively impact the cost or availability of our supplies, the cost or availability of the supplies we provide to our customers, or our customers’ businesses in ways that impact us adversely.</w:t>
      </w:r>
    </w:p>
    <w:p>
      <w:pPr>
        <w:spacing w:after="0" w:line="163"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Any such disruptions could have a material adverse effect on our business, prospects, financial condition or results of operations. See related Risk Factors “—We depend on a limited number of counterparties to provide the materials and resources we need to operate our business. Any disruption in the availability of, or increases in the price of, EO, Co-60 or our other direct materials, services and supplies, including as a result of current geopolitical instability against Russia by the United States, Canada, the United Kingdom, and/or the European Union, or sanctions by Russia against those countries, may have a material adverse effect on our operating results.” and “—We conduct sales and distribution operations on a worldwide basis and are subject to a variety of risks associated with doing business outside the United States.”</w:t>
      </w:r>
    </w:p>
    <w:p>
      <w:pPr>
        <w:spacing w:after="0" w:line="141" w:lineRule="exact"/>
        <w:rPr>
          <w:sz w:val="20"/>
          <w:szCs w:val="20"/>
          <w:color w:val="auto"/>
        </w:rPr>
      </w:pPr>
    </w:p>
    <w:p>
      <w:pPr>
        <w:ind w:right="260"/>
        <w:spacing w:after="0" w:line="309" w:lineRule="auto"/>
        <w:rPr>
          <w:sz w:val="20"/>
          <w:szCs w:val="20"/>
          <w:color w:val="auto"/>
        </w:rPr>
      </w:pPr>
      <w:r>
        <w:rPr>
          <w:rFonts w:ascii="Arial" w:cs="Arial" w:eastAsia="Arial" w:hAnsi="Arial"/>
          <w:sz w:val="18"/>
          <w:szCs w:val="18"/>
          <w:color w:val="auto"/>
        </w:rPr>
        <w:t>The potential worsening of macro-economic conditions, including changes in tariff and trade policies, slower growth or recessionary conditions, the inflationary environment, tighter credit, high interest rates and currency fluctuations, may cause customers to modify, delay or cancel plans to purchase our products and services and suppliers may significantly and rapidly</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240"/>
          </w:cols>
          <w:pgMar w:left="820" w:top="412" w:right="820" w:bottom="0" w:gutter="0" w:footer="0" w:header="0"/>
          <w:type w:val="continuous"/>
        </w:sectPr>
      </w:pPr>
    </w:p>
    <w:bookmarkStart w:id="34" w:name="page35"/>
    <w:bookmarkEnd w:id="34"/>
    <w:p>
      <w:pPr>
        <w:ind w:right="100"/>
        <w:spacing w:after="0" w:line="257" w:lineRule="auto"/>
        <w:rPr>
          <w:sz w:val="20"/>
          <w:szCs w:val="20"/>
          <w:color w:val="auto"/>
        </w:rPr>
      </w:pPr>
      <w:r>
        <w:rPr>
          <w:rFonts w:ascii="Arial" w:cs="Arial" w:eastAsia="Arial" w:hAnsi="Arial"/>
          <w:sz w:val="20"/>
          <w:szCs w:val="20"/>
          <w:color w:val="auto"/>
        </w:rPr>
        <w:t>increase their prices or reduce their output because of cash flow problems. Any inability of current or potential customers to purchase or pay for our products because of such declining economic conditions or changes in spending patterns at medical device, pharmaceutical and biotechnology companies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154" w:lineRule="exact"/>
        <w:rPr>
          <w:sz w:val="20"/>
          <w:szCs w:val="20"/>
          <w:color w:val="auto"/>
        </w:rPr>
      </w:pPr>
    </w:p>
    <w:p>
      <w:pPr>
        <w:ind w:right="200"/>
        <w:spacing w:after="0" w:line="269" w:lineRule="auto"/>
        <w:rPr>
          <w:sz w:val="20"/>
          <w:szCs w:val="20"/>
          <w:color w:val="auto"/>
        </w:rPr>
      </w:pPr>
      <w:r>
        <w:rPr>
          <w:rFonts w:ascii="Arial" w:cs="Arial" w:eastAsia="Arial" w:hAnsi="Arial"/>
          <w:sz w:val="20"/>
          <w:szCs w:val="20"/>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155"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Our growth strategy depends on expanding capacity in Europe, the Americas and Asia, which includes building new facilities and maintaining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and equipment would adversely affect ongoing development, construction and continuing operation of our facilities. Additionally, even when we maintain the necessary licenses and equipment and comply with applicable regulations, we still may be unable to maintain or expand our operations at existing facilities, or otherwise execute on our growth strategy, because of negative publicity or community resistance. Suspensions and closures of our facilities have impacted and may continue to impact our results of operations, and the effects could be material. New facilities may not meet our return expectations due to schedule delays, diversion of management’s attention,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135" w:lineRule="exact"/>
        <w:rPr>
          <w:sz w:val="20"/>
          <w:szCs w:val="20"/>
          <w:color w:val="auto"/>
        </w:rPr>
      </w:pPr>
    </w:p>
    <w:p>
      <w:pPr>
        <w:ind w:right="140"/>
        <w:spacing w:after="0" w:line="347" w:lineRule="auto"/>
        <w:rPr>
          <w:sz w:val="20"/>
          <w:szCs w:val="20"/>
          <w:color w:val="auto"/>
        </w:rPr>
      </w:pPr>
      <w:r>
        <w:rPr>
          <w:rFonts w:ascii="Arial" w:cs="Arial" w:eastAsia="Arial" w:hAnsi="Arial"/>
          <w:sz w:val="18"/>
          <w:szCs w:val="18"/>
          <w:b w:val="1"/>
          <w:bCs w:val="1"/>
          <w:i w:val="1"/>
          <w:iCs w:val="1"/>
          <w:color w:val="auto"/>
        </w:rPr>
        <w:t>We depend upon our ability to attract and retain highly skilled employees. If we fail to attract and retain the talent required for our business, our operations could be adversely affected and our business could be materially harmed.</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We depend to a significant degree on our ability to hire and retain highly qualified personnel with expertise in our industries. The market for qualified employees in the industries in which we operate is competitive and our ability to operate, compete and grow our business depends on our ability to hire and retain qualified personnel in all areas of our organization. If our recruiting efforts are less successful, or if we cannot retain our key personnel, performance of our operations may suffer and we may be delayed or prevented from achieving our business objectives. If we are unable to attract and retain highly skilled employees, our inability to do so could have a material adverse effect on our business, prospects, financial condition or results of operations.</w:t>
      </w:r>
    </w:p>
    <w:p>
      <w:pPr>
        <w:spacing w:after="0" w:line="131" w:lineRule="exact"/>
        <w:rPr>
          <w:sz w:val="20"/>
          <w:szCs w:val="20"/>
          <w:color w:val="auto"/>
        </w:rPr>
      </w:pPr>
    </w:p>
    <w:p>
      <w:pPr>
        <w:ind w:right="540"/>
        <w:spacing w:after="0" w:line="288" w:lineRule="auto"/>
        <w:rPr>
          <w:sz w:val="20"/>
          <w:szCs w:val="20"/>
          <w:color w:val="auto"/>
        </w:rPr>
      </w:pPr>
      <w:r>
        <w:rPr>
          <w:rFonts w:ascii="Arial" w:cs="Arial" w:eastAsia="Arial" w:hAnsi="Arial"/>
          <w:sz w:val="20"/>
          <w:szCs w:val="20"/>
          <w:b w:val="1"/>
          <w:bCs w:val="1"/>
          <w:i w:val="1"/>
          <w:iCs w:val="1"/>
          <w:color w:val="auto"/>
        </w:rPr>
        <w:t>We occupy many of our facilities under long-term leases, and we may be unable to renew our leases at the end of their terms.</w:t>
      </w:r>
    </w:p>
    <w:p>
      <w:pPr>
        <w:spacing w:after="0" w:line="13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Many of our facilities are located on leased premises. These leases vary in duration, with expiration dates ranging from the near term through 2046, most with options to renew for specified periods of time. At the end of the lease term and any renewal period for a facility, we may be unable to renew the lease without substantial additional cost, if at all.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Even briefly closing a facility to relocate would reduce the sales that the facility would have contributed to our revenues and could negatively impact our customer relations. Any such relocation or closure could have a material adverse effect on our business, prospects, financial condition or results of operations.</w:t>
      </w:r>
    </w:p>
    <w:p>
      <w:pPr>
        <w:spacing w:after="0" w:line="132"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b w:val="1"/>
          <w:bCs w:val="1"/>
          <w:i w:val="1"/>
          <w:iCs w:val="1"/>
          <w:color w:val="auto"/>
        </w:rPr>
        <w:t>We conduct sales and distribution operations on a worldwide basis and are subject to a variety of risks associated with doing business outside the United States.</w:t>
      </w:r>
    </w:p>
    <w:p>
      <w:pPr>
        <w:spacing w:after="0" w:line="136" w:lineRule="exact"/>
        <w:rPr>
          <w:sz w:val="20"/>
          <w:szCs w:val="20"/>
          <w:color w:val="auto"/>
        </w:rPr>
      </w:pPr>
    </w:p>
    <w:p>
      <w:pPr>
        <w:ind w:right="360"/>
        <w:spacing w:after="0" w:line="261" w:lineRule="auto"/>
        <w:rPr>
          <w:sz w:val="20"/>
          <w:szCs w:val="20"/>
          <w:color w:val="auto"/>
        </w:rPr>
      </w:pPr>
      <w:r>
        <w:rPr>
          <w:rFonts w:ascii="Arial" w:cs="Arial" w:eastAsia="Arial" w:hAnsi="Arial"/>
          <w:sz w:val="20"/>
          <w:szCs w:val="20"/>
          <w:color w:val="auto"/>
        </w:rPr>
        <w:t>We maintain significant international operations, including operations in China, Brazil, Canada, Mexico, Costa Rica, the European Union and other countries in Europe and Asia. As a result, we are subject to a number of risks and complications associated with international sales, services and other operations, as well as risks associated with U.S. foreign policy. These include:</w:t>
      </w:r>
    </w:p>
    <w:p>
      <w:pPr>
        <w:spacing w:after="0" w:line="80" w:lineRule="exact"/>
        <w:rPr>
          <w:sz w:val="20"/>
          <w:szCs w:val="20"/>
          <w:color w:val="auto"/>
        </w:rPr>
      </w:pPr>
    </w:p>
    <w:p>
      <w:pPr>
        <w:ind w:left="720" w:right="100" w:hanging="370"/>
        <w:spacing w:after="0" w:line="29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or increases in duties and tariffs on foreign imports into the United States, particularly from Canada, China and Mexico, by the United States, as well as duties and tariffs and any retaliatory measures imposed by Canada or other countries, as well as other new restrictions on international trade, and the Company’s ability or inability to pass through such price increases to customers or manage any such other restrictions;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240"/>
          </w:cols>
          <w:pgMar w:left="820" w:top="412" w:right="820" w:bottom="0" w:gutter="0" w:footer="0" w:header="0"/>
          <w:type w:val="continuous"/>
        </w:sectPr>
      </w:pPr>
    </w:p>
    <w:bookmarkStart w:id="35" w:name="page36"/>
    <w:bookmarkEnd w:id="35"/>
    <w:p>
      <w:pPr>
        <w:ind w:left="720" w:right="40" w:hanging="370"/>
        <w:spacing w:after="0" w:line="261"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difficulties associated with compliance with numerous, potentially conflicting and frequently complex and changing laws in multiple jurisdictions relating to changes to international trade agreements and treaties, environmental matters, intellectual property, privacy and data protection, corrupt practices, embargoes, trade sanctions, competition, employment and licensing, among other things;</w:t>
      </w:r>
    </w:p>
    <w:p>
      <w:pPr>
        <w:spacing w:after="0" w:line="79" w:lineRule="exact"/>
        <w:rPr>
          <w:rFonts w:ascii="Arial" w:cs="Arial" w:eastAsia="Arial" w:hAnsi="Arial"/>
          <w:sz w:val="20"/>
          <w:szCs w:val="20"/>
          <w:color w:val="auto"/>
        </w:rPr>
      </w:pPr>
    </w:p>
    <w:p>
      <w:pPr>
        <w:ind w:left="720" w:right="40" w:hanging="370"/>
        <w:spacing w:after="0" w:line="283"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general economic, social and political conditions in countries where we operate, including international and U.S. trade and sanctions policies and currency exchange rate fluctuations;</w:t>
      </w:r>
    </w:p>
    <w:p>
      <w:pPr>
        <w:spacing w:after="0" w:line="57" w:lineRule="exact"/>
        <w:rPr>
          <w:rFonts w:ascii="Arial" w:cs="Arial" w:eastAsia="Arial" w:hAnsi="Arial"/>
          <w:sz w:val="20"/>
          <w:szCs w:val="20"/>
          <w:color w:val="auto"/>
        </w:rPr>
      </w:pPr>
    </w:p>
    <w:p>
      <w:pPr>
        <w:ind w:left="720" w:hanging="37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tax and other laws that restrict our ability to use tax credits, offset gains or repatriate funds;</w:t>
      </w:r>
    </w:p>
    <w:p>
      <w:pPr>
        <w:spacing w:after="0" w:line="130" w:lineRule="exact"/>
        <w:rPr>
          <w:rFonts w:ascii="Arial" w:cs="Arial" w:eastAsia="Arial" w:hAnsi="Arial"/>
          <w:sz w:val="20"/>
          <w:szCs w:val="20"/>
          <w:color w:val="auto"/>
        </w:rPr>
      </w:pPr>
    </w:p>
    <w:p>
      <w:pPr>
        <w:ind w:left="720" w:right="600" w:hanging="370"/>
        <w:spacing w:after="0" w:line="283"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currency restrictions, transfer pricing regulations and adverse tax consequences, which may affect our ability to transfer capital and profits;</w:t>
      </w:r>
    </w:p>
    <w:p>
      <w:pPr>
        <w:spacing w:after="0" w:line="57" w:lineRule="exact"/>
        <w:rPr>
          <w:rFonts w:ascii="Arial" w:cs="Arial" w:eastAsia="Arial" w:hAnsi="Arial"/>
          <w:sz w:val="20"/>
          <w:szCs w:val="20"/>
          <w:color w:val="auto"/>
        </w:rPr>
      </w:pPr>
    </w:p>
    <w:p>
      <w:pPr>
        <w:ind w:left="720" w:hanging="37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inflation, deflation and stagflation in any country in which we have an operating facility; and</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foreign customers with longer payment cycles than customers in the United States.</w:t>
      </w:r>
    </w:p>
    <w:p>
      <w:pPr>
        <w:spacing w:after="0" w:line="21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We operate in a number of countries whose governments and companies do not always share the depth or breadth of the commitment to anti-corruption and ethical behavior that is required by U.S. laws, our Global Code of Conduct and other corporate policies. Based on the nature of our products, our business activities involve interaction with government agencies, public officials and state-owned enterprises. We are subject to the risk that we, our U.S. employees, our employees located in other jurisdictions, or third parties we engage to do work on our behalf may take actions determined to be in violation of anti-corruption laws in the United States or the jurisdictions in which we conduct business. The U.S. Foreign Corrupt Practices Act (the “FCPA”) and the Canadian Corruption of Foreign Public Officials Act (the “CFPOA”) prohibit corruptly providing anything of value to foreign officials (including employees of state-owned enterprises) for the purposes of obtaining or retaining business or securing any improper business advantage. The provisions of the U.K. Bribery Act of 2010 (the “Bribery Act”) extend beyond bribery of foreign public officials and are more onerous than the FCPA in a number of other respects. Any violation of the FCPA, the CFPOA,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Violations of anti-corruption laws or our related internal policies could also substantially harm our reputation and operations. Further, detecting, investigating and resolving actual or alleged violations is expensive and can consume significant time and attention of our senior management.</w:t>
      </w:r>
    </w:p>
    <w:p>
      <w:pPr>
        <w:spacing w:after="0" w:line="149"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Compliance with multiple, and potentially conflicting, international laws and regulations, including anti-corruption laws and exchange controls, at times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70" w:lineRule="exact"/>
        <w:rPr>
          <w:sz w:val="20"/>
          <w:szCs w:val="20"/>
          <w:color w:val="auto"/>
        </w:rPr>
      </w:pPr>
    </w:p>
    <w:p>
      <w:pPr>
        <w:ind w:right="60" w:firstLine="5"/>
        <w:spacing w:after="0" w:line="271" w:lineRule="auto"/>
        <w:rPr>
          <w:sz w:val="20"/>
          <w:szCs w:val="20"/>
          <w:color w:val="auto"/>
        </w:rPr>
      </w:pPr>
      <w:r>
        <w:rPr>
          <w:rFonts w:ascii="Arial" w:cs="Arial" w:eastAsia="Arial" w:hAnsi="Arial"/>
          <w:sz w:val="19"/>
          <w:szCs w:val="19"/>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145" w:lineRule="exact"/>
        <w:rPr>
          <w:sz w:val="20"/>
          <w:szCs w:val="20"/>
          <w:color w:val="auto"/>
        </w:rPr>
      </w:pPr>
    </w:p>
    <w:p>
      <w:pPr>
        <w:ind w:right="480"/>
        <w:spacing w:after="0" w:line="288" w:lineRule="auto"/>
        <w:rPr>
          <w:sz w:val="20"/>
          <w:szCs w:val="20"/>
          <w:color w:val="auto"/>
        </w:rPr>
      </w:pPr>
      <w:r>
        <w:rPr>
          <w:rFonts w:ascii="Arial" w:cs="Arial" w:eastAsia="Arial" w:hAnsi="Arial"/>
          <w:sz w:val="20"/>
          <w:szCs w:val="20"/>
          <w:b w:val="1"/>
          <w:bCs w:val="1"/>
          <w:i w:val="1"/>
          <w:iCs w:val="1"/>
          <w:color w:val="auto"/>
        </w:rPr>
        <w:t>We are subject to significant regulatory oversight of our import and export operations due to the nature of some of our product offerings.</w:t>
      </w:r>
    </w:p>
    <w:p>
      <w:pPr>
        <w:spacing w:after="0" w:line="13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products and materials needed to make our products are subject to U.S. and Canadian laws and regulations that may limit, restrict or require a license to import or export (or re-export from other countries). We are also subject to the export and import laws of other foreign jurisdictions in which we operate, into which we sell our products and from which we source our materials, including Co-60. In addition, if we introduce new products or would like to participate in new capital investment projects, we may need to obtain licenses or approvals from the United States, Canada and other governments to ship products to or share technology or intellectual property with third parties located in foreign countries. Because of increasing security controls and regulations regarding the shipment of materials including Co-60, we are likely to encounter additional regulations affecting the transportation, storage, sale and import/export of radioactive materials. Further, any delay or inability to obtain</w:t>
      </w:r>
    </w:p>
    <w:p>
      <w:pPr>
        <w:sectPr>
          <w:pgSz w:w="11880" w:h="15480" w:orient="portrait"/>
          <w:cols w:equalWidth="0" w:num="1">
            <w:col w:w="10220"/>
          </w:cols>
          <w:pgMar w:left="820" w:top="412" w:right="84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220"/>
          </w:cols>
          <w:pgMar w:left="820" w:top="412" w:right="840" w:bottom="0" w:gutter="0" w:footer="0" w:header="0"/>
          <w:type w:val="continuous"/>
        </w:sectPr>
      </w:pPr>
    </w:p>
    <w:bookmarkStart w:id="36" w:name="page37"/>
    <w:bookmarkEnd w:id="36"/>
    <w:p>
      <w:pPr>
        <w:ind w:right="200"/>
        <w:spacing w:after="0" w:line="283" w:lineRule="auto"/>
        <w:rPr>
          <w:sz w:val="20"/>
          <w:szCs w:val="20"/>
          <w:color w:val="auto"/>
        </w:rPr>
      </w:pPr>
      <w:r>
        <w:rPr>
          <w:rFonts w:ascii="Arial" w:cs="Arial" w:eastAsia="Arial" w:hAnsi="Arial"/>
          <w:sz w:val="20"/>
          <w:szCs w:val="20"/>
          <w:color w:val="auto"/>
        </w:rPr>
        <w:t>these permits and licenses could delay or prevent us from fulfilling our obligations to our customers or suppliers, which could harm our business, financial condition or results of operations.</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Additionally, the U.S. Department of the Treasury’s Office of Foreign Assets Control and other relevant agencies of the U.S. government administer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complex laws and regulations, which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157" w:lineRule="exact"/>
        <w:rPr>
          <w:sz w:val="20"/>
          <w:szCs w:val="20"/>
          <w:color w:val="auto"/>
        </w:rPr>
      </w:pPr>
    </w:p>
    <w:p>
      <w:pPr>
        <w:ind w:right="400"/>
        <w:spacing w:after="0" w:line="316" w:lineRule="auto"/>
        <w:rPr>
          <w:sz w:val="20"/>
          <w:szCs w:val="20"/>
          <w:color w:val="auto"/>
        </w:rPr>
      </w:pPr>
      <w:r>
        <w:rPr>
          <w:rFonts w:ascii="Arial" w:cs="Arial" w:eastAsia="Arial" w:hAnsi="Arial"/>
          <w:sz w:val="19"/>
          <w:szCs w:val="19"/>
          <w:b w:val="1"/>
          <w:bCs w:val="1"/>
          <w:i w:val="1"/>
          <w:iCs w:val="1"/>
          <w:color w:val="auto"/>
        </w:rPr>
        <w:t>Severe health events or environmental events, including impacts from climate change, and natural disasters, could have material adverse effects on our business, financial condition and results of operations.</w:t>
      </w:r>
    </w:p>
    <w:p>
      <w:pPr>
        <w:spacing w:after="0" w:line="113" w:lineRule="exact"/>
        <w:rPr>
          <w:sz w:val="20"/>
          <w:szCs w:val="20"/>
          <w:color w:val="auto"/>
        </w:rPr>
      </w:pPr>
    </w:p>
    <w:p>
      <w:pPr>
        <w:jc w:val="both"/>
        <w:ind w:right="120"/>
        <w:spacing w:after="0" w:line="266" w:lineRule="auto"/>
        <w:rPr>
          <w:sz w:val="20"/>
          <w:szCs w:val="20"/>
          <w:color w:val="auto"/>
        </w:rPr>
      </w:pPr>
      <w:r>
        <w:rPr>
          <w:rFonts w:ascii="Arial" w:cs="Arial" w:eastAsia="Arial" w:hAnsi="Arial"/>
          <w:sz w:val="20"/>
          <w:szCs w:val="20"/>
          <w:color w:val="auto"/>
        </w:rPr>
        <w:t>The COVID-19 pandemic affected our business operations, including secondary effects such as increased raw material prices, labor shortages, and supply chain disruptions. If similarly severe global health crises occur in the future, the impact and effects on our business, operations and results of operations could also be material.</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Extreme environmental events, including impacts from climate change, could adversely affect our operating results and financial condition. We have operations located in regions that have been, and may in the future be, exposed to extreme weather events and other natural disasters, including California, Florida, and Texas. A catastrophic earthquake, fire, flood, tsunami or other weather event, widespread power loss or telecommunications failure, war or other significant event could adversely affect our operations, particularly if such event were to destroy or disrupt any of our facilities. Any significant impact on our ability to conduct normal operations at our facilities could cause significant capacity constraints and, as a result, have a material adverse effect on our business, results of operations and financial condition.</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Any severe health or environmental event including as described above may also affect our suppliers or customers, and could disrupt our access to raw materials and customer product processing and exacerbate supply-chain related risks. See related Risk Factor “—Our operations are subject to a variety of business continuity hazards and risks, including supply chain disruptions due to geopolitical uncertainty and federal government shutdowns, and our reliance on the use and sale of products and services from single locations, any of which could interrupt production or operations or otherwise adversely affect our performance, results of operations or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subject to system interruptions, cybersecurity incidents and unauthorized data disclosures.</w:t>
      </w:r>
    </w:p>
    <w:p>
      <w:pPr>
        <w:spacing w:after="0" w:line="281"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Like other companies, we increasingly rely on IT systems and networks and related services to conduct business, some of which are managed, hosted and/or provided by our third-party business partners. Our IT systems and infrastructure, and those of our third-party business partners, are potentially vulnerable to breakdowns or other interruptions by fire, power loss, system malfunctions and other events. Our IT systems and infrastructure are also subject to cybersecurity threats. Cybersecurity incidents and similar attacks vary in their form and can include the deployment of harmful malware, viruses, or ransomware, denial-of-service attacks, and other attacks, which may affect business continuity and threaten the availability, confidentiality and integrity of our systems and information. Cybersecurity incidents can also include employee or personnel failures, fraud, phishing or other social engineering attempts or other methods to cause confidential information, payments, account access or access credentials, or other data to be transmitted to an unintended recipient. In addition, the rapid evolution and increased adoption of AI technologies may increase our cybersecurity risks and the cybersecurity risks of our third-party business partners. Like other companies with international operations, we have been subjected to targeted and non-targeted attacks and other cybersecurity incidents and continue to face numerous cybersecurity threats on a regular basis, including regular attempts to penetrate our IT infrastructure and breaches of our security systems by our employees, both accidental and intentional. Our suppliers, contractors, service providers, and other third parties with whom we do business also experience cybersecurity threats and attacks that are similar in frequency and sophistication. Cybersecurity threat actors also may attempt to exploit vulnerabilities in software that is commonly used by companies in cloud-based services and bundled software. Our suppliers, contractors, service providers, and other third-party business partners also experience cybersecurity threats and cybersecurity incidents that are similar in frequency and sophistication. In many cases, the Company relies on controls put in place by our suppliers, contractors, service providers and other third-party business partners to defend against and otherwise respond to cybersecurity threats and cybersecurity incidents, which may prove insufficient.</w:t>
      </w:r>
    </w:p>
    <w:p>
      <w:pPr>
        <w:spacing w:after="0" w:line="153" w:lineRule="exact"/>
        <w:rPr>
          <w:sz w:val="20"/>
          <w:szCs w:val="20"/>
          <w:color w:val="auto"/>
        </w:rPr>
      </w:pPr>
    </w:p>
    <w:p>
      <w:pPr>
        <w:ind w:right="140"/>
        <w:spacing w:after="0" w:line="341" w:lineRule="auto"/>
        <w:rPr>
          <w:sz w:val="20"/>
          <w:szCs w:val="20"/>
          <w:color w:val="auto"/>
        </w:rPr>
      </w:pPr>
      <w:r>
        <w:rPr>
          <w:rFonts w:ascii="Arial" w:cs="Arial" w:eastAsia="Arial" w:hAnsi="Arial"/>
          <w:sz w:val="18"/>
          <w:szCs w:val="18"/>
          <w:color w:val="auto"/>
        </w:rPr>
        <w:t>Despite the Company’s security measures, cybersecurity threats, cybersecurity incidents, outages, malfunctions, or disruptions involving our systems or those of our third party business partners, or any failure by us or our third-party business partners to</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240"/>
          </w:cols>
          <w:pgMar w:left="820" w:top="412" w:right="820" w:bottom="0" w:gutter="0" w:footer="0" w:header="0"/>
          <w:type w:val="continuous"/>
        </w:sectPr>
      </w:pPr>
    </w:p>
    <w:bookmarkStart w:id="37" w:name="page38"/>
    <w:bookmarkEnd w:id="37"/>
    <w:p>
      <w:pPr>
        <w:spacing w:after="0" w:line="281" w:lineRule="auto"/>
        <w:rPr>
          <w:sz w:val="20"/>
          <w:szCs w:val="20"/>
          <w:color w:val="auto"/>
        </w:rPr>
      </w:pPr>
      <w:r>
        <w:rPr>
          <w:rFonts w:ascii="Arial" w:cs="Arial" w:eastAsia="Arial" w:hAnsi="Arial"/>
          <w:sz w:val="18"/>
          <w:szCs w:val="18"/>
          <w:color w:val="auto"/>
        </w:rPr>
        <w:t>effectively address, enforce or maintain our information systems may adversely affect our business strategy, results of operations or financial condition, including the release of sensitive data to unauthorized persons or to the public or the alteration or corruption of data or systems. We could also experience a business interruption, information theft or reputational damage from industrial espionage attacks, ransomware, other malware or other cybersecurity incidents or data breaches, which may compromise our, or our third-party business partners’, system infrastructure or lead to outages, data loss (whether temporary or permanent), data breaches, either internally or at our third-party providers or other business partners. Such cybersecurity incidents could compromise our trade secrets or other confidential information and result in such information being disclosed to third parties and becoming less valuable. Breaches in security, system interruptions, unauthorized disclosures of data and other cybersecurity incidents, whether perceived or actual, could adversely affect our businesses, assets, revenues, brands and reputation and result in sanctions or fines, litigation, including individual claims or consumer class actions, commercial litigation, regulatory proceedings and administrative, civil or criminal investigations, increased insurance premiums, remediation efforts, indemnification expenditures, lost revenues, payment of ransom and other potential liabilities. As detailed in Item 1C, “Cybersecurity,” we have taken steps to protect the security and integrity of the information we collect and have policies and procedures in place dealing with data privacy and security and have yet to experience any material cybersecurity incidents that have caused us to incur any material expenses or materially affected our business strategy, results of operations or financial conditions. But there can be no assurance that our efforts will prevent material breakdowns, system failures, breaches in our systems or other cybersecurity incidents or otherwise be fully effective. Any such breakdown, breach or cybersecurity incident could adversely affect our business, prospects, financial condition or results of operations, and our cyber insurance may not cover such risks or may be insufficient to compensate us for losses that may occur.</w:t>
      </w:r>
    </w:p>
    <w:p>
      <w:pPr>
        <w:spacing w:after="0" w:line="147" w:lineRule="exact"/>
        <w:rPr>
          <w:sz w:val="20"/>
          <w:szCs w:val="20"/>
          <w:color w:val="auto"/>
        </w:rPr>
      </w:pPr>
    </w:p>
    <w:p>
      <w:pPr>
        <w:ind w:right="980"/>
        <w:spacing w:after="0" w:line="288" w:lineRule="auto"/>
        <w:rPr>
          <w:sz w:val="20"/>
          <w:szCs w:val="20"/>
          <w:color w:val="auto"/>
        </w:rPr>
      </w:pPr>
      <w:r>
        <w:rPr>
          <w:rFonts w:ascii="Arial" w:cs="Arial" w:eastAsia="Arial" w:hAnsi="Arial"/>
          <w:sz w:val="20"/>
          <w:szCs w:val="20"/>
          <w:b w:val="1"/>
          <w:bCs w:val="1"/>
          <w:i w:val="1"/>
          <w:iCs w:val="1"/>
          <w:color w:val="auto"/>
        </w:rPr>
        <w:t>We may be incorporating AI technologies into our products, services and processes, which may present business, compliance and reputational risks.</w:t>
      </w:r>
    </w:p>
    <w:p>
      <w:pPr>
        <w:spacing w:after="0" w:line="136"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The introduction of AI and machine-learning technologies, into internal processes, third-party services and/or new and existing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In addition, our personnel could, unbeknownst to us, improperly utilize AI and machine learning-technology while carrying out their responsibilities. The use of AI in third-party services and the development of our products and services could also cause loss of intellectual property, as well as subject us to risks related to intellectual property infringement or misappropriation, data privacy and cybersecurity. The use of AI can lead to unintended consequences, including generating content that appears correct but is factually inaccurate, misleading or otherwise flawed, or that results in unintended biases and discriminatory outcomes, which could harm our reputation and business and expose us to risks related to inaccuracies or errors in the output of such technologies. The Company has established a cross-functional AI committee intended to support the identification and mitigation of risks associated with incorporating AI technologies into our processes.</w:t>
      </w:r>
    </w:p>
    <w:p>
      <w:pPr>
        <w:spacing w:after="0" w:line="155" w:lineRule="exact"/>
        <w:rPr>
          <w:sz w:val="20"/>
          <w:szCs w:val="20"/>
          <w:color w:val="auto"/>
        </w:rPr>
      </w:pPr>
    </w:p>
    <w:p>
      <w:pPr>
        <w:ind w:right="60"/>
        <w:spacing w:after="0" w:line="269" w:lineRule="auto"/>
        <w:rPr>
          <w:sz w:val="20"/>
          <w:szCs w:val="20"/>
          <w:color w:val="auto"/>
        </w:rPr>
      </w:pPr>
      <w:r>
        <w:rPr>
          <w:rFonts w:ascii="Arial" w:cs="Arial" w:eastAsia="Arial" w:hAnsi="Arial"/>
          <w:sz w:val="20"/>
          <w:szCs w:val="20"/>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155" w:lineRule="exact"/>
        <w:rPr>
          <w:sz w:val="20"/>
          <w:szCs w:val="20"/>
          <w:color w:val="auto"/>
        </w:rPr>
      </w:pPr>
    </w:p>
    <w:p>
      <w:pPr>
        <w:ind w:right="140"/>
        <w:spacing w:after="0" w:line="258" w:lineRule="auto"/>
        <w:rPr>
          <w:sz w:val="20"/>
          <w:szCs w:val="20"/>
          <w:color w:val="auto"/>
        </w:rPr>
      </w:pPr>
      <w:r>
        <w:rPr>
          <w:rFonts w:ascii="Arial" w:cs="Arial" w:eastAsia="Arial" w:hAnsi="Arial"/>
          <w:sz w:val="20"/>
          <w:szCs w:val="20"/>
          <w:color w:val="auto"/>
        </w:rPr>
        <w:t>As part of our strategy, we have in the past grown,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to complete these acquisitions from our cash on hand, cash flow from operations, existing debt facilities and additional indebtedness.</w:t>
      </w:r>
    </w:p>
    <w:p>
      <w:pPr>
        <w:spacing w:after="0" w:line="164" w:lineRule="exact"/>
        <w:rPr>
          <w:sz w:val="20"/>
          <w:szCs w:val="20"/>
          <w:color w:val="auto"/>
        </w:rPr>
      </w:pPr>
    </w:p>
    <w:p>
      <w:pPr>
        <w:jc w:val="both"/>
        <w:ind w:right="120"/>
        <w:spacing w:after="0" w:line="266" w:lineRule="auto"/>
        <w:rPr>
          <w:sz w:val="20"/>
          <w:szCs w:val="20"/>
          <w:color w:val="auto"/>
        </w:rPr>
      </w:pPr>
      <w:r>
        <w:rPr>
          <w:rFonts w:ascii="Arial" w:cs="Arial" w:eastAsia="Arial" w:hAnsi="Arial"/>
          <w:sz w:val="20"/>
          <w:szCs w:val="20"/>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75" w:lineRule="exact"/>
        <w:rPr>
          <w:sz w:val="20"/>
          <w:szCs w:val="20"/>
          <w:color w:val="auto"/>
        </w:rPr>
      </w:pPr>
    </w:p>
    <w:p>
      <w:pPr>
        <w:ind w:left="720" w:right="560" w:hanging="370"/>
        <w:spacing w:after="0" w:line="310" w:lineRule="auto"/>
        <w:tabs>
          <w:tab w:leader="none" w:pos="7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successfully integrate acquired facilities, companies, products, systems and personnel into our existing business, especially with respect to businesses or operations that are outside of the United States;</w:t>
      </w:r>
    </w:p>
    <w:p>
      <w:pPr>
        <w:spacing w:after="0" w:line="35" w:lineRule="exact"/>
        <w:rPr>
          <w:rFonts w:ascii="Arial" w:cs="Arial" w:eastAsia="Arial" w:hAnsi="Arial"/>
          <w:sz w:val="19"/>
          <w:szCs w:val="19"/>
          <w:color w:val="auto"/>
        </w:rPr>
      </w:pPr>
    </w:p>
    <w:p>
      <w:pPr>
        <w:ind w:left="720" w:hanging="37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minimize any potential interruption to our ongoing business;</w:t>
      </w:r>
    </w:p>
    <w:p>
      <w:pPr>
        <w:spacing w:after="0" w:line="130" w:lineRule="exact"/>
        <w:rPr>
          <w:rFonts w:ascii="Arial" w:cs="Arial" w:eastAsia="Arial" w:hAnsi="Arial"/>
          <w:sz w:val="20"/>
          <w:szCs w:val="20"/>
          <w:color w:val="auto"/>
        </w:rPr>
      </w:pPr>
    </w:p>
    <w:p>
      <w:pPr>
        <w:ind w:left="720" w:hanging="370"/>
        <w:spacing w:after="0" w:line="283"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successfully enter categories and markets in which we may have limited or no prior experience, and ensure compliance with the regulatory requirements for such categories and markets;</w:t>
      </w:r>
    </w:p>
    <w:p>
      <w:pPr>
        <w:spacing w:after="0" w:line="57" w:lineRule="exact"/>
        <w:rPr>
          <w:rFonts w:ascii="Arial" w:cs="Arial" w:eastAsia="Arial" w:hAnsi="Arial"/>
          <w:sz w:val="20"/>
          <w:szCs w:val="20"/>
          <w:color w:val="auto"/>
        </w:rPr>
      </w:pPr>
    </w:p>
    <w:p>
      <w:pPr>
        <w:ind w:left="720" w:hanging="37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achieve expected synergies and obtain the desired financial or strategic benefits;</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detect and address any financial or control deficiencies of the acquired company;</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240"/>
          </w:cols>
          <w:pgMar w:left="820" w:top="412" w:right="820" w:bottom="0" w:gutter="0" w:footer="0" w:header="0"/>
          <w:type w:val="continuous"/>
        </w:sectPr>
      </w:pPr>
    </w:p>
    <w:bookmarkStart w:id="38" w:name="page39"/>
    <w:bookmarkEnd w:id="38"/>
    <w:p>
      <w:pPr>
        <w:ind w:left="720" w:right="200" w:hanging="370"/>
        <w:spacing w:after="0" w:line="283"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retain key relationships with employees, customers, partners and suppliers of acquired companies as well as our own employees, customers, partners and suppliers; and</w:t>
      </w:r>
    </w:p>
    <w:p>
      <w:pPr>
        <w:spacing w:after="0" w:line="57" w:lineRule="exact"/>
        <w:rPr>
          <w:rFonts w:ascii="Arial" w:cs="Arial" w:eastAsia="Arial" w:hAnsi="Arial"/>
          <w:sz w:val="20"/>
          <w:szCs w:val="20"/>
          <w:color w:val="auto"/>
        </w:rPr>
      </w:pPr>
    </w:p>
    <w:p>
      <w:pPr>
        <w:ind w:left="720" w:hanging="370"/>
        <w:spacing w:after="0"/>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maintain uniform compliance standards, controls, procedures and policies throughout acquired companies.</w:t>
      </w:r>
    </w:p>
    <w:p>
      <w:pPr>
        <w:spacing w:after="0" w:line="210" w:lineRule="exact"/>
        <w:rPr>
          <w:sz w:val="20"/>
          <w:szCs w:val="20"/>
          <w:color w:val="auto"/>
        </w:rPr>
      </w:pPr>
    </w:p>
    <w:p>
      <w:pPr>
        <w:ind w:right="180"/>
        <w:spacing w:after="0" w:line="290" w:lineRule="auto"/>
        <w:rPr>
          <w:sz w:val="20"/>
          <w:szCs w:val="20"/>
          <w:color w:val="auto"/>
        </w:rPr>
      </w:pPr>
      <w:r>
        <w:rPr>
          <w:rFonts w:ascii="Arial" w:cs="Arial" w:eastAsia="Arial" w:hAnsi="Arial"/>
          <w:sz w:val="18"/>
          <w:szCs w:val="18"/>
          <w:color w:val="auto"/>
        </w:rPr>
        <w:t>Companies, businesses or operations acquired or joint ventures created may not be profitable or may not achieve revenue and profitability levels sufficient to justify the investments made. Future acquisitions could also result in the incurrence of additional indebtedness subject to the restrictions contained in the documents governing our then-existing indebtedness. See related Risk Factor “—Our significant degree of leverage could adversely affect our ability to raise additional capital to fund our operations, limit our ability to react to challenges facing our Company or broader changes in our industry or the economy, expose us to interest rate risk and prevent us from meeting our obligations under our existing and future indebtedness.”</w:t>
      </w:r>
    </w:p>
    <w:p>
      <w:pPr>
        <w:spacing w:after="0" w:line="139"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the CFPOA, the Bribery Act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70"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Certain of the acquisition agreements by which we have acquired companies require the former owners to indemnify us against certain liabilities related to the operation of the companies before we acquired them. In most of these agreements, however, the liability of the former owners is limited, and certain former owners may be unable to meet their indemnification responsibilities. There is no assurance that these indemnification provisions will protect us fully, or at all, and as a result we may face unexpected liabilities that adversely affect our business, prospects, financial condition or results of operations. 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124" w:lineRule="exact"/>
        <w:rPr>
          <w:sz w:val="20"/>
          <w:szCs w:val="20"/>
          <w:color w:val="auto"/>
        </w:rPr>
      </w:pPr>
    </w:p>
    <w:p>
      <w:pPr>
        <w:jc w:val="both"/>
        <w:ind w:right="320"/>
        <w:spacing w:after="0" w:line="269" w:lineRule="auto"/>
        <w:rPr>
          <w:sz w:val="20"/>
          <w:szCs w:val="20"/>
          <w:color w:val="auto"/>
        </w:rPr>
      </w:pPr>
      <w:r>
        <w:rPr>
          <w:rFonts w:ascii="Arial" w:cs="Arial" w:eastAsia="Arial" w:hAnsi="Arial"/>
          <w:sz w:val="20"/>
          <w:szCs w:val="20"/>
          <w:b w:val="1"/>
          <w:bCs w:val="1"/>
          <w:i w:val="1"/>
          <w:iCs w:val="1"/>
          <w:color w:val="auto"/>
        </w:rPr>
        <w:t>Our internal control over financial reporting may not be effective and our independent registered public accounting firm may not be able to certify as to their effectiveness, which could have a significant and adverse effect on our business and reputation.</w:t>
      </w:r>
    </w:p>
    <w:p>
      <w:pPr>
        <w:spacing w:after="0" w:line="155" w:lineRule="exact"/>
        <w:rPr>
          <w:sz w:val="20"/>
          <w:szCs w:val="20"/>
          <w:color w:val="auto"/>
        </w:rPr>
      </w:pPr>
    </w:p>
    <w:p>
      <w:pPr>
        <w:ind w:right="300"/>
        <w:spacing w:after="0" w:line="299" w:lineRule="auto"/>
        <w:rPr>
          <w:sz w:val="20"/>
          <w:szCs w:val="20"/>
          <w:color w:val="auto"/>
        </w:rPr>
      </w:pPr>
      <w:r>
        <w:rPr>
          <w:rFonts w:ascii="Arial" w:cs="Arial" w:eastAsia="Arial" w:hAnsi="Arial"/>
          <w:sz w:val="18"/>
          <w:szCs w:val="18"/>
          <w:color w:val="auto"/>
        </w:rPr>
        <w:t>Pursuant to the Sarbanes-Oxley Act of 2002, we furnished a report by our management on the effectiveness of our internal control over financial reporting as of December 31, 2025. This assessment is required to include disclosure of any material weaknesses identified by our management in our internal control over financial reporting. Our independent registered public accounting firm attested to the effectiveness of our internal controls as of December 31, 2025.</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In future periods, if we identify a material weakness in connection with our ongoing assessment and we fail to remediate the identified material weakness within the prescribed period, we will be unable to assert that our internal control over financial reporting is effective. We cannot be certain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hiring additional personnel.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shares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5" w:lineRule="exact"/>
        <w:rPr>
          <w:sz w:val="20"/>
          <w:szCs w:val="20"/>
          <w:color w:val="auto"/>
        </w:rPr>
      </w:pPr>
    </w:p>
    <w:p>
      <w:pPr>
        <w:ind w:right="240"/>
        <w:spacing w:after="0" w:line="316" w:lineRule="auto"/>
        <w:rPr>
          <w:sz w:val="20"/>
          <w:szCs w:val="20"/>
          <w:color w:val="auto"/>
        </w:rPr>
      </w:pPr>
      <w:r>
        <w:rPr>
          <w:rFonts w:ascii="Arial" w:cs="Arial" w:eastAsia="Arial" w:hAnsi="Arial"/>
          <w:sz w:val="19"/>
          <w:szCs w:val="19"/>
          <w:b w:val="1"/>
          <w:bCs w:val="1"/>
          <w:i w:val="1"/>
          <w:iCs w:val="1"/>
          <w:color w:val="auto"/>
        </w:rPr>
        <w:t>We rely on intellectual property rights to maintain our competitive position and third parties have claimed in the past, and may claim in the future, that we infringe or misappropriate their intellectual property rights.</w:t>
      </w:r>
    </w:p>
    <w:p>
      <w:pPr>
        <w:spacing w:after="0" w:line="113"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color w:val="auto"/>
        </w:rPr>
        <w:t>We rely on proprietary technology and are dependent on our ability to protect such technology. We rely primarily on trade secrets and non-disclosure and confidentiality arrangements to protect our intellectual property rights, including such rights related to our Nelson Labs business and its lab testing services. The efforts we have taken to protect our intellectual property and proprietary technology may not be sufficient or effective. Third parties, including current or former employees, consultants,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240"/>
          </w:cols>
          <w:pgMar w:left="820" w:top="412" w:right="820" w:bottom="0" w:gutter="0" w:footer="0" w:header="0"/>
          <w:type w:val="continuous"/>
        </w:sectPr>
      </w:pPr>
    </w:p>
    <w:bookmarkStart w:id="39" w:name="page40"/>
    <w:bookmarkEnd w:id="39"/>
    <w:p>
      <w:pPr>
        <w:ind w:right="60"/>
        <w:spacing w:after="0" w:line="284" w:lineRule="auto"/>
        <w:rPr>
          <w:sz w:val="20"/>
          <w:szCs w:val="20"/>
          <w:color w:val="auto"/>
        </w:rPr>
      </w:pPr>
      <w:r>
        <w:rPr>
          <w:rFonts w:ascii="Arial" w:cs="Arial" w:eastAsia="Arial" w:hAnsi="Arial"/>
          <w:sz w:val="18"/>
          <w:szCs w:val="18"/>
          <w:color w:val="auto"/>
        </w:rPr>
        <w:t>contractors, customers or partners, who have access to our confidential information (including our trade secrets),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For example, in December 2024, Sterigenics Petit Rechain (“Sterigenics PR”) was served with Writs of Summons in actions filed in Brussels, Belgium, in which the complainant alleges that the plaintiff’s intellectual property rights in certain products are being infringed by Sterigenics PR and by products of two Sterigenics PR customers.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47" w:lineRule="exact"/>
        <w:rPr>
          <w:sz w:val="20"/>
          <w:szCs w:val="20"/>
          <w:color w:val="auto"/>
        </w:rPr>
      </w:pPr>
    </w:p>
    <w:p>
      <w:pPr>
        <w:jc w:val="both"/>
        <w:ind w:right="120"/>
        <w:spacing w:after="0" w:line="266" w:lineRule="auto"/>
        <w:rPr>
          <w:sz w:val="20"/>
          <w:szCs w:val="20"/>
          <w:color w:val="auto"/>
        </w:rPr>
      </w:pPr>
      <w:r>
        <w:rPr>
          <w:rFonts w:ascii="Arial" w:cs="Arial" w:eastAsia="Arial" w:hAnsi="Arial"/>
          <w:sz w:val="20"/>
          <w:szCs w:val="20"/>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147" w:lineRule="exact"/>
        <w:rPr>
          <w:sz w:val="20"/>
          <w:szCs w:val="20"/>
          <w:color w:val="auto"/>
        </w:rPr>
      </w:pPr>
    </w:p>
    <w:p>
      <w:pPr>
        <w:ind w:right="840"/>
        <w:spacing w:after="0" w:line="316" w:lineRule="auto"/>
        <w:rPr>
          <w:sz w:val="20"/>
          <w:szCs w:val="20"/>
          <w:color w:val="auto"/>
        </w:rPr>
      </w:pPr>
      <w:r>
        <w:rPr>
          <w:rFonts w:ascii="Arial" w:cs="Arial" w:eastAsia="Arial" w:hAnsi="Arial"/>
          <w:sz w:val="19"/>
          <w:szCs w:val="19"/>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113"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We must comply with laws and regulations of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liability, as well as reputational harm. Moreover, these laws are evolving and are generally becoming stricter. For example, activities conducted from our European Union facilities or related to products and services that we may offer to European Union users or customers are subject to the General Data Protection Regulation (Regulation (EU) 2016/679) (“GDPR”), which provides for enhanced data privacy obligations and fines of up to the higher of 4% of annual worldwide revenues or €20 million. The GDPR was transposed into United Kingdom domestic law following the United Kingdom’s exit from the European Union, and the UK GDPR supplements the United Kingdom’s Data Protection Act of 2018. The UK GDPR mirrors the compliance requirements and fine structure of the GDPR. Outside of the United States, United Kingdom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240"/>
          </w:cols>
          <w:pgMar w:left="820" w:top="412" w:right="82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b w:val="1"/>
          <w:bCs w:val="1"/>
          <w:i w:val="1"/>
          <w:iCs w:val="1"/>
          <w:color w:val="auto"/>
        </w:rPr>
        <w:t>We have a history of net losses and may not maintain profitability in future periods.</w:t>
      </w: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We have had net operating losses at times in the past. Although we reported net income attributable to Sotera Health Company of $77.9 million and $44.4 million for the years ended December 31, 2025 and 2024, respectively, we may not be able to maintain profitability in future periods. Our ability to maintain profitability depends on a number of factors, including the growth rate of the sterilization and lab services industries, the prices of our products and services, the costs to provide our products and services and the competitiveness of our products and services. We may incur significant losses in the future for a number of reasons, including principal and interest expense related to our indebtedness and the other risks described herein, and we may encounter unforeseen expenses, difficulties, complications and delays and other unknown events. Consequently, our results of operations may not maintain or increase profitability in future periods.</w:t>
      </w:r>
    </w:p>
    <w:p>
      <w:pPr>
        <w:spacing w:after="0" w:line="142" w:lineRule="exact"/>
        <w:rPr>
          <w:sz w:val="20"/>
          <w:szCs w:val="20"/>
          <w:color w:val="auto"/>
        </w:rPr>
      </w:pPr>
    </w:p>
    <w:p>
      <w:pPr>
        <w:ind w:right="60"/>
        <w:spacing w:after="0" w:line="269" w:lineRule="auto"/>
        <w:rPr>
          <w:sz w:val="20"/>
          <w:szCs w:val="20"/>
          <w:color w:val="auto"/>
        </w:rPr>
      </w:pPr>
      <w:r>
        <w:rPr>
          <w:rFonts w:ascii="Arial" w:cs="Arial" w:eastAsia="Arial" w:hAnsi="Arial"/>
          <w:sz w:val="20"/>
          <w:szCs w:val="20"/>
          <w:b w:val="1"/>
          <w:bCs w:val="1"/>
          <w:i w:val="1"/>
          <w:iCs w:val="1"/>
          <w:color w:val="auto"/>
        </w:rPr>
        <w:t>We may incur impairment charges on our goodwill and other intangible assets with indefinite lives as well as other long-lived assets and intangible assets with definite lives, which could adversely affect our business, financial condition or results of operations.</w:t>
      </w:r>
    </w:p>
    <w:p>
      <w:pPr>
        <w:spacing w:after="0" w:line="155" w:lineRule="exact"/>
        <w:rPr>
          <w:sz w:val="20"/>
          <w:szCs w:val="20"/>
          <w:color w:val="auto"/>
        </w:rPr>
      </w:pPr>
    </w:p>
    <w:p>
      <w:pPr>
        <w:ind w:right="160"/>
        <w:spacing w:after="0" w:line="288" w:lineRule="auto"/>
        <w:rPr>
          <w:sz w:val="20"/>
          <w:szCs w:val="20"/>
          <w:color w:val="auto"/>
        </w:rPr>
      </w:pPr>
      <w:r>
        <w:rPr>
          <w:rFonts w:ascii="Arial" w:cs="Arial" w:eastAsia="Arial" w:hAnsi="Arial"/>
          <w:sz w:val="18"/>
          <w:szCs w:val="18"/>
          <w:color w:val="auto"/>
        </w:rPr>
        <w:t>We are subject to Accounting Standards Codification (“ASC”)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we were to determine in the future that there has been an impairment, our financial results for the relevant period would be reduced by the amount of the non-cash impairment charge, net of any income tax effects, which could have an adverse effect on our business, financial condition or results of operations.</w:t>
      </w:r>
    </w:p>
    <w:p>
      <w:pPr>
        <w:spacing w:after="0" w:line="141" w:lineRule="exact"/>
        <w:rPr>
          <w:sz w:val="20"/>
          <w:szCs w:val="20"/>
          <w:color w:val="auto"/>
        </w:rPr>
      </w:pPr>
    </w:p>
    <w:p>
      <w:pPr>
        <w:ind w:right="220"/>
        <w:spacing w:after="0" w:line="290" w:lineRule="auto"/>
        <w:rPr>
          <w:sz w:val="20"/>
          <w:szCs w:val="20"/>
          <w:color w:val="auto"/>
        </w:rPr>
      </w:pPr>
      <w:r>
        <w:rPr>
          <w:rFonts w:ascii="Arial" w:cs="Arial" w:eastAsia="Arial" w:hAnsi="Arial"/>
          <w:sz w:val="18"/>
          <w:szCs w:val="18"/>
          <w:color w:val="auto"/>
        </w:rPr>
        <w:t>Similarly, pursuant to ASC Topic 360—Property, Plant, and Equipment, long-lived assets, such as property, plant and equipment and intangible assets subject to amortization, must be reviewed for impairment whenever events or changes in circumstances indicate that the carrying amount of an asset or asset group may not be recoverable. If we were to determine in the future that there has been an impairment of long-lived assets or intangible assets subject to amortization, our financial results for the relevant period would be reduced by the amount of the non-cash impairment charge, net of any income tax effects, which could have an adverse effect on our business, financial condition or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Unionization efforts and labor regulations could materially increase our costs or limit our flexibility.</w:t>
      </w:r>
    </w:p>
    <w:p>
      <w:pPr>
        <w:spacing w:after="0" w:line="218"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Efforts have been made from time to time to unionize portions of our workforce, and we may experience similar efforts in the future. Certain of our employees are represented by labor unions or works councils and are negotiating or working under collective bargaining or similar agreements, some of which are subject to periodic renegotiation. For example, employees at a gamma irradiation facility in the United States voted to unionize in November 2023, and we may experience similar efforts to unionize portions of our workforce in the future. Unionization efforts, new collective bargaining agreements or work stoppages could materially increase our costs, reduce our net revenues or limit our flexibility. The collective bargaining agreements applicable to our employees in Brazil and Mexico expire annually. The collective bargaining agreement applicable to Nordion’s employees in Kanata, Canada expires on March 31, 2027. Failure to renew these agreements on similar terms could result in increased labor costs or lead to labor disruptions, which could negatively affect our business and operations.</w:t>
      </w:r>
    </w:p>
    <w:p>
      <w:pPr>
        <w:spacing w:after="0" w:line="140" w:lineRule="exact"/>
        <w:rPr>
          <w:sz w:val="20"/>
          <w:szCs w:val="20"/>
          <w:color w:val="auto"/>
        </w:rPr>
      </w:pPr>
    </w:p>
    <w:p>
      <w:pPr>
        <w:ind w:right="280"/>
        <w:spacing w:after="0" w:line="261" w:lineRule="auto"/>
        <w:rPr>
          <w:sz w:val="20"/>
          <w:szCs w:val="20"/>
          <w:color w:val="auto"/>
        </w:rPr>
      </w:pPr>
      <w:r>
        <w:rPr>
          <w:rFonts w:ascii="Arial" w:cs="Arial" w:eastAsia="Arial" w:hAnsi="Arial"/>
          <w:sz w:val="20"/>
          <w:szCs w:val="20"/>
          <w:color w:val="auto"/>
        </w:rPr>
        <w:t>Other legal obligations in the markets where we conduct business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w:t>
      </w:r>
    </w:p>
    <w:p>
      <w:pPr>
        <w:spacing w:after="0" w:line="151"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136"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We provide bioburden reduction irradiation services for the processing of cannabis, primarily in Canada and certain European countries. Laws and regulations governing cannabis in Canada and European countries have evolved rapidly over recent years. In the United States, marijuana (all parts of the cannabis plant other than those parts that are exempt) presently remains a Schedule I controlled substance under federal law. However, an Executive Order issued on December 18, 2025, among other things, directed the Attorney General to expedite the rulemaking process to reclassify marijuana from a Schedule I controlled substance to a Schedule III controlled substance under the Controlled Substances Act.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and it may be costly or burdensome to comply.</w:t>
      </w:r>
    </w:p>
    <w:p>
      <w:pPr>
        <w:sectPr>
          <w:pgSz w:w="11880" w:h="15480" w:orient="portrait"/>
          <w:cols w:equalWidth="0" w:num="1">
            <w:col w:w="10240"/>
          </w:cols>
          <w:pgMar w:left="820" w:top="404" w:right="82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240"/>
          </w:cols>
          <w:pgMar w:left="820" w:top="404" w:right="820" w:bottom="0" w:gutter="0" w:footer="0" w:header="0"/>
          <w:type w:val="continuous"/>
        </w:sectPr>
      </w:pPr>
    </w:p>
    <w:bookmarkStart w:id="41" w:name="page42"/>
    <w:bookmarkEnd w:id="41"/>
    <w:p>
      <w:pPr>
        <w:ind w:right="920" w:firstLine="5"/>
        <w:spacing w:after="0" w:line="288" w:lineRule="auto"/>
        <w:rPr>
          <w:sz w:val="20"/>
          <w:szCs w:val="20"/>
          <w:color w:val="auto"/>
        </w:rPr>
      </w:pPr>
      <w:r>
        <w:rPr>
          <w:rFonts w:ascii="Arial" w:cs="Arial" w:eastAsia="Arial" w:hAnsi="Arial"/>
          <w:sz w:val="20"/>
          <w:szCs w:val="20"/>
          <w:b w:val="1"/>
          <w:bCs w:val="1"/>
          <w:i w:val="1"/>
          <w:iCs w:val="1"/>
          <w:color w:val="auto"/>
        </w:rPr>
        <w:t>Government or private civil antitrust actions could harm our business, prospects, financial condition or results of operations.</w:t>
      </w:r>
    </w:p>
    <w:p>
      <w:pPr>
        <w:spacing w:after="0" w:line="136"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 antitrust laws prohibit a wide variety of conduct that unlawfully suppresses competition, such as conspiracies among competitors not to reduce (or to “fix”) prices. Although our Global Code of Conduct requires our employees to comply with the antitrust laws and we believe that we are doing so, a governmental or private civil action alleging the improper exchange of information, unlawful participation in price maintenance or other unlawful or anticompetitive activity, even if unfounded, could be costly to defend and could harm our business, prospects, financial condition or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greater than anticipated tax liabilities, which could harm our business, revenue and financial results</w:t>
      </w:r>
      <w:r>
        <w:rPr>
          <w:rFonts w:ascii="Arial" w:cs="Arial" w:eastAsia="Arial" w:hAnsi="Arial"/>
          <w:sz w:val="22"/>
          <w:szCs w:val="22"/>
          <w:color w:val="auto"/>
        </w:rPr>
        <w:t>.</w:t>
      </w:r>
    </w:p>
    <w:p>
      <w:pPr>
        <w:spacing w:after="0" w:line="248"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We operate in a number of tax jurisdictions globally, including in the United States at the federal, state and local levels, and in many other countries, and we are therefore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4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we have been unable to fully realize the benefit of interest expense as a result of recent tax law changes, and we recognized a valuation allowance on related deferred tax assets, which impacted our annual effective income tax rate.</w:t>
      </w:r>
    </w:p>
    <w:p>
      <w:pPr>
        <w:spacing w:after="0" w:line="140" w:lineRule="exact"/>
        <w:rPr>
          <w:sz w:val="20"/>
          <w:szCs w:val="20"/>
          <w:color w:val="auto"/>
        </w:rPr>
      </w:pPr>
    </w:p>
    <w:p>
      <w:pPr>
        <w:ind w:right="920" w:hanging="4"/>
        <w:spacing w:after="0" w:line="454" w:lineRule="auto"/>
        <w:rPr>
          <w:sz w:val="20"/>
          <w:szCs w:val="20"/>
          <w:color w:val="auto"/>
        </w:rPr>
      </w:pPr>
      <w:r>
        <w:rPr>
          <w:rFonts w:ascii="Arial" w:cs="Arial" w:eastAsia="Arial" w:hAnsi="Arial"/>
          <w:sz w:val="20"/>
          <w:szCs w:val="20"/>
          <w:color w:val="auto"/>
        </w:rPr>
        <w:t xml:space="preserve">Any changes in tax law may create uncertainty and our business and financial condition could be adversely affected. </w:t>
      </w:r>
      <w:r>
        <w:rPr>
          <w:rFonts w:ascii="Arial" w:cs="Arial" w:eastAsia="Arial" w:hAnsi="Arial"/>
          <w:sz w:val="20"/>
          <w:szCs w:val="20"/>
          <w:b w:val="1"/>
          <w:bCs w:val="1"/>
          <w:color w:val="auto"/>
        </w:rPr>
        <w:t>Risks Related to Our Indebtedness and Liquidity</w:t>
      </w:r>
    </w:p>
    <w:p>
      <w:pPr>
        <w:spacing w:after="0" w:line="2" w:lineRule="exact"/>
        <w:rPr>
          <w:sz w:val="20"/>
          <w:szCs w:val="20"/>
          <w:color w:val="auto"/>
        </w:rPr>
      </w:pPr>
    </w:p>
    <w:p>
      <w:pPr>
        <w:ind w:right="160"/>
        <w:spacing w:after="0" w:line="338" w:lineRule="auto"/>
        <w:rPr>
          <w:sz w:val="20"/>
          <w:szCs w:val="20"/>
          <w:color w:val="auto"/>
        </w:rPr>
      </w:pPr>
      <w:r>
        <w:rPr>
          <w:rFonts w:ascii="Arial" w:cs="Arial" w:eastAsia="Arial" w:hAnsi="Arial"/>
          <w:sz w:val="17"/>
          <w:szCs w:val="17"/>
          <w:b w:val="1"/>
          <w:bCs w:val="1"/>
          <w:i w:val="1"/>
          <w:iCs w:val="1"/>
          <w:color w:val="auto"/>
        </w:rPr>
        <w:t>Our significant degree of leverage could adversely affect our ability to raise additional capital to fund our operations, limit our ability to react to challenges facing our Company or broader changes in our industry or the economy, expose us to interest rate risk and prevent us from meeting our obligations under our existing and future indebtedness.</w:t>
      </w:r>
    </w:p>
    <w:p>
      <w:pPr>
        <w:spacing w:after="0" w:line="102" w:lineRule="exact"/>
        <w:rPr>
          <w:sz w:val="20"/>
          <w:szCs w:val="20"/>
          <w:color w:val="auto"/>
        </w:rPr>
      </w:pPr>
    </w:p>
    <w:p>
      <w:pPr>
        <w:ind w:right="440"/>
        <w:spacing w:after="0" w:line="341" w:lineRule="auto"/>
        <w:rPr>
          <w:sz w:val="20"/>
          <w:szCs w:val="20"/>
          <w:color w:val="auto"/>
        </w:rPr>
      </w:pPr>
      <w:r>
        <w:rPr>
          <w:rFonts w:ascii="Arial" w:cs="Arial" w:eastAsia="Arial" w:hAnsi="Arial"/>
          <w:sz w:val="18"/>
          <w:szCs w:val="18"/>
          <w:color w:val="auto"/>
        </w:rPr>
        <w:t>As of December 31, 2025, our total indebtedness was approximately $2,169.5 million, all of which is indebtedness of our subsidiary Sotera Health Holdings, LLC (“SHH”) that is guaranteed by the Company and certain of our other subsidiaries.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Our leverage could have important consequences, including:</w:t>
      </w:r>
    </w:p>
    <w:p>
      <w:pPr>
        <w:spacing w:after="0" w:line="130" w:lineRule="exact"/>
        <w:rPr>
          <w:sz w:val="20"/>
          <w:szCs w:val="20"/>
          <w:color w:val="auto"/>
        </w:rPr>
      </w:pPr>
    </w:p>
    <w:p>
      <w:pPr>
        <w:ind w:left="720" w:hanging="370"/>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making it more difficult for us to satisfy our obligations;</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increasing our vulnerability to general economic and industry conditions;</w:t>
      </w:r>
    </w:p>
    <w:p>
      <w:pPr>
        <w:spacing w:after="0" w:line="130" w:lineRule="exact"/>
        <w:rPr>
          <w:rFonts w:ascii="Arial" w:cs="Arial" w:eastAsia="Arial" w:hAnsi="Arial"/>
          <w:sz w:val="20"/>
          <w:szCs w:val="20"/>
          <w:color w:val="auto"/>
        </w:rPr>
      </w:pPr>
    </w:p>
    <w:p>
      <w:pPr>
        <w:ind w:left="720" w:right="100" w:hanging="370"/>
        <w:spacing w:after="0" w:line="266"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75" w:lineRule="exact"/>
        <w:rPr>
          <w:rFonts w:ascii="Arial" w:cs="Arial" w:eastAsia="Arial" w:hAnsi="Arial"/>
          <w:sz w:val="20"/>
          <w:szCs w:val="20"/>
          <w:color w:val="auto"/>
        </w:rPr>
      </w:pPr>
    </w:p>
    <w:p>
      <w:pPr>
        <w:ind w:left="720" w:hanging="370"/>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exposing us to the risk of increased interest rates as our indebtedness is at variable interest rates;</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restricting us from making strategic acquisitions or causing us to make non-strategic divestitures;</w:t>
      </w:r>
    </w:p>
    <w:p>
      <w:pPr>
        <w:spacing w:after="0" w:line="130" w:lineRule="exact"/>
        <w:rPr>
          <w:rFonts w:ascii="Arial" w:cs="Arial" w:eastAsia="Arial" w:hAnsi="Arial"/>
          <w:sz w:val="20"/>
          <w:szCs w:val="20"/>
          <w:color w:val="auto"/>
        </w:rPr>
      </w:pPr>
    </w:p>
    <w:p>
      <w:pPr>
        <w:ind w:left="720" w:right="80" w:hanging="370"/>
        <w:spacing w:after="0" w:line="341"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development, debt service requirements, acquisitions, appellate litigation bonding expenses and general corporate or other purposes;</w:t>
      </w:r>
    </w:p>
    <w:p>
      <w:pPr>
        <w:spacing w:after="0" w:line="11" w:lineRule="exact"/>
        <w:rPr>
          <w:rFonts w:ascii="Arial" w:cs="Arial" w:eastAsia="Arial" w:hAnsi="Arial"/>
          <w:sz w:val="18"/>
          <w:szCs w:val="18"/>
          <w:color w:val="auto"/>
        </w:rPr>
      </w:pPr>
    </w:p>
    <w:p>
      <w:pPr>
        <w:ind w:left="720" w:right="800" w:hanging="370"/>
        <w:spacing w:after="0" w:line="283"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limiting our ability to adjust to changing market conditions and placing us at a disadvantage compared to our competitors that are less highly leveraged; and</w:t>
      </w:r>
    </w:p>
    <w:p>
      <w:pPr>
        <w:spacing w:after="0" w:line="57" w:lineRule="exact"/>
        <w:rPr>
          <w:rFonts w:ascii="Arial" w:cs="Arial" w:eastAsia="Arial" w:hAnsi="Arial"/>
          <w:sz w:val="20"/>
          <w:szCs w:val="20"/>
          <w:color w:val="auto"/>
        </w:rPr>
      </w:pPr>
    </w:p>
    <w:p>
      <w:pPr>
        <w:ind w:left="720" w:right="120" w:hanging="370"/>
        <w:spacing w:after="0" w:line="283"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causing us to pay higher rates if we need to refinance our indebtedness at a time when prevailing market interest rates are unfavorable.</w:t>
      </w:r>
    </w:p>
    <w:p>
      <w:pPr>
        <w:spacing w:after="0" w:line="138" w:lineRule="exact"/>
        <w:rPr>
          <w:sz w:val="20"/>
          <w:szCs w:val="20"/>
          <w:color w:val="auto"/>
        </w:rPr>
      </w:pPr>
    </w:p>
    <w:p>
      <w:pPr>
        <w:ind w:right="60"/>
        <w:spacing w:after="0" w:line="341" w:lineRule="auto"/>
        <w:rPr>
          <w:sz w:val="20"/>
          <w:szCs w:val="20"/>
          <w:color w:val="auto"/>
        </w:rPr>
      </w:pPr>
      <w:r>
        <w:rPr>
          <w:rFonts w:ascii="Arial" w:cs="Arial" w:eastAsia="Arial" w:hAnsi="Arial"/>
          <w:sz w:val="18"/>
          <w:szCs w:val="18"/>
          <w:color w:val="auto"/>
        </w:rPr>
        <w:t>We and our subsidiaries may obtain substantial additional indebtedness in the future, subject to the restrictions contained in the Credit Agreement (as defined below) governing our Senior Secured Credit Facilities (as defined below) and the Indenture (as</w:t>
      </w:r>
    </w:p>
    <w:p>
      <w:pPr>
        <w:sectPr>
          <w:pgSz w:w="11880" w:h="15480" w:orient="portrait"/>
          <w:cols w:equalWidth="0" w:num="1">
            <w:col w:w="10220"/>
          </w:cols>
          <w:pgMar w:left="820" w:top="404" w:right="840" w:bottom="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220"/>
          </w:cols>
          <w:pgMar w:left="820" w:top="404" w:right="840" w:bottom="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auto"/>
        </w:rPr>
        <w:t>defined below) that governs the Secured Notes (as defined below) (together the “Combined Senior Secured Credit Facilities”).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If new indebtedness is added to our current debt levels, the related risks that we now face could intensify.</w:t>
      </w:r>
    </w:p>
    <w:p>
      <w:pPr>
        <w:spacing w:after="0" w:line="210"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Our Senior Secured Credit Facilities bear interest at variable interest rates, based on the Term SOFR and certain other interest “benchmarks.” Because we are exposed to interest rate risk through our variable-rate borrowings, we have entered into, and may in the future enter into, additional interest rate swaps that involve the exchange of floating for fixed rate interest payments to reduce interest rate volatility and interest rate cap agreements. We may not maintain interest rate swaps with respect to any of our variable rate indebtedness, and any swaps we enter into may not fully mitigate our interest rate risk. If interest rates increase, our debt service obligations on any variable rate indebtedness will increase even if the amount borrowed remains the same, and our earnings and cash flows, including cash available for servicing our indebtedness and the levels of cash we maintain for working capital, will correspondingly decrease. Based on our indebtedness outstanding as of December 31, 2025 and the interest rate under our Term Loans (as defined below) that was in effect on December 31, 2025, a 1% increase in the Term SOFR benchmark interest rates would result in an increase of approximately $10.2 million in total annual interest expense under our outstanding debt obligations. Refer to Note 9, “Long-Term Debt” to our consolidated financial statements.</w:t>
      </w:r>
    </w:p>
    <w:p>
      <w:pPr>
        <w:spacing w:after="0" w:line="138" w:lineRule="exact"/>
        <w:rPr>
          <w:sz w:val="20"/>
          <w:szCs w:val="20"/>
          <w:color w:val="auto"/>
        </w:rPr>
      </w:pPr>
    </w:p>
    <w:p>
      <w:pPr>
        <w:ind w:right="160"/>
        <w:spacing w:after="0" w:line="288" w:lineRule="auto"/>
        <w:rPr>
          <w:sz w:val="20"/>
          <w:szCs w:val="20"/>
          <w:color w:val="auto"/>
        </w:rPr>
      </w:pPr>
      <w:r>
        <w:rPr>
          <w:rFonts w:ascii="Arial" w:cs="Arial" w:eastAsia="Arial" w:hAnsi="Arial"/>
          <w:sz w:val="20"/>
          <w:szCs w:val="20"/>
          <w:b w:val="1"/>
          <w:bCs w:val="1"/>
          <w:i w:val="1"/>
          <w:iCs w:val="1"/>
          <w:color w:val="auto"/>
        </w:rPr>
        <w:t>The agreements governing our debt, including the Secured Notes, contain various covenants that impose restrictions on us and limit our flexibility in operating our business.</w:t>
      </w:r>
    </w:p>
    <w:p>
      <w:pPr>
        <w:spacing w:after="0" w:line="136" w:lineRule="exact"/>
        <w:rPr>
          <w:sz w:val="20"/>
          <w:szCs w:val="20"/>
          <w:color w:val="auto"/>
        </w:rPr>
      </w:pPr>
    </w:p>
    <w:p>
      <w:pPr>
        <w:ind w:right="300"/>
        <w:spacing w:after="0" w:line="266" w:lineRule="auto"/>
        <w:rPr>
          <w:sz w:val="20"/>
          <w:szCs w:val="20"/>
          <w:color w:val="auto"/>
        </w:rPr>
      </w:pPr>
      <w:r>
        <w:rPr>
          <w:rFonts w:ascii="Arial" w:cs="Arial" w:eastAsia="Arial" w:hAnsi="Arial"/>
          <w:sz w:val="20"/>
          <w:szCs w:val="20"/>
          <w:color w:val="auto"/>
        </w:rPr>
        <w:t>The Credit Agreement that governs the Senior Secured Credit Facilities and the Indenture that governs the Secured Notes contain various covenants that limit our ability to engage in specified types of transactions. These covenants limit our ability and our restricted subsidiaries’ ability to, among other things:</w:t>
      </w:r>
    </w:p>
    <w:p>
      <w:pPr>
        <w:spacing w:after="0" w:line="75" w:lineRule="exact"/>
        <w:rPr>
          <w:sz w:val="20"/>
          <w:szCs w:val="20"/>
          <w:color w:val="auto"/>
        </w:rPr>
      </w:pPr>
    </w:p>
    <w:p>
      <w:pPr>
        <w:ind w:left="720" w:hanging="37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incur additional indebtedness or issue certain shares of preferred stock;</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or make other restricted payments;</w:t>
      </w:r>
    </w:p>
    <w:p>
      <w:pPr>
        <w:spacing w:after="0" w:line="153" w:lineRule="exact"/>
        <w:rPr>
          <w:rFonts w:ascii="Arial" w:cs="Arial" w:eastAsia="Arial" w:hAnsi="Arial"/>
          <w:sz w:val="18"/>
          <w:szCs w:val="18"/>
          <w:color w:val="auto"/>
        </w:rPr>
      </w:pPr>
    </w:p>
    <w:p>
      <w:pPr>
        <w:ind w:left="720" w:hanging="37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make certain investments and acquisitions;</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sell or transfer assets;</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grant liens on our assets;</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consolidate, merge, sell or otherwise dispose of all or substantially all of our assets; and</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enter into certain transactions with our affiliates.</w:t>
      </w:r>
    </w:p>
    <w:p>
      <w:pPr>
        <w:spacing w:after="0" w:line="210"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In addition, under certain circumstances we are required to satisfy and maintain specified financial ratios and other financial condition tests under certain covenants in our Combined Senior Secured Credit Facilities. See Item 7, “Management’s Discussion and Analysis of Financial Condition and Results of Operations—Liquidity and Capital Resources.” Our ability to 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3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Further, various risks, uncertainties and events beyond our control could affect our ability to comply with these covenants. Failure to comply with any of the covenants in our existing or future financing agreements could result in a default under those agreements and under other agreements containing cross-default or cross-acceleration provisions (including under each of our Combined Senior Secured Credit Facilities). Upon the occurrence of an event of default, all amounts outstanding under the Combined Senior Secured Credit Facilities could be declared immediately due and payable and all commitments to extend further credit could be terminated. If we were unable to repay those amounts, the collateral granted under the Combined Senior Secured Credit Facilities to secure each such indebtedness could be foreclosed on. We have pledged substantially all of our assets as collateral under the Combined Senior Secured Credit Facilities.</w:t>
      </w:r>
    </w:p>
    <w:p>
      <w:pPr>
        <w:spacing w:after="0" w:line="132" w:lineRule="exact"/>
        <w:rPr>
          <w:sz w:val="20"/>
          <w:szCs w:val="20"/>
          <w:color w:val="auto"/>
        </w:rPr>
      </w:pPr>
    </w:p>
    <w:p>
      <w:pPr>
        <w:ind w:right="220"/>
        <w:spacing w:after="0" w:line="347" w:lineRule="auto"/>
        <w:rPr>
          <w:sz w:val="20"/>
          <w:szCs w:val="20"/>
          <w:color w:val="auto"/>
        </w:rPr>
      </w:pPr>
      <w:r>
        <w:rPr>
          <w:rFonts w:ascii="Arial" w:cs="Arial" w:eastAsia="Arial" w:hAnsi="Arial"/>
          <w:sz w:val="18"/>
          <w:szCs w:val="18"/>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90" w:lineRule="exact"/>
        <w:rPr>
          <w:sz w:val="20"/>
          <w:szCs w:val="20"/>
          <w:color w:val="auto"/>
        </w:rPr>
      </w:pPr>
    </w:p>
    <w:p>
      <w:pPr>
        <w:ind w:right="140"/>
        <w:spacing w:after="0" w:line="286" w:lineRule="auto"/>
        <w:rPr>
          <w:sz w:val="20"/>
          <w:szCs w:val="20"/>
          <w:color w:val="auto"/>
        </w:rPr>
      </w:pPr>
      <w:r>
        <w:rPr>
          <w:rFonts w:ascii="Arial" w:cs="Arial" w:eastAsia="Arial" w:hAnsi="Arial"/>
          <w:sz w:val="18"/>
          <w:szCs w:val="18"/>
          <w:color w:val="auto"/>
        </w:rPr>
        <w:t>Our ability to make timely payments of principal and interest on our debt obligations, including our obligations under the Combined Senior Secured Credit Facilities,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240"/>
          </w:cols>
          <w:pgMar w:left="820" w:top="412" w:right="820" w:bottom="0" w:gutter="0" w:footer="0" w:header="0"/>
          <w:type w:val="continuous"/>
        </w:sectPr>
      </w:pPr>
    </w:p>
    <w:bookmarkStart w:id="43" w:name="page44"/>
    <w:bookmarkEnd w:id="43"/>
    <w:p>
      <w:pPr>
        <w:ind w:right="160"/>
        <w:spacing w:after="0" w:line="261" w:lineRule="auto"/>
        <w:rPr>
          <w:sz w:val="20"/>
          <w:szCs w:val="20"/>
          <w:color w:val="auto"/>
        </w:rPr>
      </w:pPr>
      <w:r>
        <w:rPr>
          <w:rFonts w:ascii="Arial" w:cs="Arial" w:eastAsia="Arial" w:hAnsi="Arial"/>
          <w:sz w:val="20"/>
          <w:szCs w:val="20"/>
          <w:color w:val="auto"/>
        </w:rPr>
        <w:t>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20"/>
          <w:szCs w:val="20"/>
          <w:b w:val="1"/>
          <w:bCs w:val="1"/>
          <w:i w:val="1"/>
          <w:iCs w:val="1"/>
          <w:color w:val="auto"/>
        </w:rPr>
        <w:t>A lowering or withdrawal of the ratings assigned to our debt by rating agencies may increase our future borrowing costs and reduce our access to capital.</w:t>
      </w:r>
    </w:p>
    <w:p>
      <w:pPr>
        <w:spacing w:after="0" w:line="136"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would likely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161" w:lineRule="exact"/>
        <w:rPr>
          <w:sz w:val="20"/>
          <w:szCs w:val="20"/>
          <w:color w:val="auto"/>
        </w:rPr>
      </w:pPr>
    </w:p>
    <w:p>
      <w:pPr>
        <w:ind w:right="160"/>
        <w:spacing w:after="0" w:line="288" w:lineRule="auto"/>
        <w:rPr>
          <w:sz w:val="20"/>
          <w:szCs w:val="20"/>
          <w:color w:val="auto"/>
        </w:rPr>
      </w:pPr>
      <w:r>
        <w:rPr>
          <w:rFonts w:ascii="Arial" w:cs="Arial" w:eastAsia="Arial" w:hAnsi="Arial"/>
          <w:sz w:val="20"/>
          <w:szCs w:val="20"/>
          <w:b w:val="1"/>
          <w:bCs w:val="1"/>
          <w:i w:val="1"/>
          <w:iCs w:val="1"/>
          <w:color w:val="auto"/>
        </w:rPr>
        <w:t>SHH is a holding company, and therefore its ability to make any required payment on our credit agreements depends upon the ability of its subsidiaries to pay it dividends or to advance it funds.</w:t>
      </w:r>
    </w:p>
    <w:p>
      <w:pPr>
        <w:spacing w:after="0" w:line="136"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SHH, the issuer under our Secured Notes and the borrower under our Senior Secured Credit Facilities, has no direct operations and no significant assets other than the equity interests of its subsidiaries. Because it conducts its operations through its operating subsidiaries, SHH depends on those entities to generate the funds necessary to meet its financial obligations, including its required obligations under our Combined Senior Secured Credit Facilities. The ability of our subsidiaries to make transfers and other distributions to SHH will be subject to, among other things, the terms of any debt instruments of such subsidiaries then in effect and applicable law. If transfers or other distributions from our subsidiaries to SHH were eliminated, delayed, reduced or otherwise impaired, our ability to make payments on the obligations under our credit agreements could be substantially impaired.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and trading volume of our common stock may be volatile, and you could lose all or part of your investment.</w:t>
      </w:r>
    </w:p>
    <w:p>
      <w:pPr>
        <w:spacing w:after="0" w:line="241"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“—Risks Related to the Company,” “—Risks Related to Our Indebtedness and Liquidity” and the following, some of which are beyond our control:</w:t>
      </w:r>
    </w:p>
    <w:p>
      <w:pPr>
        <w:spacing w:after="0" w:line="80" w:lineRule="exact"/>
        <w:rPr>
          <w:sz w:val="20"/>
          <w:szCs w:val="20"/>
          <w:color w:val="auto"/>
        </w:rPr>
      </w:pPr>
    </w:p>
    <w:p>
      <w:pPr>
        <w:ind w:left="720" w:right="180" w:hanging="370"/>
        <w:spacing w:after="0" w:line="261"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w:t>
      </w:r>
    </w:p>
    <w:p>
      <w:pPr>
        <w:spacing w:after="0" w:line="79" w:lineRule="exact"/>
        <w:rPr>
          <w:rFonts w:ascii="Arial" w:cs="Arial" w:eastAsia="Arial" w:hAnsi="Arial"/>
          <w:sz w:val="20"/>
          <w:szCs w:val="20"/>
          <w:color w:val="auto"/>
        </w:rPr>
      </w:pPr>
    </w:p>
    <w:p>
      <w:pPr>
        <w:ind w:left="720" w:hanging="370"/>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regulatory or legal developments in the jurisdictions in which we operate;</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adverse publicity about us or the industries in which we participate;</w:t>
      </w:r>
    </w:p>
    <w:p>
      <w:pPr>
        <w:spacing w:after="0" w:line="130" w:lineRule="exact"/>
        <w:rPr>
          <w:rFonts w:ascii="Arial" w:cs="Arial" w:eastAsia="Arial" w:hAnsi="Arial"/>
          <w:sz w:val="20"/>
          <w:szCs w:val="20"/>
          <w:color w:val="auto"/>
        </w:rPr>
      </w:pPr>
    </w:p>
    <w:p>
      <w:pPr>
        <w:ind w:left="720" w:right="680" w:hanging="370"/>
        <w:spacing w:after="0" w:line="283"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variations in our quarterly or annual results of operations, or in those of our competitors or of companies in the medical device and pharmaceutical industries;</w:t>
      </w:r>
    </w:p>
    <w:p>
      <w:pPr>
        <w:spacing w:after="0" w:line="57" w:lineRule="exact"/>
        <w:rPr>
          <w:rFonts w:ascii="Arial" w:cs="Arial" w:eastAsia="Arial" w:hAnsi="Arial"/>
          <w:sz w:val="20"/>
          <w:szCs w:val="20"/>
          <w:color w:val="auto"/>
        </w:rPr>
      </w:pPr>
    </w:p>
    <w:p>
      <w:pPr>
        <w:ind w:left="720" w:right="320" w:hanging="370"/>
        <w:spacing w:after="0" w:line="283"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financial projections we may provide to the public, any changes in these projections or our failure to meet these projections;</w:t>
      </w:r>
    </w:p>
    <w:p>
      <w:pPr>
        <w:spacing w:after="0" w:line="57" w:lineRule="exact"/>
        <w:rPr>
          <w:rFonts w:ascii="Arial" w:cs="Arial" w:eastAsia="Arial" w:hAnsi="Arial"/>
          <w:sz w:val="20"/>
          <w:szCs w:val="20"/>
          <w:color w:val="auto"/>
        </w:rPr>
      </w:pPr>
    </w:p>
    <w:p>
      <w:pPr>
        <w:ind w:left="720" w:hanging="370"/>
        <w:spacing w:after="0"/>
        <w:tabs>
          <w:tab w:leader="none" w:pos="7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sales of our common stock by us or our stockholders in the future or the perception that such sales may occur;</w:t>
      </w:r>
    </w:p>
    <w:p>
      <w:pPr>
        <w:spacing w:after="0" w:line="141" w:lineRule="exact"/>
        <w:rPr>
          <w:rFonts w:ascii="Arial" w:cs="Arial" w:eastAsia="Arial" w:hAnsi="Arial"/>
          <w:sz w:val="19"/>
          <w:szCs w:val="19"/>
          <w:color w:val="auto"/>
        </w:rPr>
      </w:pPr>
    </w:p>
    <w:p>
      <w:pPr>
        <w:ind w:left="720" w:hanging="370"/>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publication of research reports about the industries in which we participate;</w:t>
      </w:r>
    </w:p>
    <w:p>
      <w:pPr>
        <w:spacing w:after="0" w:line="130" w:lineRule="exact"/>
        <w:rPr>
          <w:rFonts w:ascii="Arial" w:cs="Arial" w:eastAsia="Arial" w:hAnsi="Arial"/>
          <w:sz w:val="20"/>
          <w:szCs w:val="20"/>
          <w:color w:val="auto"/>
        </w:rPr>
      </w:pPr>
    </w:p>
    <w:p>
      <w:pPr>
        <w:ind w:left="720" w:right="200" w:hanging="370"/>
        <w:spacing w:after="0" w:line="283"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changes in analysts’ estimates, investors’ perceptions, recommendations by securities analysts, our failure to achieve analysts’ estimates or failure of analysts to maintain coverage of us;</w:t>
      </w:r>
    </w:p>
    <w:p>
      <w:pPr>
        <w:spacing w:after="0" w:line="57" w:lineRule="exact"/>
        <w:rPr>
          <w:rFonts w:ascii="Arial" w:cs="Arial" w:eastAsia="Arial" w:hAnsi="Arial"/>
          <w:sz w:val="20"/>
          <w:szCs w:val="20"/>
          <w:color w:val="auto"/>
        </w:rPr>
      </w:pPr>
    </w:p>
    <w:p>
      <w:pPr>
        <w:ind w:left="720" w:hanging="370"/>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volatility in the trading prices and trading volumes of companies similar to us;</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changes in operating performance and stock market valuations of companies in our industry;</w:t>
      </w:r>
    </w:p>
    <w:p>
      <w:pPr>
        <w:spacing w:after="0" w:line="130" w:lineRule="exact"/>
        <w:rPr>
          <w:rFonts w:ascii="Arial" w:cs="Arial" w:eastAsia="Arial" w:hAnsi="Arial"/>
          <w:sz w:val="20"/>
          <w:szCs w:val="20"/>
          <w:color w:val="auto"/>
        </w:rPr>
      </w:pPr>
    </w:p>
    <w:p>
      <w:pPr>
        <w:ind w:left="720" w:hanging="370"/>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changes in accounting principles, policies, guidance, interpretations or standards;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240"/>
          </w:cols>
          <w:pgMar w:left="820" w:top="412" w:right="820" w:bottom="0" w:gutter="0" w:footer="0" w:header="0"/>
          <w:type w:val="continuous"/>
        </w:sectPr>
      </w:pPr>
    </w:p>
    <w:bookmarkStart w:id="44" w:name="page45"/>
    <w:bookmarkEnd w:id="44"/>
    <w:p>
      <w:pPr>
        <w:ind w:left="720" w:right="100" w:hanging="370"/>
        <w:spacing w:after="0" w:line="266"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volatility or economic downturns in the markets in which we, our suppliers or our customers are located caused by pandemics, such as the COVID-19 pandemic, and related policies and restrictions undertaken to contain the spread of such pandemics or potential pandemics;</w:t>
      </w:r>
    </w:p>
    <w:p>
      <w:pPr>
        <w:spacing w:after="0" w:line="75" w:lineRule="exact"/>
        <w:rPr>
          <w:rFonts w:ascii="Arial" w:cs="Arial" w:eastAsia="Arial" w:hAnsi="Arial"/>
          <w:sz w:val="20"/>
          <w:szCs w:val="20"/>
          <w:color w:val="auto"/>
        </w:rPr>
      </w:pPr>
    </w:p>
    <w:p>
      <w:pPr>
        <w:ind w:left="720" w:hanging="370"/>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time and costs associated with potential shareholder activism campaigns and outreach efforts; and</w:t>
      </w:r>
    </w:p>
    <w:p>
      <w:pPr>
        <w:spacing w:after="0" w:line="130" w:lineRule="exact"/>
        <w:rPr>
          <w:rFonts w:ascii="Arial" w:cs="Arial" w:eastAsia="Arial" w:hAnsi="Arial"/>
          <w:sz w:val="20"/>
          <w:szCs w:val="20"/>
          <w:color w:val="auto"/>
        </w:rPr>
      </w:pPr>
    </w:p>
    <w:p>
      <w:pPr>
        <w:ind w:left="720" w:right="280" w:hanging="370"/>
        <w:spacing w:after="0" w:line="283"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general market conditions and other factors unrelated to our operating performance or the operating performance of our competitors.</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we have been named as a defendant in such a putative securities class action that was dismissed at the trial court level and is currently pending on appeal. See Note 19, “Commitments and Contingencies” to our consolidated financial statements under the heading “Sotera Health Company Securities Litigation and Related Matters.” Such litigation could result in substantial costs and a diversion of our management’s attention and resources.</w:t>
      </w:r>
    </w:p>
    <w:p>
      <w:pPr>
        <w:spacing w:after="0" w:line="157"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b w:val="1"/>
          <w:bCs w:val="1"/>
          <w:i w:val="1"/>
          <w:iCs w:val="1"/>
          <w:color w:val="auto"/>
        </w:rPr>
        <w:t>The future issuance of additional common stock in connection with our incentive plans, acquisitions or otherwise will dilute all other stockholdings.</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As of February 17, 2026, we had an aggregate of 886,109,800 shares of common stock that are not currently reserved for issuance under our 2020 Omnibus Incentive Plan (“2020 Plan”), as well as 1,645,073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Future offerings of debt or equity securities by us may adversely affect the market price of our common stock.</w:t>
      </w:r>
    </w:p>
    <w:p>
      <w:pPr>
        <w:spacing w:after="0" w:line="230"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w:t>
      </w:r>
    </w:p>
    <w:p>
      <w:pPr>
        <w:spacing w:after="0" w:line="164"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134" w:lineRule="exact"/>
        <w:rPr>
          <w:sz w:val="20"/>
          <w:szCs w:val="20"/>
          <w:color w:val="auto"/>
        </w:rPr>
      </w:pPr>
    </w:p>
    <w:p>
      <w:pPr>
        <w:ind w:right="60"/>
        <w:spacing w:after="0" w:line="288" w:lineRule="auto"/>
        <w:rPr>
          <w:sz w:val="20"/>
          <w:szCs w:val="20"/>
          <w:color w:val="auto"/>
        </w:rPr>
      </w:pPr>
      <w:r>
        <w:rPr>
          <w:rFonts w:ascii="Arial" w:cs="Arial" w:eastAsia="Arial" w:hAnsi="Arial"/>
          <w:sz w:val="20"/>
          <w:szCs w:val="20"/>
          <w:b w:val="1"/>
          <w:bCs w:val="1"/>
          <w:i w:val="1"/>
          <w:iCs w:val="1"/>
          <w:color w:val="auto"/>
        </w:rPr>
        <w:t>A sale of a substantial number of shares of our common stock, or the perception that such sales might occur, may cause the price of our common stock to decline.</w:t>
      </w:r>
    </w:p>
    <w:p>
      <w:pPr>
        <w:spacing w:after="0" w:line="136" w:lineRule="exact"/>
        <w:rPr>
          <w:sz w:val="20"/>
          <w:szCs w:val="20"/>
          <w:color w:val="auto"/>
        </w:rPr>
      </w:pPr>
    </w:p>
    <w:p>
      <w:pPr>
        <w:jc w:val="both"/>
        <w:ind w:right="300"/>
        <w:spacing w:after="0" w:line="309" w:lineRule="auto"/>
        <w:rPr>
          <w:sz w:val="20"/>
          <w:szCs w:val="20"/>
          <w:color w:val="auto"/>
        </w:rPr>
      </w:pPr>
      <w:r>
        <w:rPr>
          <w:rFonts w:ascii="Arial" w:cs="Arial" w:eastAsia="Arial" w:hAnsi="Arial"/>
          <w:sz w:val="18"/>
          <w:szCs w:val="18"/>
          <w:color w:val="auto"/>
        </w:rPr>
        <w:t>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8,345,319 shares as of February 17, 2026, but may be waived at any time by a majority of the members of the leadership development and compensation committee of the board of directors.</w:t>
      </w:r>
    </w:p>
    <w:p>
      <w:pPr>
        <w:sectPr>
          <w:pgSz w:w="11880" w:h="15480" w:orient="portrait"/>
          <w:cols w:equalWidth="0" w:num="1">
            <w:col w:w="10220"/>
          </w:cols>
          <w:pgMar w:left="820" w:top="412" w:right="84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220"/>
          </w:cols>
          <w:pgMar w:left="820" w:top="412" w:right="840" w:bottom="0" w:gutter="0" w:footer="0" w:header="0"/>
          <w:type w:val="continuous"/>
        </w:sectPr>
      </w:pPr>
    </w:p>
    <w:bookmarkStart w:id="45" w:name="page46"/>
    <w:bookmarkEnd w:id="45"/>
    <w:p>
      <w:pPr>
        <w:ind w:right="20"/>
        <w:spacing w:after="0" w:line="294" w:lineRule="auto"/>
        <w:rPr>
          <w:sz w:val="20"/>
          <w:szCs w:val="20"/>
          <w:color w:val="auto"/>
        </w:rPr>
      </w:pPr>
      <w:r>
        <w:rPr>
          <w:rFonts w:ascii="Arial" w:cs="Arial" w:eastAsia="Arial" w:hAnsi="Arial"/>
          <w:sz w:val="18"/>
          <w:szCs w:val="18"/>
          <w:color w:val="auto"/>
        </w:rPr>
        <w:t>As of February 17, 2026, Warburg Pincus and GTCR together own approximately 20.0% of our outstanding common stock and have rights to require us to file registration statements covering their shares. The investment funds and entities affiliated with the Sponsors, as well as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w:t>
      </w:r>
    </w:p>
    <w:p>
      <w:pPr>
        <w:spacing w:after="0" w:line="132" w:lineRule="exact"/>
        <w:rPr>
          <w:sz w:val="20"/>
          <w:szCs w:val="20"/>
          <w:color w:val="auto"/>
        </w:rPr>
      </w:pPr>
    </w:p>
    <w:p>
      <w:pPr>
        <w:ind w:right="180"/>
        <w:spacing w:after="0" w:line="283" w:lineRule="auto"/>
        <w:rPr>
          <w:sz w:val="20"/>
          <w:szCs w:val="20"/>
          <w:color w:val="auto"/>
        </w:rPr>
      </w:pPr>
      <w:r>
        <w:rPr>
          <w:rFonts w:ascii="Arial" w:cs="Arial" w:eastAsia="Arial" w:hAnsi="Arial"/>
          <w:sz w:val="20"/>
          <w:szCs w:val="20"/>
          <w:color w:val="auto"/>
        </w:rPr>
        <w:t>Any sales of securities by any of our stockholders described above could have a material adverse effect on the market price of our common stock.</w:t>
      </w:r>
    </w:p>
    <w:p>
      <w:pPr>
        <w:spacing w:after="0" w:line="138"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interests of our Sponsors may differ from the interests of other stockholders of the Company.</w:t>
      </w:r>
    </w:p>
    <w:p>
      <w:pPr>
        <w:spacing w:after="0" w:line="218"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As of February 17, 2026, the Sponsors own approximately 20.0% of our outstanding common stock and, collectively, retain the right to designate three of our directors. This concentration of ownership, together with the Sponsors’ rights under the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w:t>
      </w:r>
    </w:p>
    <w:p>
      <w:pPr>
        <w:spacing w:after="0" w:line="156"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This concentration of ownership, together with the Sponsors’ rights under the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the Stockholders Agreement, may adversely affect the trading price of our common stock because investors may perceive disadvantages in owning shares in a company with significant stockholders with correspondingly significant voting rights.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Certain of our stockholders have the right to engage or invest in the same or similar businesses as us.</w:t>
      </w:r>
    </w:p>
    <w:p>
      <w:pPr>
        <w:spacing w:after="0" w:line="218"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41"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w:t>
      </w:r>
    </w:p>
    <w:p>
      <w:pPr>
        <w:spacing w:after="0" w:line="140" w:lineRule="exact"/>
        <w:rPr>
          <w:sz w:val="20"/>
          <w:szCs w:val="20"/>
          <w:color w:val="auto"/>
        </w:rPr>
      </w:pPr>
    </w:p>
    <w:p>
      <w:pPr>
        <w:jc w:val="both"/>
        <w:ind w:right="80"/>
        <w:spacing w:after="0" w:line="269" w:lineRule="auto"/>
        <w:rPr>
          <w:sz w:val="20"/>
          <w:szCs w:val="20"/>
          <w:color w:val="auto"/>
        </w:rPr>
      </w:pPr>
      <w:r>
        <w:rPr>
          <w:rFonts w:ascii="Arial" w:cs="Arial" w:eastAsia="Arial" w:hAnsi="Arial"/>
          <w:sz w:val="20"/>
          <w:szCs w:val="20"/>
          <w:b w:val="1"/>
          <w:bCs w:val="1"/>
          <w:i w:val="1"/>
          <w:iCs w:val="1"/>
          <w:color w:val="auto"/>
        </w:rPr>
        <w:t>Anti-takeover provisions in our Amended and Restated Certificate of Incorporation, Amended and Restated Bylaws and the Stockholders Agreement, as well as Delaware law, could discourage a change in control of our company or a change in our management.</w:t>
      </w:r>
    </w:p>
    <w:p>
      <w:pPr>
        <w:spacing w:after="0" w:line="155" w:lineRule="exact"/>
        <w:rPr>
          <w:sz w:val="20"/>
          <w:szCs w:val="20"/>
          <w:color w:val="auto"/>
        </w:rPr>
      </w:pPr>
    </w:p>
    <w:p>
      <w:pPr>
        <w:ind w:right="180"/>
        <w:spacing w:after="0" w:line="309" w:lineRule="auto"/>
        <w:rPr>
          <w:sz w:val="20"/>
          <w:szCs w:val="20"/>
          <w:color w:val="auto"/>
        </w:rPr>
      </w:pPr>
      <w:r>
        <w:rPr>
          <w:rFonts w:ascii="Arial" w:cs="Arial" w:eastAsia="Arial" w:hAnsi="Arial"/>
          <w:sz w:val="18"/>
          <w:szCs w:val="18"/>
          <w:color w:val="auto"/>
        </w:rPr>
        <w:t>Our Amended and Restated Certificate of Incorporation, Amended and Restated Bylaws, the Stockholders Agreement and Delaware law contain provisions that might discourage, delay or prevent a merger, acquisition, or other change in control that stockholders may consider favorable, including transactions in which our stockholders might otherwise receive a premium for</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240"/>
          </w:cols>
          <w:pgMar w:left="820" w:top="412" w:right="820" w:bottom="0" w:gutter="0" w:footer="0" w:header="0"/>
          <w:type w:val="continuous"/>
        </w:sectPr>
      </w:pPr>
    </w:p>
    <w:bookmarkStart w:id="46" w:name="page47"/>
    <w:bookmarkEnd w:id="46"/>
    <w:p>
      <w:pPr>
        <w:ind w:right="140"/>
        <w:spacing w:after="0" w:line="283" w:lineRule="auto"/>
        <w:rPr>
          <w:sz w:val="20"/>
          <w:szCs w:val="20"/>
          <w:color w:val="auto"/>
        </w:rPr>
      </w:pPr>
      <w:r>
        <w:rPr>
          <w:rFonts w:ascii="Arial" w:cs="Arial" w:eastAsia="Arial" w:hAnsi="Arial"/>
          <w:sz w:val="20"/>
          <w:szCs w:val="20"/>
          <w:color w:val="auto"/>
        </w:rPr>
        <w:t>shares of our common stock. These provisions may also prevent or frustrate attempts by our stockholders to replace or remove our management. These provisions include:</w:t>
      </w:r>
    </w:p>
    <w:p>
      <w:pPr>
        <w:spacing w:after="0" w:line="58" w:lineRule="exact"/>
        <w:rPr>
          <w:sz w:val="20"/>
          <w:szCs w:val="20"/>
          <w:color w:val="auto"/>
        </w:rPr>
      </w:pPr>
    </w:p>
    <w:p>
      <w:pPr>
        <w:ind w:left="720" w:hanging="370"/>
        <w:spacing w:after="0"/>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limiting the liability of, and providing indemnification to, our directors and officers;</w:t>
      </w:r>
    </w:p>
    <w:p>
      <w:pPr>
        <w:spacing w:after="0" w:line="130" w:lineRule="exact"/>
        <w:rPr>
          <w:rFonts w:ascii="Arial" w:cs="Arial" w:eastAsia="Arial" w:hAnsi="Arial"/>
          <w:sz w:val="20"/>
          <w:szCs w:val="20"/>
          <w:color w:val="auto"/>
        </w:rPr>
      </w:pPr>
    </w:p>
    <w:p>
      <w:pPr>
        <w:ind w:left="720" w:right="960" w:hanging="370"/>
        <w:spacing w:after="0" w:line="283"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establishing a classified board of directors with three-year staggered terms, which could delay the ability of stockholders to change the membership of a majority of our board of directors;</w:t>
      </w:r>
    </w:p>
    <w:p>
      <w:pPr>
        <w:spacing w:after="0" w:line="57" w:lineRule="exact"/>
        <w:rPr>
          <w:rFonts w:ascii="Arial" w:cs="Arial" w:eastAsia="Arial" w:hAnsi="Arial"/>
          <w:sz w:val="20"/>
          <w:szCs w:val="20"/>
          <w:color w:val="auto"/>
        </w:rPr>
      </w:pPr>
    </w:p>
    <w:p>
      <w:pPr>
        <w:ind w:left="720" w:right="320" w:hanging="370"/>
        <w:spacing w:after="0" w:line="283"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providing that directors may be removed only for cause by the affirmative vote of the holders of at least 75% of the voting power of our outstanding common stock;</w:t>
      </w:r>
    </w:p>
    <w:p>
      <w:pPr>
        <w:spacing w:after="0" w:line="57" w:lineRule="exact"/>
        <w:rPr>
          <w:rFonts w:ascii="Arial" w:cs="Arial" w:eastAsia="Arial" w:hAnsi="Arial"/>
          <w:sz w:val="20"/>
          <w:szCs w:val="20"/>
          <w:color w:val="auto"/>
        </w:rPr>
      </w:pPr>
    </w:p>
    <w:p>
      <w:pPr>
        <w:ind w:left="720" w:right="180" w:hanging="370"/>
        <w:spacing w:after="0" w:line="257"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w:t>
      </w:r>
    </w:p>
    <w:p>
      <w:pPr>
        <w:spacing w:after="0" w:line="82" w:lineRule="exact"/>
        <w:rPr>
          <w:rFonts w:ascii="Arial" w:cs="Arial" w:eastAsia="Arial" w:hAnsi="Arial"/>
          <w:sz w:val="20"/>
          <w:szCs w:val="20"/>
          <w:color w:val="auto"/>
        </w:rPr>
      </w:pPr>
    </w:p>
    <w:p>
      <w:pPr>
        <w:jc w:val="both"/>
        <w:ind w:left="720" w:right="20" w:hanging="370"/>
        <w:spacing w:after="0" w:line="30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40" w:lineRule="exact"/>
        <w:rPr>
          <w:rFonts w:ascii="Arial" w:cs="Arial" w:eastAsia="Arial" w:hAnsi="Arial"/>
          <w:sz w:val="18"/>
          <w:szCs w:val="18"/>
          <w:color w:val="auto"/>
        </w:rPr>
      </w:pPr>
    </w:p>
    <w:p>
      <w:pPr>
        <w:jc w:val="both"/>
        <w:ind w:left="720" w:right="480" w:hanging="370"/>
        <w:spacing w:after="0" w:line="341"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the affirmative vote of at least 66 2/3% of the voting power of our outstanding common stock to amend certain provisions of our Amended and Restated Certificate of Incorporation and Amended and Restated Bylaws;</w:t>
      </w:r>
    </w:p>
    <w:p>
      <w:pPr>
        <w:spacing w:after="0" w:line="11" w:lineRule="exact"/>
        <w:rPr>
          <w:rFonts w:ascii="Arial" w:cs="Arial" w:eastAsia="Arial" w:hAnsi="Arial"/>
          <w:sz w:val="18"/>
          <w:szCs w:val="18"/>
          <w:color w:val="auto"/>
        </w:rPr>
      </w:pPr>
    </w:p>
    <w:p>
      <w:pPr>
        <w:ind w:left="720" w:hanging="370"/>
        <w:spacing w:after="0" w:line="28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60" w:lineRule="exact"/>
        <w:rPr>
          <w:rFonts w:ascii="Arial" w:cs="Arial" w:eastAsia="Arial" w:hAnsi="Arial"/>
          <w:sz w:val="18"/>
          <w:szCs w:val="18"/>
          <w:color w:val="auto"/>
        </w:rPr>
      </w:pPr>
    </w:p>
    <w:p>
      <w:pPr>
        <w:ind w:left="720" w:right="340" w:hanging="370"/>
        <w:spacing w:after="0" w:line="283"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right to issue blank check preferred stock without stockholder approval, which could be used to dilute the stock ownership of a potential hostile acquirer or adopt a stockholder rights plan;</w:t>
      </w:r>
    </w:p>
    <w:p>
      <w:pPr>
        <w:spacing w:after="0" w:line="57" w:lineRule="exact"/>
        <w:rPr>
          <w:rFonts w:ascii="Arial" w:cs="Arial" w:eastAsia="Arial" w:hAnsi="Arial"/>
          <w:sz w:val="20"/>
          <w:szCs w:val="20"/>
          <w:color w:val="auto"/>
        </w:rPr>
      </w:pPr>
    </w:p>
    <w:p>
      <w:pPr>
        <w:ind w:left="720" w:right="280" w:hanging="370"/>
        <w:spacing w:after="0" w:line="283"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requirement that our stockholders may only take action at annual or special meetings of our stockholders and may not act by written consent;</w:t>
      </w:r>
    </w:p>
    <w:p>
      <w:pPr>
        <w:spacing w:after="0" w:line="57" w:lineRule="exact"/>
        <w:rPr>
          <w:rFonts w:ascii="Arial" w:cs="Arial" w:eastAsia="Arial" w:hAnsi="Arial"/>
          <w:sz w:val="20"/>
          <w:szCs w:val="20"/>
          <w:color w:val="auto"/>
        </w:rPr>
      </w:pPr>
    </w:p>
    <w:p>
      <w:pPr>
        <w:ind w:left="720" w:hanging="370"/>
        <w:spacing w:after="0"/>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limiting the ability of stockholders to call and bring business before special meetings; and</w:t>
      </w:r>
    </w:p>
    <w:p>
      <w:pPr>
        <w:spacing w:after="0" w:line="130" w:lineRule="exact"/>
        <w:rPr>
          <w:rFonts w:ascii="Arial" w:cs="Arial" w:eastAsia="Arial" w:hAnsi="Arial"/>
          <w:sz w:val="20"/>
          <w:szCs w:val="20"/>
          <w:color w:val="auto"/>
        </w:rPr>
      </w:pPr>
    </w:p>
    <w:p>
      <w:pPr>
        <w:ind w:left="720" w:right="600" w:hanging="370"/>
        <w:spacing w:after="0" w:line="341"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forum to the Court of Chancery of the State of Delaware or federal court located within the State of Delaware for certain types of actions and proceedings that may be initiated against us by stockholders.</w:t>
      </w:r>
    </w:p>
    <w:p>
      <w:pPr>
        <w:spacing w:after="0" w:line="9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w:t>
      </w:r>
    </w:p>
    <w:p>
      <w:pPr>
        <w:spacing w:after="0" w:line="13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These provisions might discourage, delay or prevent a change in control of our Company or a change in our management. For example, because investment funds and entities affiliated with either Warburg Pincus or GTCR together will continue to own a substantial portion of the voting power of our common stock, they could prevent or make more difficult a third party acquisition of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240"/>
          </w:cols>
          <w:pgMar w:left="820" w:top="412" w:right="820" w:bottom="0" w:gutter="0" w:footer="0" w:header="0"/>
          <w:type w:val="continuous"/>
        </w:sectPr>
      </w:pPr>
    </w:p>
    <w:bookmarkStart w:id="47" w:name="page48"/>
    <w:bookmarkEnd w:id="47"/>
    <w:p>
      <w:pPr>
        <w:jc w:val="both"/>
        <w:ind w:right="640"/>
        <w:spacing w:after="0" w:line="289" w:lineRule="auto"/>
        <w:rPr>
          <w:sz w:val="20"/>
          <w:szCs w:val="20"/>
          <w:color w:val="auto"/>
        </w:rPr>
      </w:pPr>
      <w:r>
        <w:rPr>
          <w:rFonts w:ascii="Arial" w:cs="Arial" w:eastAsia="Arial" w:hAnsi="Arial"/>
          <w:sz w:val="19"/>
          <w:szCs w:val="19"/>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13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shall, to the fullest extent permitted by law, be the sole and exclusive forum for resolving any complaint asserting a cause of action arising under the Securities Act (the “Federal Forum Provision”).</w:t>
      </w:r>
    </w:p>
    <w:p>
      <w:pPr>
        <w:spacing w:after="0" w:line="14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132" w:lineRule="exact"/>
        <w:rPr>
          <w:sz w:val="20"/>
          <w:szCs w:val="20"/>
          <w:color w:val="auto"/>
        </w:rPr>
      </w:pPr>
    </w:p>
    <w:p>
      <w:pPr>
        <w:ind w:right="480"/>
        <w:spacing w:after="0" w:line="381" w:lineRule="auto"/>
        <w:rPr>
          <w:sz w:val="20"/>
          <w:szCs w:val="20"/>
          <w:color w:val="auto"/>
        </w:rPr>
      </w:pPr>
      <w:r>
        <w:rPr>
          <w:rFonts w:ascii="Arial" w:cs="Arial" w:eastAsia="Arial" w:hAnsi="Arial"/>
          <w:sz w:val="17"/>
          <w:szCs w:val="17"/>
          <w:b w:val="1"/>
          <w:bCs w:val="1"/>
          <w:i w:val="1"/>
          <w:iCs w:val="1"/>
          <w:color w:val="auto"/>
        </w:rPr>
        <w:t>We do not anticipate paying any dividends on our common stock in the foreseeable future, and, consequently, our stockholders’ ability to achieve a return on their investment depends on appreciation in the price of our common stock.</w:t>
      </w:r>
    </w:p>
    <w:p>
      <w:pPr>
        <w:spacing w:after="0" w:line="68"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We do not expect to declare or pay dividends on our common stock in the foreseeable future. We currently expect to use any cash flow generated by operations to pay for our operations, grow our business and repay existing indebtedness.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Combined Senior Secured Credit Facilities. As a result, capital appreciation, if any, of our common stock will be the sole source of potential gain for the foreseeable future, and our stockholders will have to sell some or all of their common stock holdings to generate cash flow from their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Risk Management and Strategy</w:t>
      </w:r>
    </w:p>
    <w:p>
      <w:pPr>
        <w:spacing w:after="0" w:line="113"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Company has an enterprise risk management (“ERM”) program that includes the processes used to identify, assess, and manage our most significant enterprise risks and uncertainties that could materially impact the long-term health of the Company or prevent the achievement of strategic objectives. These risks are identified, measured, monitored, and managed across key risk categories, which include the consideration of cybersecurity risks. The Company develops and maintains cybersecurity processes that protect the confidentiality, integrity and availability of Company, employee, customer and partner information against a growing number of cybersecurity threats and threat actors. Our cybersecurity program is designed to protect our infrastructure from potential threats, including threats associated with our third party business partners, to allow us to assess, identify and manage material risks from cybersecurity threats and to endeavor to secure the integrity of our data and IT systems using techniques, hardware, and software typical of companies of our size and scope, which are described further below. For example, we leverage the National Institute of Standards and Technology Cybersecurity Framework’s (“NIST CSF”) principles</w:t>
      </w:r>
    </w:p>
    <w:p>
      <w:pPr>
        <w:sectPr>
          <w:pgSz w:w="11880" w:h="15480" w:orient="portrait"/>
          <w:cols w:equalWidth="0" w:num="1">
            <w:col w:w="10240"/>
          </w:cols>
          <w:pgMar w:left="820" w:top="404" w:right="820" w:bottom="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240"/>
          </w:cols>
          <w:pgMar w:left="820" w:top="404" w:right="820" w:bottom="0" w:gutter="0" w:footer="0" w:header="0"/>
          <w:type w:val="continuous"/>
        </w:sectPr>
      </w:pPr>
    </w:p>
    <w:bookmarkStart w:id="48" w:name="page49"/>
    <w:bookmarkEnd w:id="48"/>
    <w:p>
      <w:pPr>
        <w:ind w:right="80"/>
        <w:spacing w:after="0" w:line="287" w:lineRule="auto"/>
        <w:rPr>
          <w:sz w:val="20"/>
          <w:szCs w:val="20"/>
          <w:color w:val="auto"/>
        </w:rPr>
      </w:pPr>
      <w:r>
        <w:rPr>
          <w:rFonts w:ascii="Arial" w:cs="Arial" w:eastAsia="Arial" w:hAnsi="Arial"/>
          <w:sz w:val="19"/>
          <w:szCs w:val="19"/>
          <w:color w:val="auto"/>
        </w:rPr>
        <w:t>in developing our cybersecurity program to monitor our security environment and manage risk. However, this does not mean that we meet any particular technical standards, specifications, or requirements, but rather that we use the NIST CSF as a guide to help us identify, assess, and manage cybersecurity risks and threats relevant to our business.</w:t>
      </w:r>
    </w:p>
    <w:p>
      <w:pPr>
        <w:spacing w:after="0" w:line="136"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The Company has adopted a risk-based strategy designed to achieve a targeted and cost-effective approach to managing cybersecurity risks that strengthens our abilities to prevent, detect, and respond to cybersecurity incidents. The Company has configured its IT environment, where possible, to restrict access using a least privileged methodology. We use various technologies and monitoring capabilities to detect anomalies and track information and assets. We have implemented a cybersecurity awareness program consisting of frequent training, phishing exercises, and bulletins regarding pertinent cybersecurity developments. We maintain and regularly update incident response, disaster recovery and business continuity plans and procedures. Our IT specialists subscribe to threat intelligence feeds and are members of cybersecurity-related associations such as the Information Systems Audit and Control Association, the Computing Technology Industry Association and the Cloud Security Alliance. We also maintain insurance coverage for cyber and data security risks of an amount and subject to conditions and exceptions that we believe are customary for companies like ours, but there can be no assurance that our levels of coverage are adequate or that we will be able to continue to maintain our existing insurance or obtain comparable insurance at a reasonable cost or at all.</w:t>
      </w:r>
    </w:p>
    <w:p>
      <w:pPr>
        <w:spacing w:after="0" w:line="163" w:lineRule="exact"/>
        <w:rPr>
          <w:sz w:val="20"/>
          <w:szCs w:val="20"/>
          <w:color w:val="auto"/>
        </w:rPr>
      </w:pPr>
    </w:p>
    <w:p>
      <w:pPr>
        <w:ind w:right="180"/>
        <w:spacing w:after="0" w:line="268" w:lineRule="auto"/>
        <w:rPr>
          <w:sz w:val="20"/>
          <w:szCs w:val="20"/>
          <w:color w:val="auto"/>
        </w:rPr>
      </w:pPr>
      <w:r>
        <w:rPr>
          <w:rFonts w:ascii="Arial" w:cs="Arial" w:eastAsia="Arial" w:hAnsi="Arial"/>
          <w:sz w:val="19"/>
          <w:szCs w:val="19"/>
          <w:color w:val="auto"/>
        </w:rPr>
        <w:t>As of the date of this filing, we do not believe that any risks from cybersecurity threats, including as a result of past cybersecurity incidents have had, or are reasonably likely to have, a material effect on our business strategy, results of operations or financial condition, but we cannot assure that our business strategy, results of operations and financial condition will not be materially affected in the future by cybersecurity risks or future cybersecurity incidents. Although we have taken and will continue to take significant steps to protect the security and integrity of our information and although we have implemented policies and procedures to enhance data privacy and security, there can be no assurance that our efforts will prevent breakdowns, system failures, breaches of our systems or other cybersecurity incidents or otherwise be fully effective. Any such breakdown, breach or cybersecurity incident could adversely affect our business strategy, prospects, financial condition or results of operations, and any insurance that we may have for cybersecurity incidents may not cover such risks or be sufficient to compensate us for losses that may occur.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Governance</w:t>
      </w:r>
    </w:p>
    <w:p>
      <w:pPr>
        <w:spacing w:after="0" w:line="113"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Our Chief Information Officer (“CIO”) is responsible for assessing and managing cybersecurity risks. The CIO is supported by the Senior Director of IT Governance, Security, and Service Delivery and the Senior Director of Global Infrastructure, and Senior Information Security Architect, who manage our day-to-day cybersecurity-related matters and keep abreast of cybersecurity news, events and incidents through regular course monitoring and updates. Our CIO has over 12 years of professional experience in various roles involving managing information security, developing cybersecurity strategy, implementing cybersecurity programs, and managing multiple industry and regulatory compliance environments. Our CIO also holds a certificate in Cyber-Risk Oversight issued by the National Association of Corporate Directors. Our Senior Director of IT Governance, Security, and Service Delivery has over 15 years of professional experience in various roles involving managing information security, developing cybersecurity strategy, implementing cybersecurity programs, and managing industry and regulatory compliance environments. Our Senior Information Security Architect has over 20 years of professional experience designing secure architecture, conducting threat and risk assessments, incident response, cyber forensics, and teaching college and university level cybersecurity program courses. Our Senior Information Security Architect also holds a diverse set of certifications, including CISSP, CISCO Security +, CISA, CEH, CompTIA Sec +, and others.</w:t>
      </w:r>
    </w:p>
    <w:p>
      <w:pPr>
        <w:spacing w:after="0" w:line="147" w:lineRule="exact"/>
        <w:rPr>
          <w:sz w:val="20"/>
          <w:szCs w:val="20"/>
          <w:color w:val="auto"/>
        </w:rPr>
      </w:pPr>
    </w:p>
    <w:p>
      <w:pPr>
        <w:ind w:right="340"/>
        <w:spacing w:after="0" w:line="279" w:lineRule="auto"/>
        <w:rPr>
          <w:sz w:val="20"/>
          <w:szCs w:val="20"/>
          <w:color w:val="auto"/>
        </w:rPr>
      </w:pPr>
      <w:r>
        <w:rPr>
          <w:rFonts w:ascii="Arial" w:cs="Arial" w:eastAsia="Arial" w:hAnsi="Arial"/>
          <w:sz w:val="19"/>
          <w:szCs w:val="19"/>
          <w:color w:val="auto"/>
        </w:rPr>
        <w:t>When detected, suspected cybersecurity threats are escalated to the CIO and incident response team. The CIO then creates a Cybersecurity Incident Response Team (“CSIRT”) which, depending on the incident, comprises the incident coordinator, cybersecurity staff, legal counsel and other stakeholders as appropriate. The CSIRT investigates and manages the impact of cybersecurity incidents in accordance with our security incident response procedures.</w:t>
      </w:r>
    </w:p>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Our board of directors and its audit committee oversee the Company’s ERM program, and the steps management has taken to monitor and mitigate such risks, including the Company’s procedures and any related policies with respect to enterprise risk assessment and risk management. The board of directors bears principal responsibility for overseeing the Company’s principal current and future risk exposures, and, on an annual basis, the board of directors reviews them, including cybersecurity risks and exposures. The board of directors’ review includes an annual session with our CIO on the Company’s procedures and policies for assessing and managing cybersecurity risks and disclosing any material cybersecurity incidents. In performing these oversight functions, the board of directors relies on advice, reports and opinions of management, counsel and our internal and external auditors, including mid-year and year-end cybersecurity inquiries by our external auditors on various aspects of the Company’s cybersecurity program, processes and training.</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240"/>
          </w:cols>
          <w:pgMar w:left="820" w:top="412" w:right="820" w:bottom="0" w:gutter="0" w:footer="0" w:header="0"/>
          <w:type w:val="continuous"/>
        </w:sectPr>
      </w:pPr>
    </w:p>
    <w:bookmarkStart w:id="49" w:name="page50"/>
    <w:bookmarkEnd w:id="49"/>
    <w:p>
      <w:pPr>
        <w:ind w:left="10"/>
        <w:spacing w:after="0"/>
        <w:rPr>
          <w:sz w:val="20"/>
          <w:szCs w:val="20"/>
          <w:color w:val="auto"/>
        </w:rPr>
      </w:pPr>
      <w:r>
        <w:rPr>
          <w:rFonts w:ascii="Arial" w:cs="Arial" w:eastAsia="Arial" w:hAnsi="Arial"/>
          <w:sz w:val="20"/>
          <w:szCs w:val="20"/>
          <w:b w:val="1"/>
          <w:bCs w:val="1"/>
          <w:i w:val="1"/>
          <w:iCs w:val="1"/>
          <w:color w:val="auto"/>
        </w:rPr>
        <w:t>Use of Independent Experts</w:t>
      </w:r>
    </w:p>
    <w:p>
      <w:pPr>
        <w:spacing w:after="0" w:line="133" w:lineRule="exact"/>
        <w:rPr>
          <w:sz w:val="20"/>
          <w:szCs w:val="20"/>
          <w:color w:val="auto"/>
        </w:rPr>
      </w:pPr>
    </w:p>
    <w:p>
      <w:pPr>
        <w:ind w:left="10" w:right="240"/>
        <w:spacing w:after="0" w:line="279" w:lineRule="auto"/>
        <w:rPr>
          <w:sz w:val="20"/>
          <w:szCs w:val="20"/>
          <w:color w:val="auto"/>
        </w:rPr>
      </w:pPr>
      <w:r>
        <w:rPr>
          <w:rFonts w:ascii="Arial" w:cs="Arial" w:eastAsia="Arial" w:hAnsi="Arial"/>
          <w:sz w:val="19"/>
          <w:szCs w:val="19"/>
          <w:color w:val="auto"/>
        </w:rPr>
        <w:t>The Company engages external resources in connection with our processes for assessing, identifying and managing material risks from cybersecurity threats. These resources include, but are not limited to, regular internal and external penetration tests and assessments of our cybersecurity program by third-party experts. We plan to continue to engage independent experts to periodically test our cybersecurity policies for their effectiveness.</w:t>
      </w:r>
    </w:p>
    <w:p>
      <w:pPr>
        <w:spacing w:after="0" w:line="17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Item 2. Properties</w:t>
      </w:r>
    </w:p>
    <w:p>
      <w:pPr>
        <w:spacing w:after="0" w:line="217" w:lineRule="exact"/>
        <w:rPr>
          <w:sz w:val="20"/>
          <w:szCs w:val="20"/>
          <w:color w:val="auto"/>
        </w:rPr>
      </w:pPr>
    </w:p>
    <w:p>
      <w:pPr>
        <w:ind w:left="10" w:right="40"/>
        <w:spacing w:after="0" w:line="257" w:lineRule="auto"/>
        <w:rPr>
          <w:sz w:val="20"/>
          <w:szCs w:val="20"/>
          <w:color w:val="auto"/>
        </w:rPr>
      </w:pPr>
      <w:r>
        <w:rPr>
          <w:rFonts w:ascii="Arial" w:cs="Arial" w:eastAsia="Arial" w:hAnsi="Arial"/>
          <w:sz w:val="20"/>
          <w:szCs w:val="20"/>
          <w:color w:val="auto"/>
        </w:rPr>
        <w:t>Our corporate headquarters is in Broadview Heights, Ohio, our Sterigenics headquarters is in Oakbrook, Illinois, our Nelson Labs headquarters is in Taylorsville, Utah and our Nordion headquarters is in Kanata, Ontario, Canada. As of December 31, 2025, we operated 62 facilities in North America, South America, Europe and Asia. The following table identified the number of owned and leased facilities, other than our headquarters listed above. We believe that our facilities are adequate for our current needs and that suitable additional or substitute space will be available as needed to accommodate our operations, subject to securing regulatory and other approvals discussed above.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Owned/Leased</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7"/>
        </w:trPr>
        <w:tc>
          <w:tcPr>
            <w:tcW w:w="40" w:type="dxa"/>
            <w:vAlign w:val="bottom"/>
          </w:tcPr>
          <w:p>
            <w:pPr>
              <w:spacing w:after="0"/>
              <w:rPr>
                <w:sz w:val="15"/>
                <w:szCs w:val="15"/>
                <w:color w:val="auto"/>
              </w:rPr>
            </w:pPr>
          </w:p>
        </w:tc>
        <w:tc>
          <w:tcPr>
            <w:tcW w:w="584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Segment</w:t>
            </w:r>
            <w:r>
              <w:rPr>
                <w:rFonts w:ascii="Arial" w:cs="Arial" w:eastAsia="Arial" w:hAnsi="Arial"/>
                <w:sz w:val="9"/>
                <w:szCs w:val="9"/>
                <w:b w:val="1"/>
                <w:bCs w:val="1"/>
                <w:color w:val="auto"/>
              </w:rPr>
              <w:t>(1)</w:t>
            </w:r>
          </w:p>
        </w:tc>
        <w:tc>
          <w:tcPr>
            <w:tcW w:w="1320" w:type="dxa"/>
            <w:vAlign w:val="bottom"/>
          </w:tcPr>
          <w:p>
            <w:pPr>
              <w:ind w:left="80"/>
              <w:spacing w:after="0" w:line="178" w:lineRule="exact"/>
              <w:rPr>
                <w:sz w:val="20"/>
                <w:szCs w:val="20"/>
                <w:color w:val="auto"/>
              </w:rPr>
            </w:pPr>
            <w:r>
              <w:rPr>
                <w:rFonts w:ascii="Arial" w:cs="Arial" w:eastAsia="Arial" w:hAnsi="Arial"/>
                <w:sz w:val="16"/>
                <w:szCs w:val="16"/>
                <w:b w:val="1"/>
                <w:bCs w:val="1"/>
                <w:color w:val="auto"/>
                <w:w w:val="96"/>
              </w:rPr>
              <w:t>Owned Facilities</w:t>
            </w:r>
          </w:p>
        </w:tc>
        <w:tc>
          <w:tcPr>
            <w:tcW w:w="220" w:type="dxa"/>
            <w:vAlign w:val="bottom"/>
          </w:tcPr>
          <w:p>
            <w:pPr>
              <w:spacing w:after="0"/>
              <w:rPr>
                <w:sz w:val="15"/>
                <w:szCs w:val="15"/>
                <w:color w:val="auto"/>
              </w:rPr>
            </w:pPr>
          </w:p>
        </w:tc>
        <w:tc>
          <w:tcPr>
            <w:tcW w:w="130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91"/>
              </w:rPr>
              <w:t>Facilities</w:t>
            </w:r>
            <w:r>
              <w:rPr>
                <w:rFonts w:ascii="Arial" w:cs="Arial" w:eastAsia="Arial" w:hAnsi="Arial"/>
                <w:sz w:val="10"/>
                <w:szCs w:val="10"/>
                <w:b w:val="1"/>
                <w:bCs w:val="1"/>
                <w:color w:val="auto"/>
                <w:w w:val="91"/>
              </w:rPr>
              <w:t>(2)</w:t>
            </w:r>
          </w:p>
        </w:tc>
        <w:tc>
          <w:tcPr>
            <w:tcW w:w="220" w:type="dxa"/>
            <w:vAlign w:val="bottom"/>
          </w:tcPr>
          <w:p>
            <w:pPr>
              <w:spacing w:after="0"/>
              <w:rPr>
                <w:sz w:val="15"/>
                <w:szCs w:val="15"/>
                <w:color w:val="auto"/>
              </w:rPr>
            </w:pPr>
          </w:p>
        </w:tc>
        <w:tc>
          <w:tcPr>
            <w:tcW w:w="1320" w:type="dxa"/>
            <w:vAlign w:val="bottom"/>
          </w:tcPr>
          <w:p>
            <w:pPr>
              <w:ind w:left="100"/>
              <w:spacing w:after="0" w:line="178" w:lineRule="exact"/>
              <w:rPr>
                <w:sz w:val="20"/>
                <w:szCs w:val="20"/>
                <w:color w:val="auto"/>
              </w:rPr>
            </w:pPr>
            <w:r>
              <w:rPr>
                <w:rFonts w:ascii="Arial" w:cs="Arial" w:eastAsia="Arial" w:hAnsi="Arial"/>
                <w:sz w:val="16"/>
                <w:szCs w:val="16"/>
                <w:b w:val="1"/>
                <w:bCs w:val="1"/>
                <w:color w:val="auto"/>
                <w:w w:val="93"/>
              </w:rPr>
              <w:t>Leased Facilities</w:t>
            </w: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5"/>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85"/>
        </w:trPr>
        <w:tc>
          <w:tcPr>
            <w:tcW w:w="40" w:type="dxa"/>
            <w:vAlign w:val="bottom"/>
            <w:shd w:val="clear" w:color="auto" w:fill="D2EEF5"/>
          </w:tcPr>
          <w:p>
            <w:pPr>
              <w:spacing w:after="0"/>
              <w:rPr>
                <w:sz w:val="24"/>
                <w:szCs w:val="24"/>
                <w:color w:val="auto"/>
              </w:rPr>
            </w:pPr>
          </w:p>
        </w:tc>
        <w:tc>
          <w:tcPr>
            <w:tcW w:w="584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Sterigenics</w:t>
            </w:r>
          </w:p>
        </w:tc>
        <w:tc>
          <w:tcPr>
            <w:tcW w:w="1320" w:type="dxa"/>
            <w:vAlign w:val="bottom"/>
            <w:shd w:val="clear" w:color="auto" w:fill="D2EEF5"/>
          </w:tcPr>
          <w:p>
            <w:pPr>
              <w:jc w:val="center"/>
              <w:spacing w:after="0"/>
              <w:rPr>
                <w:sz w:val="20"/>
                <w:szCs w:val="20"/>
                <w:color w:val="auto"/>
              </w:rPr>
            </w:pPr>
            <w:r>
              <w:rPr>
                <w:rFonts w:ascii="Arial" w:cs="Arial" w:eastAsia="Arial" w:hAnsi="Arial"/>
                <w:sz w:val="20"/>
                <w:szCs w:val="20"/>
                <w:color w:val="auto"/>
                <w:w w:val="89"/>
              </w:rPr>
              <w:t>30</w:t>
            </w:r>
          </w:p>
        </w:tc>
        <w:tc>
          <w:tcPr>
            <w:tcW w:w="1520" w:type="dxa"/>
            <w:vAlign w:val="bottom"/>
            <w:gridSpan w:val="2"/>
            <w:shd w:val="clear" w:color="auto" w:fill="D2EEF5"/>
          </w:tcPr>
          <w:p>
            <w:pPr>
              <w:jc w:val="center"/>
              <w:ind w:left="160"/>
              <w:spacing w:after="0"/>
              <w:rPr>
                <w:sz w:val="20"/>
                <w:szCs w:val="20"/>
                <w:color w:val="auto"/>
              </w:rPr>
            </w:pPr>
            <w:r>
              <w:rPr>
                <w:rFonts w:ascii="Arial" w:cs="Arial" w:eastAsia="Arial" w:hAnsi="Arial"/>
                <w:sz w:val="20"/>
                <w:szCs w:val="20"/>
                <w:color w:val="auto"/>
                <w:w w:val="89"/>
              </w:rPr>
              <w:t>3</w:t>
            </w:r>
          </w:p>
        </w:tc>
        <w:tc>
          <w:tcPr>
            <w:tcW w:w="1540" w:type="dxa"/>
            <w:vAlign w:val="bottom"/>
            <w:gridSpan w:val="2"/>
            <w:shd w:val="clear" w:color="auto" w:fill="D2EEF5"/>
          </w:tcPr>
          <w:p>
            <w:pPr>
              <w:jc w:val="center"/>
              <w:ind w:left="160"/>
              <w:spacing w:after="0"/>
              <w:rPr>
                <w:sz w:val="20"/>
                <w:szCs w:val="20"/>
                <w:color w:val="auto"/>
              </w:rPr>
            </w:pPr>
            <w:r>
              <w:rPr>
                <w:rFonts w:ascii="Arial" w:cs="Arial" w:eastAsia="Arial" w:hAnsi="Arial"/>
                <w:sz w:val="20"/>
                <w:szCs w:val="20"/>
                <w:color w:val="auto"/>
                <w:w w:val="89"/>
              </w:rPr>
              <w:t>15</w:t>
            </w:r>
          </w:p>
        </w:tc>
      </w:tr>
      <w:tr>
        <w:trPr>
          <w:trHeight w:val="278"/>
        </w:trPr>
        <w:tc>
          <w:tcPr>
            <w:tcW w:w="4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20"/>
                <w:szCs w:val="20"/>
                <w:color w:val="auto"/>
              </w:rPr>
              <w:t>Nelson Labs</w:t>
            </w:r>
          </w:p>
        </w:tc>
        <w:tc>
          <w:tcPr>
            <w:tcW w:w="1320" w:type="dxa"/>
            <w:vAlign w:val="bottom"/>
          </w:tcPr>
          <w:p>
            <w:pPr>
              <w:jc w:val="center"/>
              <w:spacing w:after="0"/>
              <w:rPr>
                <w:sz w:val="20"/>
                <w:szCs w:val="20"/>
                <w:color w:val="auto"/>
              </w:rPr>
            </w:pPr>
            <w:r>
              <w:rPr>
                <w:rFonts w:ascii="Arial" w:cs="Arial" w:eastAsia="Arial" w:hAnsi="Arial"/>
                <w:sz w:val="20"/>
                <w:szCs w:val="20"/>
                <w:color w:val="auto"/>
                <w:w w:val="89"/>
              </w:rPr>
              <w:t>5</w:t>
            </w:r>
          </w:p>
        </w:tc>
        <w:tc>
          <w:tcPr>
            <w:tcW w:w="1520" w:type="dxa"/>
            <w:vAlign w:val="bottom"/>
            <w:gridSpan w:val="2"/>
          </w:tcPr>
          <w:p>
            <w:pPr>
              <w:jc w:val="center"/>
              <w:ind w:left="160"/>
              <w:spacing w:after="0"/>
              <w:rPr>
                <w:sz w:val="20"/>
                <w:szCs w:val="20"/>
                <w:color w:val="auto"/>
              </w:rPr>
            </w:pPr>
            <w:r>
              <w:rPr>
                <w:rFonts w:ascii="Arial" w:cs="Arial" w:eastAsia="Arial" w:hAnsi="Arial"/>
                <w:sz w:val="20"/>
                <w:szCs w:val="20"/>
                <w:color w:val="auto"/>
                <w:w w:val="89"/>
              </w:rPr>
              <w:t>1</w:t>
            </w:r>
          </w:p>
        </w:tc>
        <w:tc>
          <w:tcPr>
            <w:tcW w:w="1540" w:type="dxa"/>
            <w:vAlign w:val="bottom"/>
            <w:gridSpan w:val="2"/>
          </w:tcPr>
          <w:p>
            <w:pPr>
              <w:jc w:val="center"/>
              <w:ind w:left="140"/>
              <w:spacing w:after="0"/>
              <w:rPr>
                <w:sz w:val="20"/>
                <w:szCs w:val="20"/>
                <w:color w:val="auto"/>
              </w:rPr>
            </w:pPr>
            <w:r>
              <w:rPr>
                <w:rFonts w:ascii="Arial" w:cs="Arial" w:eastAsia="Arial" w:hAnsi="Arial"/>
                <w:sz w:val="20"/>
                <w:szCs w:val="20"/>
                <w:color w:val="auto"/>
                <w:w w:val="89"/>
              </w:rPr>
              <w:t>6</w:t>
            </w:r>
          </w:p>
        </w:tc>
      </w:tr>
      <w:tr>
        <w:trPr>
          <w:trHeight w:val="292"/>
        </w:trPr>
        <w:tc>
          <w:tcPr>
            <w:tcW w:w="40" w:type="dxa"/>
            <w:vAlign w:val="bottom"/>
            <w:shd w:val="clear" w:color="auto" w:fill="D2EEF5"/>
          </w:tcPr>
          <w:p>
            <w:pPr>
              <w:spacing w:after="0"/>
              <w:rPr>
                <w:sz w:val="24"/>
                <w:szCs w:val="24"/>
                <w:color w:val="auto"/>
              </w:rPr>
            </w:pPr>
          </w:p>
        </w:tc>
        <w:tc>
          <w:tcPr>
            <w:tcW w:w="584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Nordion</w:t>
            </w:r>
          </w:p>
        </w:tc>
        <w:tc>
          <w:tcPr>
            <w:tcW w:w="1320" w:type="dxa"/>
            <w:vAlign w:val="bottom"/>
            <w:shd w:val="clear" w:color="auto" w:fill="D2EEF5"/>
          </w:tcPr>
          <w:p>
            <w:pPr>
              <w:jc w:val="center"/>
              <w:spacing w:after="0"/>
              <w:rPr>
                <w:sz w:val="20"/>
                <w:szCs w:val="20"/>
                <w:color w:val="auto"/>
              </w:rPr>
            </w:pPr>
            <w:r>
              <w:rPr>
                <w:rFonts w:ascii="Arial" w:cs="Arial" w:eastAsia="Arial" w:hAnsi="Arial"/>
                <w:sz w:val="20"/>
                <w:szCs w:val="20"/>
                <w:color w:val="auto"/>
                <w:w w:val="89"/>
              </w:rPr>
              <w:t>1</w:t>
            </w:r>
          </w:p>
        </w:tc>
        <w:tc>
          <w:tcPr>
            <w:tcW w:w="220" w:type="dxa"/>
            <w:vAlign w:val="bottom"/>
            <w:shd w:val="clear" w:color="auto" w:fill="D2EEF5"/>
          </w:tcPr>
          <w:p>
            <w:pPr>
              <w:spacing w:after="0"/>
              <w:rPr>
                <w:sz w:val="24"/>
                <w:szCs w:val="24"/>
                <w:color w:val="auto"/>
              </w:rPr>
            </w:pPr>
          </w:p>
        </w:tc>
        <w:tc>
          <w:tcPr>
            <w:tcW w:w="1300" w:type="dxa"/>
            <w:vAlign w:val="bottom"/>
            <w:shd w:val="clear" w:color="auto" w:fill="D2EEF5"/>
          </w:tcPr>
          <w:p>
            <w:pPr>
              <w:jc w:val="center"/>
              <w:spacing w:after="0"/>
              <w:rPr>
                <w:sz w:val="20"/>
                <w:szCs w:val="20"/>
                <w:color w:val="auto"/>
              </w:rPr>
            </w:pPr>
            <w:r>
              <w:rPr>
                <w:rFonts w:ascii="Arial" w:cs="Arial" w:eastAsia="Arial" w:hAnsi="Arial"/>
                <w:sz w:val="20"/>
                <w:szCs w:val="20"/>
                <w:color w:val="auto"/>
                <w:w w:val="99"/>
              </w:rPr>
              <w:t>—</w:t>
            </w:r>
          </w:p>
        </w:tc>
        <w:tc>
          <w:tcPr>
            <w:tcW w:w="1540" w:type="dxa"/>
            <w:vAlign w:val="bottom"/>
            <w:gridSpan w:val="2"/>
            <w:shd w:val="clear" w:color="auto" w:fill="D2EEF5"/>
          </w:tcPr>
          <w:p>
            <w:pPr>
              <w:jc w:val="center"/>
              <w:ind w:left="140"/>
              <w:spacing w:after="0"/>
              <w:rPr>
                <w:sz w:val="20"/>
                <w:szCs w:val="20"/>
                <w:color w:val="auto"/>
              </w:rPr>
            </w:pPr>
            <w:r>
              <w:rPr>
                <w:rFonts w:ascii="Arial" w:cs="Arial" w:eastAsia="Arial" w:hAnsi="Arial"/>
                <w:sz w:val="20"/>
                <w:szCs w:val="20"/>
                <w:color w:val="auto"/>
                <w:w w:val="89"/>
              </w:rPr>
              <w:t>1</w:t>
            </w:r>
          </w:p>
        </w:tc>
      </w:tr>
    </w:tbl>
    <w:p>
      <w:pPr>
        <w:spacing w:after="0" w:line="57" w:lineRule="exact"/>
        <w:rPr>
          <w:sz w:val="20"/>
          <w:szCs w:val="20"/>
          <w:color w:val="auto"/>
        </w:rPr>
      </w:pPr>
    </w:p>
    <w:p>
      <w:pPr>
        <w:ind w:left="450" w:right="260" w:hanging="450"/>
        <w:spacing w:after="0" w:line="294" w:lineRule="auto"/>
        <w:tabs>
          <w:tab w:leader="none" w:pos="45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Seven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w:t>
      </w:r>
    </w:p>
    <w:p>
      <w:pPr>
        <w:spacing w:after="0" w:line="1" w:lineRule="exact"/>
        <w:rPr>
          <w:rFonts w:ascii="Arial" w:cs="Arial" w:eastAsia="Arial" w:hAnsi="Arial"/>
          <w:sz w:val="17"/>
          <w:szCs w:val="17"/>
          <w:color w:val="auto"/>
        </w:rPr>
      </w:pPr>
    </w:p>
    <w:p>
      <w:pPr>
        <w:ind w:left="450" w:hanging="450"/>
        <w:spacing w:after="0"/>
        <w:tabs>
          <w:tab w:leader="none" w:pos="45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Owned/leased facilities are comprised of multiple buildings, with some leased and some owned.</w:t>
      </w:r>
    </w:p>
    <w:p>
      <w:pPr>
        <w:spacing w:after="0" w:line="24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Item 3. Legal Proceedings</w:t>
      </w:r>
    </w:p>
    <w:p>
      <w:pPr>
        <w:spacing w:after="0" w:line="217" w:lineRule="exact"/>
        <w:rPr>
          <w:sz w:val="20"/>
          <w:szCs w:val="20"/>
          <w:color w:val="auto"/>
        </w:rPr>
      </w:pPr>
    </w:p>
    <w:p>
      <w:pPr>
        <w:ind w:left="10" w:right="140"/>
        <w:spacing w:after="0" w:line="270" w:lineRule="auto"/>
        <w:rPr>
          <w:sz w:val="20"/>
          <w:szCs w:val="20"/>
          <w:color w:val="auto"/>
        </w:rPr>
      </w:pPr>
      <w:r>
        <w:rPr>
          <w:rFonts w:ascii="Arial" w:cs="Arial" w:eastAsia="Arial" w:hAnsi="Arial"/>
          <w:sz w:val="19"/>
          <w:szCs w:val="19"/>
          <w:color w:val="auto"/>
        </w:rPr>
        <w:t>From time to time, we may be subject to various legal proceedings arising in the ordinary course of our business, including claims relating to personal injury, property damage, workers’ compensation,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disclosed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w:t>
      </w:r>
    </w:p>
    <w:p>
      <w:pPr>
        <w:spacing w:after="0" w:line="16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Legal Proceedings Described in Note 19, “Commitments and Contingencies,” of Our Consolidated Financial Statements</w:t>
      </w:r>
    </w:p>
    <w:p>
      <w:pPr>
        <w:spacing w:after="0" w:line="241" w:lineRule="exact"/>
        <w:rPr>
          <w:sz w:val="20"/>
          <w:szCs w:val="20"/>
          <w:color w:val="auto"/>
        </w:rPr>
      </w:pPr>
    </w:p>
    <w:p>
      <w:pPr>
        <w:ind w:left="10" w:right="80"/>
        <w:spacing w:after="0" w:line="289" w:lineRule="auto"/>
        <w:rPr>
          <w:sz w:val="20"/>
          <w:szCs w:val="20"/>
          <w:color w:val="auto"/>
        </w:rPr>
      </w:pPr>
      <w:r>
        <w:rPr>
          <w:rFonts w:ascii="Arial" w:cs="Arial" w:eastAsia="Arial" w:hAnsi="Arial"/>
          <w:sz w:val="19"/>
          <w:szCs w:val="19"/>
          <w:color w:val="auto"/>
        </w:rPr>
        <w:t xml:space="preserve">Note 19, “Commitments and Contingencies,” </w:t>
      </w:r>
      <w:r>
        <w:rPr>
          <w:rFonts w:ascii="Arial" w:cs="Arial" w:eastAsia="Arial" w:hAnsi="Arial"/>
          <w:sz w:val="21"/>
          <w:szCs w:val="21"/>
          <w:color w:val="auto"/>
        </w:rPr>
        <w:t>t</w:t>
      </w:r>
      <w:r>
        <w:rPr>
          <w:rFonts w:ascii="Arial" w:cs="Arial" w:eastAsia="Arial" w:hAnsi="Arial"/>
          <w:sz w:val="19"/>
          <w:szCs w:val="19"/>
          <w:color w:val="auto"/>
        </w:rPr>
        <w:t>o our consolidated financial statements for the year ended December 31, 2025 contained in this Annual Report on Form 10-K includes information on legal proceedings that constitute material contingencies for financial reporting purposes that could have a material effect on our financial condition or results of operations. This Item should be read in conjunction with Note 19, “Commitments and Contingencies,” for information regarding the following legal proceedings, which information is incorporated into this Item 3 by reference:</w:t>
      </w:r>
    </w:p>
    <w:p>
      <w:pPr>
        <w:spacing w:after="0" w:line="197" w:lineRule="exact"/>
        <w:rPr>
          <w:sz w:val="20"/>
          <w:szCs w:val="20"/>
          <w:color w:val="auto"/>
        </w:rPr>
      </w:pPr>
    </w:p>
    <w:p>
      <w:pPr>
        <w:ind w:left="730" w:hanging="370"/>
        <w:spacing w:after="0"/>
        <w:tabs>
          <w:tab w:leader="none" w:pos="730" w:val="left"/>
        </w:tabs>
        <w:numPr>
          <w:ilvl w:val="0"/>
          <w:numId w:val="26"/>
        </w:numPr>
        <w:rPr>
          <w:rFonts w:ascii="Arial" w:cs="Arial" w:eastAsia="Arial" w:hAnsi="Arial"/>
          <w:sz w:val="24"/>
          <w:szCs w:val="24"/>
          <w:b w:val="1"/>
          <w:bCs w:val="1"/>
          <w:color w:val="auto"/>
        </w:rPr>
      </w:pPr>
      <w:r>
        <w:rPr>
          <w:rFonts w:ascii="Arial" w:cs="Arial" w:eastAsia="Arial" w:hAnsi="Arial"/>
          <w:sz w:val="20"/>
          <w:szCs w:val="20"/>
          <w:color w:val="auto"/>
        </w:rPr>
        <w:t>Ethylene Oxide Tort Litigation – California, Georgia, Illinois and New Mexico;</w:t>
      </w:r>
    </w:p>
    <w:p>
      <w:pPr>
        <w:spacing w:after="0" w:line="17" w:lineRule="exact"/>
        <w:rPr>
          <w:rFonts w:ascii="Arial" w:cs="Arial" w:eastAsia="Arial" w:hAnsi="Arial"/>
          <w:sz w:val="24"/>
          <w:szCs w:val="24"/>
          <w:b w:val="1"/>
          <w:bCs w:val="1"/>
          <w:color w:val="auto"/>
        </w:rPr>
      </w:pPr>
    </w:p>
    <w:p>
      <w:pPr>
        <w:ind w:left="730" w:hanging="370"/>
        <w:spacing w:after="0" w:line="227" w:lineRule="auto"/>
        <w:tabs>
          <w:tab w:leader="none" w:pos="730" w:val="left"/>
        </w:tabs>
        <w:numPr>
          <w:ilvl w:val="0"/>
          <w:numId w:val="26"/>
        </w:numPr>
        <w:rPr>
          <w:rFonts w:ascii="Arial" w:cs="Arial" w:eastAsia="Arial" w:hAnsi="Arial"/>
          <w:sz w:val="24"/>
          <w:szCs w:val="24"/>
          <w:color w:val="auto"/>
        </w:rPr>
      </w:pPr>
      <w:r>
        <w:rPr>
          <w:rFonts w:ascii="Arial" w:cs="Arial" w:eastAsia="Arial" w:hAnsi="Arial"/>
          <w:sz w:val="20"/>
          <w:szCs w:val="20"/>
          <w:color w:val="auto"/>
        </w:rPr>
        <w:t>Insurance Coverage for Environmental Liabilities; and</w:t>
      </w:r>
    </w:p>
    <w:p>
      <w:pPr>
        <w:spacing w:after="0" w:line="20" w:lineRule="exact"/>
        <w:rPr>
          <w:rFonts w:ascii="Arial" w:cs="Arial" w:eastAsia="Arial" w:hAnsi="Arial"/>
          <w:sz w:val="24"/>
          <w:szCs w:val="24"/>
          <w:color w:val="auto"/>
        </w:rPr>
      </w:pPr>
    </w:p>
    <w:p>
      <w:pPr>
        <w:ind w:left="730" w:hanging="370"/>
        <w:spacing w:after="0"/>
        <w:tabs>
          <w:tab w:leader="none" w:pos="730" w:val="left"/>
        </w:tabs>
        <w:numPr>
          <w:ilvl w:val="0"/>
          <w:numId w:val="26"/>
        </w:numPr>
        <w:rPr>
          <w:rFonts w:ascii="Arial" w:cs="Arial" w:eastAsia="Arial" w:hAnsi="Arial"/>
          <w:sz w:val="24"/>
          <w:szCs w:val="24"/>
          <w:b w:val="1"/>
          <w:bCs w:val="1"/>
          <w:color w:val="auto"/>
        </w:rPr>
      </w:pPr>
      <w:r>
        <w:rPr>
          <w:rFonts w:ascii="Arial" w:cs="Arial" w:eastAsia="Arial" w:hAnsi="Arial"/>
          <w:sz w:val="20"/>
          <w:szCs w:val="20"/>
          <w:color w:val="auto"/>
        </w:rPr>
        <w:t>Sotera Health Company Securities Litigation and Related Matters.</w:t>
      </w:r>
    </w:p>
    <w:p>
      <w:pPr>
        <w:spacing w:after="0" w:line="201" w:lineRule="exact"/>
        <w:rPr>
          <w:sz w:val="20"/>
          <w:szCs w:val="20"/>
          <w:color w:val="auto"/>
        </w:rPr>
      </w:pPr>
    </w:p>
    <w:p>
      <w:pPr>
        <w:ind w:left="10" w:right="700"/>
        <w:spacing w:after="0" w:line="294" w:lineRule="auto"/>
        <w:rPr>
          <w:sz w:val="20"/>
          <w:szCs w:val="20"/>
          <w:color w:val="auto"/>
        </w:rPr>
      </w:pPr>
      <w:r>
        <w:rPr>
          <w:rFonts w:ascii="Arial" w:cs="Arial" w:eastAsia="Arial" w:hAnsi="Arial"/>
          <w:sz w:val="20"/>
          <w:szCs w:val="20"/>
          <w:b w:val="1"/>
          <w:bCs w:val="1"/>
          <w:color w:val="auto"/>
        </w:rPr>
        <w:t>Legal Proceedings Not Described in Note 19, “Commitments and Contingencies,” to Our Consolidated Financial Statements</w:t>
      </w:r>
    </w:p>
    <w:p>
      <w:pPr>
        <w:spacing w:after="0" w:line="144" w:lineRule="exact"/>
        <w:rPr>
          <w:sz w:val="20"/>
          <w:szCs w:val="20"/>
          <w:color w:val="auto"/>
        </w:rPr>
      </w:pPr>
    </w:p>
    <w:p>
      <w:pPr>
        <w:ind w:left="10" w:right="40"/>
        <w:spacing w:after="0" w:line="297" w:lineRule="auto"/>
        <w:rPr>
          <w:sz w:val="20"/>
          <w:szCs w:val="20"/>
          <w:color w:val="auto"/>
        </w:rPr>
      </w:pPr>
      <w:r>
        <w:rPr>
          <w:rFonts w:ascii="Arial" w:cs="Arial" w:eastAsia="Arial" w:hAnsi="Arial"/>
          <w:sz w:val="18"/>
          <w:szCs w:val="18"/>
          <w:color w:val="auto"/>
        </w:rPr>
        <w:t>In addition to the matters identified in Note 19, “Commitments and Contingencies,” to our consolidated financial statements for the year ended December 31, 2025 contained in this Annual Report on Form 10-K, and incorporated into this Item 3 by reference, we report matters, if any, that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w:t>
      </w:r>
    </w:p>
    <w:p>
      <w:pPr>
        <w:sectPr>
          <w:pgSz w:w="11880" w:h="15480" w:orient="portrait"/>
          <w:cols w:equalWidth="0" w:num="1">
            <w:col w:w="10270"/>
          </w:cols>
          <w:pgMar w:left="810" w:top="409" w:right="80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270"/>
          </w:cols>
          <w:pgMar w:left="810" w:top="409" w:right="800" w:bottom="0" w:gutter="0" w:footer="0" w:header="0"/>
          <w:type w:val="continuous"/>
        </w:sectPr>
      </w:pPr>
    </w:p>
    <w:bookmarkStart w:id="50" w:name="page51"/>
    <w:bookmarkEnd w:id="50"/>
    <w:p>
      <w:pPr>
        <w:spacing w:after="0" w:line="341" w:lineRule="auto"/>
        <w:rPr>
          <w:sz w:val="20"/>
          <w:szCs w:val="20"/>
          <w:color w:val="auto"/>
        </w:rPr>
      </w:pPr>
      <w:r>
        <w:rPr>
          <w:rFonts w:ascii="Arial" w:cs="Arial" w:eastAsia="Arial" w:hAnsi="Arial"/>
          <w:sz w:val="18"/>
          <w:szCs w:val="18"/>
          <w:color w:val="auto"/>
        </w:rPr>
        <w:t>believes will exceed a specified threshold. The Company uses a threshold of $1.0 million to determine whether the disclosure of any such proceedings is required because we believe matters under this threshold are not material to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240"/>
          </w:cols>
          <w:pgMar w:left="820" w:top="412" w:right="820" w:bottom="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20"/>
          <w:szCs w:val="20"/>
          <w:b w:val="1"/>
          <w:bCs w:val="1"/>
          <w:color w:val="auto"/>
        </w:rPr>
        <w:t>Part II</w:t>
      </w:r>
    </w:p>
    <w:p>
      <w:pPr>
        <w:spacing w:after="0" w:line="277" w:lineRule="exact"/>
        <w:rPr>
          <w:sz w:val="20"/>
          <w:szCs w:val="20"/>
          <w:color w:val="auto"/>
        </w:rPr>
      </w:pPr>
    </w:p>
    <w:p>
      <w:pPr>
        <w:ind w:right="780"/>
        <w:spacing w:after="0" w:line="283"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for Common Stock</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The Company’s common stock is listed on the Nasdaq under the ticker symbol “SHC.”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w:t>
      </w:r>
    </w:p>
    <w:p>
      <w:pPr>
        <w:spacing w:after="0" w:line="257" w:lineRule="exact"/>
        <w:rPr>
          <w:sz w:val="20"/>
          <w:szCs w:val="20"/>
          <w:color w:val="auto"/>
        </w:rPr>
      </w:pPr>
    </w:p>
    <w:p>
      <w:pPr>
        <w:ind w:right="220"/>
        <w:spacing w:after="0" w:line="341" w:lineRule="auto"/>
        <w:rPr>
          <w:sz w:val="20"/>
          <w:szCs w:val="20"/>
          <w:color w:val="auto"/>
        </w:rPr>
      </w:pPr>
      <w:r>
        <w:rPr>
          <w:rFonts w:ascii="Arial" w:cs="Arial" w:eastAsia="Arial" w:hAnsi="Arial"/>
          <w:sz w:val="18"/>
          <w:szCs w:val="18"/>
          <w:color w:val="auto"/>
        </w:rPr>
        <w:t>As of February 17, 2026, we had approximately 75 holders of record of our common stock. This number does not include the beneficial owners of our common stock who hold their shares through banks, brokers or other financial institutions.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17" w:lineRule="exact"/>
        <w:rPr>
          <w:sz w:val="20"/>
          <w:szCs w:val="20"/>
          <w:color w:val="auto"/>
        </w:rPr>
      </w:pPr>
    </w:p>
    <w:p>
      <w:pPr>
        <w:jc w:val="both"/>
        <w:ind w:right="320"/>
        <w:spacing w:after="0" w:line="283" w:lineRule="auto"/>
        <w:rPr>
          <w:sz w:val="20"/>
          <w:szCs w:val="20"/>
          <w:color w:val="auto"/>
        </w:rPr>
      </w:pPr>
      <w:r>
        <w:rPr>
          <w:rFonts w:ascii="Arial" w:cs="Arial" w:eastAsia="Arial" w:hAnsi="Arial"/>
          <w:sz w:val="20"/>
          <w:szCs w:val="20"/>
          <w:color w:val="auto"/>
        </w:rPr>
        <w:t>We do not currently expect to pay any dividends on our common stock. Instead, we intend to use any future earnings for the operation and growth of our business and the repayment of indebtedness.</w:t>
      </w:r>
    </w:p>
    <w:p>
      <w:pPr>
        <w:spacing w:after="0" w:line="138" w:lineRule="exact"/>
        <w:rPr>
          <w:sz w:val="20"/>
          <w:szCs w:val="20"/>
          <w:color w:val="auto"/>
        </w:rPr>
      </w:pPr>
    </w:p>
    <w:p>
      <w:pPr>
        <w:jc w:val="both"/>
        <w:ind w:right="340"/>
        <w:spacing w:after="0" w:line="309" w:lineRule="auto"/>
        <w:rPr>
          <w:sz w:val="20"/>
          <w:szCs w:val="20"/>
          <w:color w:val="auto"/>
        </w:rPr>
      </w:pPr>
      <w:r>
        <w:rPr>
          <w:rFonts w:ascii="Arial" w:cs="Arial" w:eastAsia="Arial" w:hAnsi="Arial"/>
          <w:sz w:val="18"/>
          <w:szCs w:val="18"/>
          <w:color w:val="auto"/>
        </w:rPr>
        <w:t>Future cash dividends on our common stock,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w:t>
      </w:r>
    </w:p>
    <w:p>
      <w:pPr>
        <w:spacing w:after="0" w:line="121"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217"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color w:val="auto"/>
        </w:rPr>
        <w:t>The following performance graph compares the cumulative total return to stockholders on our common stock relative to the cumulative total returns of the Nasdaq Composite Index and the Standard and Poor’s 500 Health Care Index. An investment of $100 (with reinvestment of all dividends) is assumed to have been made in our common stock and in each index on November 20, 2020, the date our common stock began trading on the Nasdaq, and its relative performance is tracked through December 31, 2025. The returns shown are based on historical results and are not intended to suggest future performance.</w:t>
      </w:r>
    </w:p>
    <w:p>
      <w:pPr>
        <w:sectPr>
          <w:pgSz w:w="11880" w:h="15480" w:orient="portrait"/>
          <w:cols w:equalWidth="0" w:num="1">
            <w:col w:w="10240"/>
          </w:cols>
          <w:pgMar w:left="820" w:top="40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240"/>
          </w:cols>
          <w:pgMar w:left="820" w:top="405" w:right="820" w:bottom="0"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513715</wp:posOffset>
            </wp:positionH>
            <wp:positionV relativeFrom="page">
              <wp:posOffset>301625</wp:posOffset>
            </wp:positionV>
            <wp:extent cx="6516370" cy="4736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516370" cy="473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66" w:lineRule="auto"/>
        <w:rPr>
          <w:sz w:val="20"/>
          <w:szCs w:val="20"/>
          <w:color w:val="auto"/>
        </w:rPr>
      </w:pPr>
      <w:r>
        <w:rPr>
          <w:rFonts w:ascii="Arial" w:cs="Arial" w:eastAsia="Arial" w:hAnsi="Arial"/>
          <w:sz w:val="20"/>
          <w:szCs w:val="20"/>
          <w:color w:val="auto"/>
        </w:rPr>
        <w:t>The performance graph and other information furnished under this Part II Item 5 of this Annual Report on Form 10-K shall not be deemed to be “soliciting material” or to be “filed” with the SEC or subject to Regulation 14A or 14C under, or to the liabilities of Section 18 of,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44"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i w:val="1"/>
          <w:iCs w:val="1"/>
          <w:color w:val="auto"/>
        </w:rPr>
        <w:t>You should read this Management’s Discussion and Analysis (“MD&amp;A”) in conjunction with our consolidated financial statements and related notes included elsewhere in this Annual Report on Form 10-K. This MD&amp;A contains forward-looking statements that are based on management’s current expectations, estimates and projections about our business and operations. Our actual results may differ materially from those currently anticipated and expressed in such forward-looking statements as</w:t>
      </w:r>
    </w:p>
    <w:p>
      <w:pPr>
        <w:spacing w:after="0" w:line="2" w:lineRule="exact"/>
        <w:rPr>
          <w:sz w:val="20"/>
          <w:szCs w:val="20"/>
          <w:color w:val="auto"/>
        </w:rPr>
      </w:pPr>
    </w:p>
    <w:p>
      <w:pPr>
        <w:ind w:right="140"/>
        <w:spacing w:after="0" w:line="289" w:lineRule="auto"/>
        <w:rPr>
          <w:sz w:val="20"/>
          <w:szCs w:val="20"/>
          <w:color w:val="auto"/>
        </w:rPr>
      </w:pPr>
      <w:r>
        <w:rPr>
          <w:rFonts w:ascii="Arial" w:cs="Arial" w:eastAsia="Arial" w:hAnsi="Arial"/>
          <w:sz w:val="20"/>
          <w:szCs w:val="20"/>
          <w:b w:val="1"/>
          <w:bCs w:val="1"/>
          <w:i w:val="1"/>
          <w:iCs w:val="1"/>
          <w:color w:val="auto"/>
        </w:rPr>
        <w:t xml:space="preserve">a result of various factors, including the factors we describe in Item 1A, </w:t>
      </w:r>
      <w:r>
        <w:rPr>
          <w:rFonts w:ascii="Arial" w:cs="Arial" w:eastAsia="Arial" w:hAnsi="Arial"/>
          <w:sz w:val="24"/>
          <w:szCs w:val="24"/>
          <w:b w:val="1"/>
          <w:bCs w:val="1"/>
          <w:i w:val="1"/>
          <w:iCs w:val="1"/>
          <w:color w:val="auto"/>
        </w:rPr>
        <w:t>“</w:t>
      </w:r>
      <w:r>
        <w:rPr>
          <w:rFonts w:ascii="Arial" w:cs="Arial" w:eastAsia="Arial" w:hAnsi="Arial"/>
          <w:sz w:val="20"/>
          <w:szCs w:val="20"/>
          <w:b w:val="1"/>
          <w:bCs w:val="1"/>
          <w:i w:val="1"/>
          <w:iCs w:val="1"/>
          <w:color w:val="auto"/>
        </w:rPr>
        <w:t>Risk Factors</w:t>
      </w:r>
      <w:r>
        <w:rPr>
          <w:rFonts w:ascii="Arial" w:cs="Arial" w:eastAsia="Arial" w:hAnsi="Arial"/>
          <w:sz w:val="24"/>
          <w:szCs w:val="24"/>
          <w:b w:val="1"/>
          <w:bCs w:val="1"/>
          <w:i w:val="1"/>
          <w:iCs w:val="1"/>
          <w:color w:val="auto"/>
        </w:rPr>
        <w:t>”</w:t>
      </w:r>
      <w:r>
        <w:rPr>
          <w:rFonts w:ascii="Arial" w:cs="Arial" w:eastAsia="Arial" w:hAnsi="Arial"/>
          <w:sz w:val="20"/>
          <w:szCs w:val="20"/>
          <w:b w:val="1"/>
          <w:bCs w:val="1"/>
          <w:i w:val="1"/>
          <w:iCs w:val="1"/>
          <w:color w:val="auto"/>
        </w:rPr>
        <w:t xml:space="preserve"> and elsewhere in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are a leading global provider of mission-critical end-to-end sterilization solutions, lab testing and advisory services for the healthcare industry. We are driven by our mission: Safeguarding Global Health</w:t>
      </w:r>
      <w:r>
        <w:rPr>
          <w:rFonts w:ascii="Arial" w:cs="Arial" w:eastAsia="Arial" w:hAnsi="Arial"/>
          <w:sz w:val="10"/>
          <w:szCs w:val="10"/>
          <w:color w:val="auto"/>
        </w:rPr>
        <w:t>®</w:t>
      </w:r>
      <w:r>
        <w:rPr>
          <w:rFonts w:ascii="Arial" w:cs="Arial" w:eastAsia="Arial" w:hAnsi="Arial"/>
          <w:sz w:val="20"/>
          <w:szCs w:val="20"/>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processes and supply chains, helping to ensure sterilized medical products reach healthcare practitioners and patients. Most of these services are necessary for our customers to satisfy applicable government requirements.</w:t>
      </w:r>
    </w:p>
    <w:p>
      <w:pPr>
        <w:sectPr>
          <w:pgSz w:w="11880" w:h="15480" w:orient="portrait"/>
          <w:cols w:equalWidth="0" w:num="1">
            <w:col w:w="10180"/>
          </w:cols>
          <w:pgMar w:left="82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180"/>
          </w:cols>
          <w:pgMar w:left="820" w:top="1440" w:right="880" w:bottom="0" w:gutter="0" w:footer="0" w:header="0"/>
          <w:type w:val="continuous"/>
        </w:sectPr>
      </w:pPr>
    </w:p>
    <w:bookmarkStart w:id="53" w:name="page54"/>
    <w:bookmarkEnd w:id="53"/>
    <w:p>
      <w:pPr>
        <w:ind w:right="80"/>
        <w:spacing w:after="0" w:line="269" w:lineRule="auto"/>
        <w:rPr>
          <w:sz w:val="20"/>
          <w:szCs w:val="20"/>
          <w:color w:val="auto"/>
        </w:rPr>
      </w:pPr>
      <w:r>
        <w:rPr>
          <w:rFonts w:ascii="Arial" w:cs="Arial" w:eastAsia="Arial" w:hAnsi="Arial"/>
          <w:sz w:val="19"/>
          <w:szCs w:val="19"/>
          <w:color w:val="auto"/>
        </w:rPr>
        <w:t>We serve our customers throughout their product lifecycles, from product design to manufacturing and delivery, helping to promote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is comprised of two reportable segments, Sterigenics and Nordion, and our lab services business constitutes a third reportable segment, Nelson Labs.</w:t>
      </w:r>
    </w:p>
    <w:p>
      <w:pPr>
        <w:spacing w:after="0" w:line="196"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For the year ended December 31, 2025, we achieved net revenues of $1,163.6 million, net income of $77.9 million, Adjusted Net Income of $245.4 million and Adjusted EBITDA of $593.8 million. Adjusted Net Income and Adjusted EBITDA are financial measures not based on any standardized methodology prescribed by U.S. Generally Accepted Accounting Principles (“GAAP”). For the definition of Adjusted Net Income and Adjusted EBITDA and the reconciliation of these non-GAAP measures from net income, please see “Non-GAAP Financial Measures.”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TRENDS AND KEY FACTORS AFFECTING OUR RESULTS OF OPERATIONS</w:t>
      </w:r>
    </w:p>
    <w:p>
      <w:pPr>
        <w:spacing w:after="0" w:line="217"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We expect that our performance and financial condition will continue to be driven by the key trends impacting our industries, customers and their end markets as outlined in Item 1, “Business.” In addition, we believe the following trends and key factors have underpinned our recent operating results and may continue to affect our performance and financial condition in future periods.</w:t>
      </w:r>
    </w:p>
    <w:p>
      <w:pPr>
        <w:spacing w:after="0" w:line="76" w:lineRule="exact"/>
        <w:rPr>
          <w:sz w:val="20"/>
          <w:szCs w:val="20"/>
          <w:color w:val="auto"/>
        </w:rPr>
      </w:pPr>
    </w:p>
    <w:p>
      <w:pPr>
        <w:ind w:left="720" w:hanging="37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Business and market conditions. </w:t>
      </w:r>
      <w:r>
        <w:rPr>
          <w:rFonts w:ascii="Arial" w:cs="Arial" w:eastAsia="Arial" w:hAnsi="Arial"/>
          <w:sz w:val="18"/>
          <w:szCs w:val="18"/>
          <w:color w:val="auto"/>
        </w:rPr>
        <w:t>Consolidated net revenues for the year ended December 31, 2025 increased by</w:t>
      </w:r>
    </w:p>
    <w:p>
      <w:pPr>
        <w:spacing w:after="0" w:line="72" w:lineRule="exact"/>
        <w:rPr>
          <w:rFonts w:ascii="Arial" w:cs="Arial" w:eastAsia="Arial" w:hAnsi="Arial"/>
          <w:sz w:val="18"/>
          <w:szCs w:val="18"/>
          <w:color w:val="auto"/>
        </w:rPr>
      </w:pPr>
    </w:p>
    <w:p>
      <w:pPr>
        <w:ind w:left="720" w:right="200"/>
        <w:spacing w:after="0" w:line="323" w:lineRule="auto"/>
        <w:rPr>
          <w:rFonts w:ascii="Arial" w:cs="Arial" w:eastAsia="Arial" w:hAnsi="Arial"/>
          <w:sz w:val="18"/>
          <w:szCs w:val="18"/>
          <w:color w:val="auto"/>
        </w:rPr>
      </w:pPr>
      <w:r>
        <w:rPr>
          <w:rFonts w:ascii="Arial" w:cs="Arial" w:eastAsia="Arial" w:hAnsi="Arial"/>
          <w:sz w:val="19"/>
          <w:szCs w:val="19"/>
          <w:color w:val="auto"/>
        </w:rPr>
        <w:t>5.7% from the year ended December 31, 2024, driven by sustained favorability in pricing and volume/mix. All three reportable segments reported segment income growth for the year ended December 31, 2025.</w:t>
      </w:r>
    </w:p>
    <w:p>
      <w:pPr>
        <w:spacing w:after="0" w:line="20" w:lineRule="exact"/>
        <w:rPr>
          <w:rFonts w:ascii="Arial" w:cs="Arial" w:eastAsia="Arial" w:hAnsi="Arial"/>
          <w:sz w:val="18"/>
          <w:szCs w:val="18"/>
          <w:color w:val="auto"/>
        </w:rPr>
      </w:pPr>
    </w:p>
    <w:p>
      <w:pPr>
        <w:ind w:left="720" w:right="360" w:hanging="370"/>
        <w:spacing w:after="0" w:line="289" w:lineRule="auto"/>
        <w:tabs>
          <w:tab w:leader="none" w:pos="720"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 xml:space="preserve">Investment initiatives. </w:t>
      </w:r>
      <w:r>
        <w:rPr>
          <w:rFonts w:ascii="Arial" w:cs="Arial" w:eastAsia="Arial" w:hAnsi="Arial"/>
          <w:sz w:val="19"/>
          <w:szCs w:val="19"/>
          <w:color w:val="auto"/>
        </w:rPr>
        <w:t>We continue to advance our growth-related investments, including our two active capacity</w:t>
      </w:r>
      <w:r>
        <w:rPr>
          <w:rFonts w:ascii="Arial" w:cs="Arial" w:eastAsia="Arial" w:hAnsi="Arial"/>
          <w:sz w:val="19"/>
          <w:szCs w:val="19"/>
          <w:b w:val="1"/>
          <w:bCs w:val="1"/>
          <w:color w:val="auto"/>
        </w:rPr>
        <w:t xml:space="preserve"> </w:t>
      </w:r>
      <w:r>
        <w:rPr>
          <w:rFonts w:ascii="Arial" w:cs="Arial" w:eastAsia="Arial" w:hAnsi="Arial"/>
          <w:sz w:val="19"/>
          <w:szCs w:val="19"/>
          <w:color w:val="auto"/>
        </w:rPr>
        <w:t>expansion projects within the Sterigenics segment, Co-60 development projects in the Nordion segment and lab expansion efforts to support pharma testing services in the Nelson Labs segment.</w:t>
      </w:r>
    </w:p>
    <w:p>
      <w:pPr>
        <w:spacing w:after="0" w:line="50" w:lineRule="exact"/>
        <w:rPr>
          <w:rFonts w:ascii="Arial" w:cs="Arial" w:eastAsia="Arial" w:hAnsi="Arial"/>
          <w:sz w:val="19"/>
          <w:szCs w:val="19"/>
          <w:color w:val="auto"/>
        </w:rPr>
      </w:pPr>
    </w:p>
    <w:p>
      <w:pPr>
        <w:ind w:left="720" w:right="340" w:hanging="370"/>
        <w:spacing w:after="0" w:line="287" w:lineRule="auto"/>
        <w:tabs>
          <w:tab w:leader="none" w:pos="720" w:val="left"/>
        </w:tabs>
        <w:numPr>
          <w:ilvl w:val="0"/>
          <w:numId w:val="27"/>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Disciplined and strategic M&amp;A activity</w:t>
      </w:r>
      <w:r>
        <w:rPr>
          <w:rFonts w:ascii="Arial" w:cs="Arial" w:eastAsia="Arial" w:hAnsi="Arial"/>
          <w:sz w:val="20"/>
          <w:szCs w:val="20"/>
          <w:color w:val="auto"/>
        </w:rPr>
        <w:t>. We remain committed to our highly disciplined acquisition strategy and</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 to seek suitable acquisition targets.</w:t>
      </w:r>
    </w:p>
    <w:p>
      <w:pPr>
        <w:spacing w:after="0" w:line="49" w:lineRule="exact"/>
        <w:rPr>
          <w:rFonts w:ascii="Arial" w:cs="Arial" w:eastAsia="Arial" w:hAnsi="Arial"/>
          <w:sz w:val="20"/>
          <w:szCs w:val="20"/>
          <w:b w:val="1"/>
          <w:bCs w:val="1"/>
          <w:i w:val="1"/>
          <w:iCs w:val="1"/>
          <w:color w:val="auto"/>
        </w:rPr>
      </w:pPr>
    </w:p>
    <w:p>
      <w:pPr>
        <w:ind w:left="720" w:right="20" w:hanging="370"/>
        <w:spacing w:after="0" w:line="262"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Borrowings and financing costs</w:t>
      </w:r>
      <w:r>
        <w:rPr>
          <w:rFonts w:ascii="Arial" w:cs="Arial" w:eastAsia="Arial" w:hAnsi="Arial"/>
          <w:sz w:val="20"/>
          <w:szCs w:val="20"/>
          <w:color w:val="auto"/>
        </w:rPr>
        <w:t>. On April 30, 2025, the Company and SHH entered into Amendment No. 5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 Among other changes, Amendment No. 5 provides (i) for an increase in the commitments under the existing Revolving Credit Facility, (ii) additional commitments for the issuance of letters of credit and (iii) extends the maturity date of the Revolving Credit Facility to April 30, 2030.</w:t>
      </w:r>
    </w:p>
    <w:p>
      <w:pPr>
        <w:spacing w:after="0" w:line="79" w:lineRule="exact"/>
        <w:rPr>
          <w:rFonts w:ascii="Arial" w:cs="Arial" w:eastAsia="Arial" w:hAnsi="Arial"/>
          <w:sz w:val="20"/>
          <w:szCs w:val="20"/>
          <w:color w:val="auto"/>
        </w:rPr>
      </w:pPr>
    </w:p>
    <w:p>
      <w:pPr>
        <w:jc w:val="both"/>
        <w:ind w:left="720" w:right="20"/>
        <w:spacing w:after="0" w:line="266" w:lineRule="auto"/>
        <w:rPr>
          <w:rFonts w:ascii="Arial" w:cs="Arial" w:eastAsia="Arial" w:hAnsi="Arial"/>
          <w:sz w:val="20"/>
          <w:szCs w:val="20"/>
          <w:color w:val="auto"/>
        </w:rPr>
      </w:pPr>
      <w:r>
        <w:rPr>
          <w:rFonts w:ascii="Arial" w:cs="Arial" w:eastAsia="Arial" w:hAnsi="Arial"/>
          <w:sz w:val="20"/>
          <w:szCs w:val="20"/>
          <w:color w:val="auto"/>
        </w:rPr>
        <w:t>On September 17, 2025, the Company and SHH entered into Amendment No. 6 to the Credit Agreement. Amendment No. 6 reduced the interest rate to Adjusted Term SOFR (as defined in the Credit Agreement) plus 2.50%, with a 0.00% floor.</w:t>
      </w:r>
    </w:p>
    <w:p>
      <w:pPr>
        <w:spacing w:after="0" w:line="71" w:lineRule="exact"/>
        <w:rPr>
          <w:rFonts w:ascii="Arial" w:cs="Arial" w:eastAsia="Arial" w:hAnsi="Arial"/>
          <w:sz w:val="20"/>
          <w:szCs w:val="20"/>
          <w:color w:val="auto"/>
        </w:rPr>
      </w:pPr>
    </w:p>
    <w:p>
      <w:pPr>
        <w:ind w:left="720" w:hanging="370"/>
        <w:spacing w:after="0" w:line="262"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Litigation costs</w:t>
      </w:r>
      <w:r>
        <w:rPr>
          <w:rFonts w:ascii="Arial" w:cs="Arial" w:eastAsia="Arial" w:hAnsi="Arial"/>
          <w:sz w:val="20"/>
          <w:szCs w:val="20"/>
          <w:color w:val="auto"/>
        </w:rPr>
        <w:t>. On April 3, 2025 and July 23, 2025, Sterigenics entered into binding term sheets to resolve 97 and</w:t>
      </w:r>
      <w:r>
        <w:rPr>
          <w:rFonts w:ascii="Arial" w:cs="Arial" w:eastAsia="Arial" w:hAnsi="Arial"/>
          <w:sz w:val="20"/>
          <w:szCs w:val="20"/>
          <w:b w:val="1"/>
          <w:bCs w:val="1"/>
          <w:color w:val="auto"/>
        </w:rPr>
        <w:t xml:space="preserve"> </w:t>
      </w:r>
      <w:r>
        <w:rPr>
          <w:rFonts w:ascii="Arial" w:cs="Arial" w:eastAsia="Arial" w:hAnsi="Arial"/>
          <w:sz w:val="20"/>
          <w:szCs w:val="20"/>
          <w:color w:val="auto"/>
        </w:rPr>
        <w:t>129 EO claims, respectively, against Sterigenics relating to its former facility in Willowbrook, Illinois. Pursuant to the term sheets, Sterigenics agreed to pay $30.9 million and $34.0 million, respectively, allowing for the settling plaintiffs’ claims to be dismissed with prejudice.</w:t>
      </w:r>
    </w:p>
    <w:p>
      <w:pPr>
        <w:spacing w:after="0" w:line="79" w:lineRule="exact"/>
        <w:rPr>
          <w:rFonts w:ascii="Arial" w:cs="Arial" w:eastAsia="Arial" w:hAnsi="Arial"/>
          <w:sz w:val="20"/>
          <w:szCs w:val="20"/>
          <w:color w:val="auto"/>
        </w:rPr>
      </w:pPr>
    </w:p>
    <w:p>
      <w:pPr>
        <w:ind w:left="720" w:right="560"/>
        <w:spacing w:after="0" w:line="283" w:lineRule="auto"/>
        <w:rPr>
          <w:rFonts w:ascii="Arial" w:cs="Arial" w:eastAsia="Arial" w:hAnsi="Arial"/>
          <w:sz w:val="20"/>
          <w:szCs w:val="20"/>
          <w:color w:val="auto"/>
        </w:rPr>
      </w:pPr>
      <w:r>
        <w:rPr>
          <w:rFonts w:ascii="Arial" w:cs="Arial" w:eastAsia="Arial" w:hAnsi="Arial"/>
          <w:sz w:val="20"/>
          <w:szCs w:val="20"/>
          <w:color w:val="auto"/>
        </w:rPr>
        <w:t>See Item 3, “Legal Proceedings” and Note 19, “Commitments and Contingencies,” to our consolidated financial statements.</w:t>
      </w:r>
    </w:p>
    <w:p>
      <w:pPr>
        <w:spacing w:after="0" w:line="57" w:lineRule="exact"/>
        <w:rPr>
          <w:rFonts w:ascii="Arial" w:cs="Arial" w:eastAsia="Arial" w:hAnsi="Arial"/>
          <w:sz w:val="20"/>
          <w:szCs w:val="20"/>
          <w:color w:val="auto"/>
        </w:rPr>
      </w:pPr>
    </w:p>
    <w:p>
      <w:pPr>
        <w:jc w:val="both"/>
        <w:ind w:left="720" w:right="400"/>
        <w:spacing w:after="0" w:line="341" w:lineRule="auto"/>
        <w:rPr>
          <w:rFonts w:ascii="Arial" w:cs="Arial" w:eastAsia="Arial" w:hAnsi="Arial"/>
          <w:sz w:val="20"/>
          <w:szCs w:val="20"/>
          <w:color w:val="auto"/>
        </w:rPr>
      </w:pPr>
      <w:r>
        <w:rPr>
          <w:rFonts w:ascii="Arial" w:cs="Arial" w:eastAsia="Arial" w:hAnsi="Arial"/>
          <w:sz w:val="18"/>
          <w:szCs w:val="18"/>
          <w:color w:val="auto"/>
        </w:rPr>
        <w:t>In addition, for the years ended December 31, 2025, 2024 and 2023, we recorded $46.2 million, $32.7 million and $45.3 million, respectively, of litigation and other professional fees associated with our EO sterilization facilities.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Revenues</w:t>
      </w:r>
    </w:p>
    <w:p>
      <w:pPr>
        <w:spacing w:after="0" w:line="137"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auto"/>
        </w:rPr>
        <w:t>Service revenues primarily consist of revenue generated from contract sterilization and lab testing and advisory services within our Sterigenics and Nelson Labs segments, respectively. Service revenues also primarily consist of Co-60 installation and disposal revenues and gamma irradiation system refurbishments and installation services within our Nordion segment. Product revenues primarily consist of revenues generated from sales of Co-60 radiation sources and gamma irradiation systems. Provisions for discounts, rebates to customers, and other adjustments may be provided for as reductions in net revenues.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240"/>
          </w:cols>
          <w:pgMar w:left="820" w:top="412" w:right="820" w:bottom="0" w:gutter="0" w:footer="0" w:header="0"/>
          <w:type w:val="continuous"/>
        </w:sectPr>
      </w:pPr>
    </w:p>
    <w:bookmarkStart w:id="54" w:name="page55"/>
    <w:bookmarkEnd w:id="54"/>
    <w:p>
      <w:pPr>
        <w:spacing w:after="0" w:line="283" w:lineRule="auto"/>
        <w:rPr>
          <w:sz w:val="20"/>
          <w:szCs w:val="20"/>
          <w:color w:val="auto"/>
        </w:rPr>
      </w:pPr>
      <w:r>
        <w:rPr>
          <w:rFonts w:ascii="Arial" w:cs="Arial" w:eastAsia="Arial" w:hAnsi="Arial"/>
          <w:sz w:val="20"/>
          <w:szCs w:val="20"/>
          <w:color w:val="auto"/>
        </w:rPr>
        <w:t>Refunds, returns, warranties and other related obligations are not material to any of our business units, nor do we intend to incur material incremental costs to secure customer contracts.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Revenues</w:t>
      </w:r>
    </w:p>
    <w:p>
      <w:pPr>
        <w:spacing w:after="0" w:line="137"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maintaining gamma irradiation systems.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SG&amp;A Expenses</w:t>
      </w:r>
    </w:p>
    <w:p>
      <w:pPr>
        <w:spacing w:after="0" w:line="137" w:lineRule="exact"/>
        <w:rPr>
          <w:sz w:val="20"/>
          <w:szCs w:val="20"/>
          <w:color w:val="auto"/>
        </w:rPr>
      </w:pPr>
    </w:p>
    <w:p>
      <w:pPr>
        <w:ind w:right="160"/>
        <w:spacing w:after="0" w:line="261" w:lineRule="auto"/>
        <w:rPr>
          <w:sz w:val="20"/>
          <w:szCs w:val="20"/>
          <w:color w:val="auto"/>
        </w:rPr>
      </w:pPr>
      <w:r>
        <w:rPr>
          <w:rFonts w:ascii="Arial" w:cs="Arial" w:eastAsia="Arial" w:hAnsi="Arial"/>
          <w:sz w:val="20"/>
          <w:szCs w:val="20"/>
          <w:color w:val="auto"/>
        </w:rPr>
        <w:t>Selling, general and administrative expenses (“SG&amp;A”)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Amortization of Intangible Assets</w:t>
      </w:r>
    </w:p>
    <w:p>
      <w:pPr>
        <w:spacing w:after="0" w:line="217" w:lineRule="exact"/>
        <w:rPr>
          <w:sz w:val="20"/>
          <w:szCs w:val="20"/>
          <w:color w:val="auto"/>
        </w:rPr>
      </w:pPr>
    </w:p>
    <w:p>
      <w:pPr>
        <w:ind w:right="80"/>
        <w:spacing w:after="0" w:line="266" w:lineRule="auto"/>
        <w:rPr>
          <w:sz w:val="20"/>
          <w:szCs w:val="20"/>
          <w:color w:val="auto"/>
        </w:rPr>
      </w:pPr>
      <w:r>
        <w:rPr>
          <w:rFonts w:ascii="Arial" w:cs="Arial" w:eastAsia="Arial" w:hAnsi="Arial"/>
          <w:sz w:val="20"/>
          <w:szCs w:val="20"/>
          <w:color w:val="auto"/>
        </w:rPr>
        <w:t>Amortization of intangible assets primarily consists of expense associated with customer relationship, proprietary technology, trade names and other intangible assets. Amortization expense fluctuates when we have an acquisition, disposition, impairment charge, or as asset useful lives expire.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 Net</w:t>
      </w:r>
    </w:p>
    <w:p>
      <w:pPr>
        <w:spacing w:after="0" w:line="137"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Interest expense, net, represents interest paid or accruing on our outstanding indebtedness and the amortization of debt discount and debt issuance costs. Interest expense, net is primarily affected by changes in average outstanding indebtedness (including finance lease obligations) and variable interest rates. We present interest expense net of interest income, which primarily consists of interest earned on cash on hand.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Loss on Refinancing of Debt</w:t>
      </w:r>
    </w:p>
    <w:p>
      <w:pPr>
        <w:spacing w:after="0" w:line="137" w:lineRule="exact"/>
        <w:rPr>
          <w:sz w:val="20"/>
          <w:szCs w:val="20"/>
          <w:color w:val="auto"/>
        </w:rPr>
      </w:pPr>
    </w:p>
    <w:p>
      <w:pPr>
        <w:ind w:right="220"/>
        <w:spacing w:after="0" w:line="375" w:lineRule="auto"/>
        <w:rPr>
          <w:sz w:val="20"/>
          <w:szCs w:val="20"/>
          <w:color w:val="auto"/>
        </w:rPr>
      </w:pPr>
      <w:r>
        <w:rPr>
          <w:rFonts w:ascii="Arial" w:cs="Arial" w:eastAsia="Arial" w:hAnsi="Arial"/>
          <w:sz w:val="17"/>
          <w:szCs w:val="17"/>
          <w:color w:val="auto"/>
        </w:rPr>
        <w:t>Loss on refinancing of debt represents the write-off of unamortized debt issuance costs and discounts, as well as certain other costs incurred related to the refinancing activity for the Term Loans, the Secured Notes and the Revolving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Georgia EO litigation settlement</w:t>
      </w:r>
    </w:p>
    <w:p>
      <w:pPr>
        <w:spacing w:after="0" w:line="137" w:lineRule="exact"/>
        <w:rPr>
          <w:sz w:val="20"/>
          <w:szCs w:val="20"/>
          <w:color w:val="auto"/>
        </w:rPr>
      </w:pPr>
    </w:p>
    <w:p>
      <w:pPr>
        <w:ind w:right="160"/>
        <w:spacing w:after="0" w:line="283" w:lineRule="auto"/>
        <w:rPr>
          <w:sz w:val="20"/>
          <w:szCs w:val="20"/>
          <w:color w:val="auto"/>
        </w:rPr>
      </w:pPr>
      <w:r>
        <w:rPr>
          <w:rFonts w:ascii="Arial" w:cs="Arial" w:eastAsia="Arial" w:hAnsi="Arial"/>
          <w:sz w:val="20"/>
          <w:szCs w:val="20"/>
          <w:color w:val="auto"/>
        </w:rPr>
        <w:t>On October 16, 2023, the Company reached an agreement to resolve 79 EO claims in the State of Georgia. Under the terms of the agreement, the Company paid $35.0 million to settle the claims.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Illinois EO litigation settlement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the costs related to EO litigation settlement agreements:</w:t>
      </w:r>
    </w:p>
    <w:p>
      <w:pPr>
        <w:spacing w:after="0" w:line="130" w:lineRule="exact"/>
        <w:rPr>
          <w:sz w:val="20"/>
          <w:szCs w:val="20"/>
          <w:color w:val="auto"/>
        </w:rPr>
      </w:pPr>
    </w:p>
    <w:p>
      <w:pPr>
        <w:ind w:left="720" w:right="60" w:hanging="370"/>
        <w:spacing w:after="0" w:line="263" w:lineRule="auto"/>
        <w:tabs>
          <w:tab w:leader="none" w:pos="7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On April 3, 2025, the Company reached an agreement to settle approximately 97 pending and threatened EO claims in Illinois. Under the terms of the agreement, the Company paid $30.9 million to settle the claims.</w:t>
      </w:r>
    </w:p>
    <w:p>
      <w:pPr>
        <w:spacing w:after="0" w:line="1" w:lineRule="exact"/>
        <w:rPr>
          <w:rFonts w:ascii="Arial" w:cs="Arial" w:eastAsia="Arial" w:hAnsi="Arial"/>
          <w:sz w:val="19"/>
          <w:szCs w:val="19"/>
          <w:color w:val="auto"/>
        </w:rPr>
      </w:pPr>
    </w:p>
    <w:p>
      <w:pPr>
        <w:ind w:left="720" w:hanging="370"/>
        <w:spacing w:after="0" w:line="310" w:lineRule="auto"/>
        <w:tabs>
          <w:tab w:leader="none" w:pos="7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On July 23, 2025 the Company reached an agreement to settle approximately 129 pending and threatened EO claims in Illinois. Under the terms of the agreements, the Company paid $34.0 million to settle the claims.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Exchange Loss</w:t>
      </w:r>
    </w:p>
    <w:p>
      <w:pPr>
        <w:spacing w:after="0" w:line="137" w:lineRule="exact"/>
        <w:rPr>
          <w:sz w:val="20"/>
          <w:szCs w:val="20"/>
          <w:color w:val="auto"/>
        </w:rPr>
      </w:pPr>
    </w:p>
    <w:p>
      <w:pPr>
        <w:ind w:right="300"/>
        <w:spacing w:after="0" w:line="283" w:lineRule="auto"/>
        <w:rPr>
          <w:sz w:val="20"/>
          <w:szCs w:val="20"/>
          <w:color w:val="auto"/>
        </w:rPr>
      </w:pPr>
      <w:r>
        <w:rPr>
          <w:rFonts w:ascii="Arial" w:cs="Arial" w:eastAsia="Arial" w:hAnsi="Arial"/>
          <w:sz w:val="20"/>
          <w:szCs w:val="20"/>
          <w:color w:val="auto"/>
        </w:rPr>
        <w:t>Foreign exchange loss mainly relates to short-term gains and losses on transactions denominated in currencies other than the functional currency of our operating entities.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Net</w:t>
      </w:r>
    </w:p>
    <w:p>
      <w:pPr>
        <w:spacing w:after="0" w:line="137" w:lineRule="exact"/>
        <w:rPr>
          <w:sz w:val="20"/>
          <w:szCs w:val="20"/>
          <w:color w:val="auto"/>
        </w:rPr>
      </w:pPr>
    </w:p>
    <w:p>
      <w:pPr>
        <w:ind w:right="40"/>
        <w:spacing w:after="0" w:line="283" w:lineRule="auto"/>
        <w:rPr>
          <w:sz w:val="20"/>
          <w:szCs w:val="20"/>
          <w:color w:val="auto"/>
        </w:rPr>
      </w:pPr>
      <w:r>
        <w:rPr>
          <w:rFonts w:ascii="Arial" w:cs="Arial" w:eastAsia="Arial" w:hAnsi="Arial"/>
          <w:sz w:val="20"/>
          <w:szCs w:val="20"/>
          <w:color w:val="auto"/>
        </w:rPr>
        <w:t>Other income, net primarily consists of changes in the fair value of the embedded derivatives in Nordion’s contracts and the net impact of pension-related benefits.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for Income Taxes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primarily consists of income taxes in foreign jurisdictions and U.S. federal and state income taxes.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240"/>
          </w:cols>
          <w:pgMar w:left="820" w:top="412" w:right="820" w:bottom="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Constant Currency Sales Growth (Non-GAAP)</w:t>
      </w:r>
    </w:p>
    <w:p>
      <w:pPr>
        <w:spacing w:after="0" w:line="137"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U.S. GAAP.</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Net Income and Adjusted EBITDA (Non-GAAP)</w:t>
      </w:r>
    </w:p>
    <w:p>
      <w:pPr>
        <w:spacing w:after="0" w:line="137"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83" w:lineRule="exact"/>
        <w:rPr>
          <w:sz w:val="20"/>
          <w:szCs w:val="20"/>
          <w:color w:val="auto"/>
        </w:rPr>
      </w:pPr>
    </w:p>
    <w:p>
      <w:pPr>
        <w:ind w:right="360"/>
        <w:spacing w:after="0" w:line="287" w:lineRule="auto"/>
        <w:rPr>
          <w:sz w:val="20"/>
          <w:szCs w:val="20"/>
          <w:color w:val="auto"/>
        </w:rPr>
      </w:pPr>
      <w:r>
        <w:rPr>
          <w:rFonts w:ascii="Arial" w:cs="Arial" w:eastAsia="Arial" w:hAnsi="Arial"/>
          <w:sz w:val="19"/>
          <w:szCs w:val="19"/>
          <w:color w:val="auto"/>
        </w:rPr>
        <w:t>For more information regarding our definition and calculation of Adjusted Net Income and Adjusted EBITDA, including information about its limitations as a tool for analysis and reconciliation to the most directly comparable financial measures calculated in accordance with GAAP, please see “Non-GAAP Financial Measures” within this Item 7.</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Income</w:t>
      </w:r>
    </w:p>
    <w:p>
      <w:pPr>
        <w:spacing w:after="0" w:line="137"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Segment income is the primary earnings measure we use to evaluate the performance of our reportable segments, as disclosed in Note 21, “Segment and Geographic Information” to our consolidated financial statements. Costs associated with support functions that are not directly associated with one of the three reportable segments, such as corporate operating expenses for executive management, accounting, information technology, legal, human resources, treasury, investor relations, corporate development, tax, purchasing, and marketing, are allocated to the segments primarily based on net revenue. Corporate operating expenses that are directly incurred by a segment are reflected in each segment’s income. Segment income excludes certain items which are included in “Income before taxes” as determined in our Consolidated Statements of Operations and Comprehensive Income (Loss).</w:t>
      </w:r>
    </w:p>
    <w:p>
      <w:pPr>
        <w:sectPr>
          <w:pgSz w:w="11880" w:h="15480" w:orient="portrait"/>
          <w:cols w:equalWidth="0" w:num="1">
            <w:col w:w="10240"/>
          </w:cols>
          <w:pgMar w:left="820" w:top="40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240"/>
          </w:cols>
          <w:pgMar w:left="820" w:top="405" w:right="820" w:bottom="0"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14"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b w:val="1"/>
          <w:bCs w:val="1"/>
          <w:i w:val="1"/>
          <w:iCs w:val="1"/>
          <w:color w:val="auto"/>
        </w:rPr>
        <w:t>The following section summarizes the consolidated results of operations for the years ended December 31, 2025 and 2024. The discussion of the consolidated results of operation for the years ended December 31, 2024 and 2023 are presented within our Annual Report on Form 10-K for the year ended December 31, 2024 under “Item 7. Management’s Discussion and Analysis of Financial Condition and Results of Operations - 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Year Ended December 31, 2025 as compared to Year Ended December 31,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years ended December 31, 2025 and 2024.</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6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1300" w:type="dxa"/>
            <w:vAlign w:val="bottom"/>
          </w:tcPr>
          <w:p>
            <w:pPr>
              <w:jc w:val="right"/>
              <w:ind w:right="40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03"/>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243"/>
              <w:spacing w:after="0"/>
              <w:rPr>
                <w:sz w:val="20"/>
                <w:szCs w:val="20"/>
                <w:color w:val="auto"/>
              </w:rPr>
            </w:pPr>
            <w:r>
              <w:rPr>
                <w:rFonts w:ascii="Arial" w:cs="Arial" w:eastAsia="Arial" w:hAnsi="Arial"/>
                <w:sz w:val="16"/>
                <w:szCs w:val="16"/>
                <w:color w:val="auto"/>
                <w:w w:val="97"/>
              </w:rPr>
              <w:t>$ Change</w:t>
            </w:r>
          </w:p>
        </w:tc>
        <w:tc>
          <w:tcPr>
            <w:tcW w:w="120" w:type="dxa"/>
            <w:vAlign w:val="bottom"/>
          </w:tcPr>
          <w:p>
            <w:pPr>
              <w:spacing w:after="0"/>
              <w:rPr>
                <w:sz w:val="16"/>
                <w:szCs w:val="16"/>
                <w:color w:val="auto"/>
              </w:rPr>
            </w:pPr>
          </w:p>
        </w:tc>
        <w:tc>
          <w:tcPr>
            <w:tcW w:w="1320" w:type="dxa"/>
            <w:vAlign w:val="bottom"/>
          </w:tcPr>
          <w:p>
            <w:pPr>
              <w:jc w:val="right"/>
              <w:ind w:right="250"/>
              <w:spacing w:after="0"/>
              <w:rPr>
                <w:sz w:val="20"/>
                <w:szCs w:val="20"/>
                <w:color w:val="auto"/>
              </w:rPr>
            </w:pPr>
            <w:r>
              <w:rPr>
                <w:rFonts w:ascii="Arial" w:cs="Arial" w:eastAsia="Arial" w:hAnsi="Arial"/>
                <w:sz w:val="16"/>
                <w:szCs w:val="16"/>
                <w:color w:val="auto"/>
              </w:rPr>
              <w:t>% Change</w:t>
            </w: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85"/>
        </w:trPr>
        <w:tc>
          <w:tcPr>
            <w:tcW w:w="40" w:type="dxa"/>
            <w:vAlign w:val="bottom"/>
            <w:shd w:val="clear" w:color="auto" w:fill="D2EEF5"/>
          </w:tcPr>
          <w:p>
            <w:pPr>
              <w:spacing w:after="0"/>
              <w:rPr>
                <w:sz w:val="24"/>
                <w:szCs w:val="24"/>
                <w:color w:val="auto"/>
              </w:rPr>
            </w:pPr>
          </w:p>
        </w:tc>
        <w:tc>
          <w:tcPr>
            <w:tcW w:w="46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Total net revenues</w:t>
            </w:r>
          </w:p>
        </w:tc>
        <w:tc>
          <w:tcPr>
            <w:tcW w:w="13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   1,163,617</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1,100,441</w:t>
            </w:r>
          </w:p>
        </w:tc>
        <w:tc>
          <w:tcPr>
            <w:tcW w:w="380" w:type="dxa"/>
            <w:vAlign w:val="bottom"/>
            <w:gridSpan w:val="2"/>
            <w:shd w:val="clear" w:color="auto" w:fill="D2EEF5"/>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63,176</w:t>
            </w:r>
          </w:p>
        </w:tc>
        <w:tc>
          <w:tcPr>
            <w:tcW w:w="144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5.7 %</w:t>
            </w:r>
          </w:p>
        </w:tc>
      </w:tr>
      <w:tr>
        <w:trPr>
          <w:trHeight w:val="278"/>
        </w:trPr>
        <w:tc>
          <w:tcPr>
            <w:tcW w:w="4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20"/>
                <w:szCs w:val="20"/>
                <w:b w:val="1"/>
                <w:bCs w:val="1"/>
                <w:color w:val="auto"/>
              </w:rPr>
              <w:t>Total cost of revenues</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518,083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498,146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19,937</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4.0 %</w:t>
            </w:r>
          </w:p>
        </w:tc>
      </w:tr>
      <w:tr>
        <w:trPr>
          <w:trHeight w:val="292"/>
        </w:trPr>
        <w:tc>
          <w:tcPr>
            <w:tcW w:w="40" w:type="dxa"/>
            <w:vAlign w:val="bottom"/>
            <w:shd w:val="clear" w:color="auto" w:fill="D2EEF5"/>
          </w:tcPr>
          <w:p>
            <w:pPr>
              <w:spacing w:after="0"/>
              <w:rPr>
                <w:sz w:val="24"/>
                <w:szCs w:val="24"/>
                <w:color w:val="auto"/>
              </w:rPr>
            </w:pPr>
          </w:p>
        </w:tc>
        <w:tc>
          <w:tcPr>
            <w:tcW w:w="46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Net income</w:t>
            </w:r>
          </w:p>
        </w:tc>
        <w:tc>
          <w:tcPr>
            <w:tcW w:w="13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77,949</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44,398</w:t>
            </w:r>
          </w:p>
        </w:tc>
        <w:tc>
          <w:tcPr>
            <w:tcW w:w="1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10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33,551</w:t>
            </w:r>
          </w:p>
        </w:tc>
        <w:tc>
          <w:tcPr>
            <w:tcW w:w="1440" w:type="dxa"/>
            <w:vAlign w:val="bottom"/>
            <w:gridSpan w:val="2"/>
            <w:shd w:val="clear" w:color="auto" w:fill="D2EEF5"/>
          </w:tcPr>
          <w:p>
            <w:pPr>
              <w:jc w:val="right"/>
              <w:ind w:right="10"/>
              <w:spacing w:after="0"/>
              <w:rPr>
                <w:sz w:val="20"/>
                <w:szCs w:val="20"/>
                <w:color w:val="auto"/>
              </w:rPr>
            </w:pPr>
            <w:r>
              <w:rPr>
                <w:rFonts w:ascii="Arial" w:cs="Arial" w:eastAsia="Arial" w:hAnsi="Arial"/>
                <w:sz w:val="20"/>
                <w:szCs w:val="20"/>
                <w:color w:val="auto"/>
              </w:rPr>
              <w:t>75.6%</w:t>
            </w:r>
          </w:p>
        </w:tc>
      </w:tr>
      <w:tr>
        <w:trPr>
          <w:trHeight w:val="278"/>
        </w:trPr>
        <w:tc>
          <w:tcPr>
            <w:tcW w:w="4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20"/>
                <w:szCs w:val="20"/>
                <w:b w:val="1"/>
                <w:bCs w:val="1"/>
                <w:color w:val="auto"/>
              </w:rPr>
              <w:t>Adjusted Net Income</w:t>
            </w:r>
            <w:r>
              <w:rPr>
                <w:rFonts w:ascii="Arial" w:cs="Arial" w:eastAsia="Arial" w:hAnsi="Arial"/>
                <w:sz w:val="10"/>
                <w:szCs w:val="10"/>
                <w:b w:val="1"/>
                <w:bCs w:val="1"/>
                <w:color w:val="auto"/>
              </w:rPr>
              <w:t>(1)</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245,414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198,500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46,914</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23.6 %</w:t>
            </w:r>
          </w:p>
        </w:tc>
      </w:tr>
      <w:tr>
        <w:trPr>
          <w:trHeight w:val="282"/>
        </w:trPr>
        <w:tc>
          <w:tcPr>
            <w:tcW w:w="40" w:type="dxa"/>
            <w:vAlign w:val="bottom"/>
            <w:tcBorders>
              <w:bottom w:val="single" w:sz="8" w:color="D2EEF5"/>
            </w:tcBorders>
            <w:shd w:val="clear" w:color="auto" w:fill="D2EEF5"/>
          </w:tcPr>
          <w:p>
            <w:pPr>
              <w:spacing w:after="0"/>
              <w:rPr>
                <w:sz w:val="24"/>
                <w:szCs w:val="24"/>
                <w:color w:val="auto"/>
              </w:rPr>
            </w:pPr>
          </w:p>
        </w:tc>
        <w:tc>
          <w:tcPr>
            <w:tcW w:w="464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20"/>
                <w:szCs w:val="20"/>
                <w:b w:val="1"/>
                <w:bCs w:val="1"/>
                <w:color w:val="auto"/>
              </w:rPr>
              <w:t>Adjusted EBITDA</w:t>
            </w:r>
            <w:r>
              <w:rPr>
                <w:rFonts w:ascii="Arial" w:cs="Arial" w:eastAsia="Arial" w:hAnsi="Arial"/>
                <w:sz w:val="10"/>
                <w:szCs w:val="10"/>
                <w:b w:val="1"/>
                <w:bCs w:val="1"/>
                <w:color w:val="auto"/>
              </w:rPr>
              <w:t>(1)</w:t>
            </w:r>
          </w:p>
        </w:tc>
        <w:tc>
          <w:tcPr>
            <w:tcW w:w="13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593,801</w:t>
            </w:r>
          </w:p>
        </w:tc>
        <w:tc>
          <w:tcPr>
            <w:tcW w:w="120" w:type="dxa"/>
            <w:vAlign w:val="bottom"/>
            <w:tcBorders>
              <w:bottom w:val="single" w:sz="8" w:color="D2EEF5"/>
            </w:tcBorders>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548,574</w:t>
            </w:r>
          </w:p>
        </w:tc>
        <w:tc>
          <w:tcPr>
            <w:tcW w:w="120" w:type="dxa"/>
            <w:vAlign w:val="bottom"/>
            <w:tcBorders>
              <w:bottom w:val="single" w:sz="8" w:color="D2EEF5"/>
            </w:tcBorders>
            <w:shd w:val="clear" w:color="auto" w:fill="D2EEF5"/>
          </w:tcPr>
          <w:p>
            <w:pPr>
              <w:spacing w:after="0"/>
              <w:rPr>
                <w:sz w:val="24"/>
                <w:szCs w:val="24"/>
                <w:color w:val="auto"/>
              </w:rPr>
            </w:pPr>
          </w:p>
        </w:tc>
        <w:tc>
          <w:tcPr>
            <w:tcW w:w="260" w:type="dxa"/>
            <w:vAlign w:val="bottom"/>
            <w:tcBorders>
              <w:bottom w:val="single" w:sz="8" w:color="auto"/>
            </w:tcBorders>
            <w:shd w:val="clear" w:color="auto" w:fill="D2EEF5"/>
          </w:tcPr>
          <w:p>
            <w:pPr>
              <w:spacing w:after="0"/>
              <w:rPr>
                <w:sz w:val="24"/>
                <w:szCs w:val="24"/>
                <w:color w:val="auto"/>
              </w:rPr>
            </w:pP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45,227</w:t>
            </w:r>
          </w:p>
        </w:tc>
        <w:tc>
          <w:tcPr>
            <w:tcW w:w="120" w:type="dxa"/>
            <w:vAlign w:val="bottom"/>
            <w:tcBorders>
              <w:bottom w:val="single" w:sz="8" w:color="D2EEF5"/>
            </w:tcBorders>
            <w:shd w:val="clear" w:color="auto" w:fill="D2EEF5"/>
          </w:tcPr>
          <w:p>
            <w:pPr>
              <w:spacing w:after="0"/>
              <w:rPr>
                <w:sz w:val="24"/>
                <w:szCs w:val="24"/>
                <w:color w:val="auto"/>
              </w:rPr>
            </w:pPr>
          </w:p>
        </w:tc>
        <w:tc>
          <w:tcPr>
            <w:tcW w:w="13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8.2 %</w:t>
            </w:r>
          </w:p>
        </w:tc>
      </w:tr>
    </w:tbl>
    <w:p>
      <w:pPr>
        <w:spacing w:after="0" w:line="127" w:lineRule="exact"/>
        <w:rPr>
          <w:sz w:val="20"/>
          <w:szCs w:val="20"/>
          <w:color w:val="auto"/>
        </w:rPr>
      </w:pPr>
    </w:p>
    <w:p>
      <w:pPr>
        <w:ind w:left="900" w:right="140" w:hanging="460"/>
        <w:spacing w:after="0" w:line="258" w:lineRule="auto"/>
        <w:tabs>
          <w:tab w:leader="none" w:pos="900" w:val="left"/>
        </w:tabs>
        <w:numPr>
          <w:ilvl w:val="0"/>
          <w:numId w:val="29"/>
        </w:numPr>
        <w:rPr>
          <w:rFonts w:ascii="Arial" w:cs="Arial" w:eastAsia="Arial" w:hAnsi="Arial"/>
          <w:sz w:val="13"/>
          <w:szCs w:val="13"/>
          <w:color w:val="auto"/>
        </w:rPr>
      </w:pPr>
      <w:r>
        <w:rPr>
          <w:rFonts w:ascii="Arial" w:cs="Arial" w:eastAsia="Arial" w:hAnsi="Arial"/>
          <w:sz w:val="20"/>
          <w:szCs w:val="20"/>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Total Net Revenues</w:t>
      </w:r>
    </w:p>
    <w:p>
      <w:pPr>
        <w:spacing w:after="0" w:line="118" w:lineRule="exact"/>
        <w:rPr>
          <w:sz w:val="20"/>
          <w:szCs w:val="20"/>
          <w:color w:val="auto"/>
        </w:rPr>
      </w:pPr>
    </w:p>
    <w:p>
      <w:pPr>
        <w:ind w:right="440"/>
        <w:spacing w:after="0" w:line="283" w:lineRule="auto"/>
        <w:rPr>
          <w:sz w:val="20"/>
          <w:szCs w:val="20"/>
          <w:color w:val="auto"/>
        </w:rPr>
      </w:pPr>
      <w:r>
        <w:rPr>
          <w:rFonts w:ascii="Arial" w:cs="Arial" w:eastAsia="Arial" w:hAnsi="Arial"/>
          <w:sz w:val="20"/>
          <w:szCs w:val="20"/>
          <w:color w:val="auto"/>
        </w:rPr>
        <w:t>The following table compares our revenues by type for the year ended December 31, 2025 to the year ended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46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280" w:type="dxa"/>
            <w:vAlign w:val="bottom"/>
          </w:tcPr>
          <w:p>
            <w:pPr>
              <w:spacing w:after="0"/>
              <w:rPr>
                <w:sz w:val="16"/>
                <w:szCs w:val="16"/>
                <w:color w:val="auto"/>
              </w:rPr>
            </w:pPr>
          </w:p>
        </w:tc>
        <w:tc>
          <w:tcPr>
            <w:tcW w:w="1020" w:type="dxa"/>
            <w:vAlign w:val="bottom"/>
            <w:vMerge w:val="restart"/>
          </w:tcPr>
          <w:p>
            <w:pPr>
              <w:jc w:val="right"/>
              <w:ind w:right="405"/>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restart"/>
          </w:tcPr>
          <w:p>
            <w:pPr>
              <w:jc w:val="right"/>
              <w:ind w:right="405"/>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464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Net revenues for the year ended December 31,</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45"/>
              <w:spacing w:after="0" w:line="178" w:lineRule="exact"/>
              <w:rPr>
                <w:sz w:val="20"/>
                <w:szCs w:val="20"/>
                <w:color w:val="auto"/>
              </w:rPr>
            </w:pPr>
            <w:r>
              <w:rPr>
                <w:rFonts w:ascii="Arial" w:cs="Arial" w:eastAsia="Arial" w:hAnsi="Arial"/>
                <w:sz w:val="16"/>
                <w:szCs w:val="16"/>
                <w:color w:val="auto"/>
                <w:w w:val="97"/>
              </w:rPr>
              <w:t>$ Change</w:t>
            </w:r>
          </w:p>
        </w:tc>
        <w:tc>
          <w:tcPr>
            <w:tcW w:w="120" w:type="dxa"/>
            <w:vAlign w:val="bottom"/>
          </w:tcPr>
          <w:p>
            <w:pPr>
              <w:spacing w:after="0"/>
              <w:rPr>
                <w:sz w:val="15"/>
                <w:szCs w:val="15"/>
                <w:color w:val="auto"/>
              </w:rPr>
            </w:pPr>
          </w:p>
        </w:tc>
        <w:tc>
          <w:tcPr>
            <w:tcW w:w="1320" w:type="dxa"/>
            <w:vAlign w:val="bottom"/>
          </w:tcPr>
          <w:p>
            <w:pPr>
              <w:jc w:val="right"/>
              <w:ind w:right="250"/>
              <w:spacing w:after="0" w:line="178" w:lineRule="exact"/>
              <w:rPr>
                <w:sz w:val="20"/>
                <w:szCs w:val="20"/>
                <w:color w:val="auto"/>
              </w:rPr>
            </w:pPr>
            <w:r>
              <w:rPr>
                <w:rFonts w:ascii="Arial" w:cs="Arial" w:eastAsia="Arial" w:hAnsi="Arial"/>
                <w:sz w:val="16"/>
                <w:szCs w:val="16"/>
                <w:color w:val="auto"/>
              </w:rPr>
              <w:t>%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14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D2EEF5"/>
          </w:tcPr>
          <w:p>
            <w:pPr>
              <w:spacing w:after="0"/>
              <w:rPr>
                <w:sz w:val="24"/>
                <w:szCs w:val="24"/>
                <w:color w:val="auto"/>
              </w:rPr>
            </w:pPr>
          </w:p>
        </w:tc>
        <w:tc>
          <w:tcPr>
            <w:tcW w:w="464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Service</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10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995,756</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941,822</w:t>
            </w:r>
          </w:p>
        </w:tc>
        <w:tc>
          <w:tcPr>
            <w:tcW w:w="380" w:type="dxa"/>
            <w:vAlign w:val="bottom"/>
            <w:gridSpan w:val="2"/>
            <w:shd w:val="clear" w:color="auto" w:fill="D2EEF5"/>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53,934</w:t>
            </w:r>
          </w:p>
        </w:tc>
        <w:tc>
          <w:tcPr>
            <w:tcW w:w="144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5.7 %</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4640" w:type="dxa"/>
            <w:vAlign w:val="bottom"/>
            <w:tcBorders>
              <w:bottom w:val="single" w:sz="8" w:color="D2EEF5"/>
            </w:tcBorders>
            <w:gridSpan w:val="2"/>
          </w:tcPr>
          <w:p>
            <w:pPr>
              <w:spacing w:after="0"/>
              <w:rPr>
                <w:sz w:val="20"/>
                <w:szCs w:val="20"/>
                <w:color w:val="auto"/>
              </w:rPr>
            </w:pPr>
            <w:r>
              <w:rPr>
                <w:rFonts w:ascii="Arial" w:cs="Arial" w:eastAsia="Arial" w:hAnsi="Arial"/>
                <w:sz w:val="20"/>
                <w:szCs w:val="20"/>
                <w:color w:val="auto"/>
              </w:rPr>
              <w:t>Product</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167,861</w:t>
            </w:r>
          </w:p>
        </w:tc>
        <w:tc>
          <w:tcPr>
            <w:tcW w:w="1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158,619</w:t>
            </w:r>
          </w:p>
        </w:tc>
        <w:tc>
          <w:tcPr>
            <w:tcW w:w="120" w:type="dxa"/>
            <w:vAlign w:val="bottom"/>
            <w:tcBorders>
              <w:bottom w:val="single" w:sz="8" w:color="D2EEF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9,242</w:t>
            </w:r>
          </w:p>
        </w:tc>
        <w:tc>
          <w:tcPr>
            <w:tcW w:w="120" w:type="dxa"/>
            <w:vAlign w:val="bottom"/>
            <w:tcBorders>
              <w:bottom w:val="single" w:sz="8" w:color="D2EEF5"/>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5.8 %</w:t>
            </w:r>
          </w:p>
        </w:tc>
        <w:tc>
          <w:tcPr>
            <w:tcW w:w="0" w:type="dxa"/>
            <w:vAlign w:val="bottom"/>
          </w:tcPr>
          <w:p>
            <w:pPr>
              <w:spacing w:after="0"/>
              <w:rPr>
                <w:sz w:val="1"/>
                <w:szCs w:val="1"/>
                <w:color w:val="auto"/>
              </w:rPr>
            </w:pPr>
          </w:p>
        </w:tc>
      </w:tr>
      <w:tr>
        <w:trPr>
          <w:trHeight w:val="295"/>
        </w:trPr>
        <w:tc>
          <w:tcPr>
            <w:tcW w:w="40" w:type="dxa"/>
            <w:vAlign w:val="bottom"/>
            <w:shd w:val="clear" w:color="auto" w:fill="D2EEF5"/>
          </w:tcPr>
          <w:p>
            <w:pPr>
              <w:spacing w:after="0"/>
              <w:rPr>
                <w:sz w:val="24"/>
                <w:szCs w:val="24"/>
                <w:color w:val="auto"/>
              </w:rPr>
            </w:pPr>
          </w:p>
        </w:tc>
        <w:tc>
          <w:tcPr>
            <w:tcW w:w="46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Total net revenues</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10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1,163,617</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1,100,441</w:t>
            </w:r>
          </w:p>
        </w:tc>
        <w:tc>
          <w:tcPr>
            <w:tcW w:w="380" w:type="dxa"/>
            <w:vAlign w:val="bottom"/>
            <w:gridSpan w:val="2"/>
            <w:shd w:val="clear" w:color="auto" w:fill="D2EEF5"/>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63,176</w:t>
            </w:r>
          </w:p>
        </w:tc>
        <w:tc>
          <w:tcPr>
            <w:tcW w:w="144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5.7 %</w:t>
            </w:r>
          </w:p>
        </w:tc>
        <w:tc>
          <w:tcPr>
            <w:tcW w:w="0" w:type="dxa"/>
            <w:vAlign w:val="bottom"/>
          </w:tcPr>
          <w:p>
            <w:pPr>
              <w:spacing w:after="0"/>
              <w:rPr>
                <w:sz w:val="1"/>
                <w:szCs w:val="1"/>
                <w:color w:val="auto"/>
              </w:rPr>
            </w:pP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3140" w:type="dxa"/>
            <w:vAlign w:val="bottom"/>
            <w:tcBorders>
              <w:top w:val="single" w:sz="8" w:color="D2EEF5"/>
            </w:tcBorders>
          </w:tcPr>
          <w:p>
            <w:pPr>
              <w:spacing w:after="0" w:line="20" w:lineRule="exact"/>
              <w:rPr>
                <w:sz w:val="1"/>
                <w:szCs w:val="1"/>
                <w:color w:val="auto"/>
              </w:rPr>
            </w:pPr>
          </w:p>
        </w:tc>
        <w:tc>
          <w:tcPr>
            <w:tcW w:w="150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2952750</wp:posOffset>
            </wp:positionH>
            <wp:positionV relativeFrom="paragraph">
              <wp:posOffset>-43815</wp:posOffset>
            </wp:positionV>
            <wp:extent cx="3568700"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8700" cy="50800"/>
                    </a:xfrm>
                    <a:prstGeom prst="rect">
                      <a:avLst/>
                    </a:prstGeom>
                    <a:noFill/>
                  </pic:spPr>
                </pic:pic>
              </a:graphicData>
            </a:graphic>
          </wp:anchor>
        </w:drawing>
      </w:r>
    </w:p>
    <w:p>
      <w:pPr>
        <w:spacing w:after="0" w:line="187" w:lineRule="exact"/>
        <w:rPr>
          <w:sz w:val="20"/>
          <w:szCs w:val="20"/>
          <w:color w:val="auto"/>
        </w:rPr>
      </w:pPr>
    </w:p>
    <w:p>
      <w:pPr>
        <w:jc w:val="both"/>
        <w:ind w:right="120"/>
        <w:spacing w:after="0" w:line="266" w:lineRule="auto"/>
        <w:rPr>
          <w:sz w:val="20"/>
          <w:szCs w:val="20"/>
          <w:color w:val="auto"/>
        </w:rPr>
      </w:pPr>
      <w:r>
        <w:rPr>
          <w:rFonts w:ascii="Arial" w:cs="Arial" w:eastAsia="Arial" w:hAnsi="Arial"/>
          <w:sz w:val="20"/>
          <w:szCs w:val="20"/>
          <w:color w:val="auto"/>
        </w:rPr>
        <w:t>Net revenues were $1,163.6 million in the year ended December 31, 2025, an increase of $63.2 million, or 5.7%, as compared with the prior year. Net revenues in the year ended December 31, 2025 increased approximately 5.2% compared with the same period in 2024 on a constant currency basis.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Service revenues</w:t>
      </w:r>
    </w:p>
    <w:p>
      <w:pPr>
        <w:spacing w:after="0" w:line="113" w:lineRule="exact"/>
        <w:rPr>
          <w:sz w:val="20"/>
          <w:szCs w:val="20"/>
          <w:color w:val="auto"/>
        </w:rPr>
      </w:pPr>
    </w:p>
    <w:p>
      <w:pPr>
        <w:ind w:right="180"/>
        <w:spacing w:after="0" w:line="288" w:lineRule="auto"/>
        <w:rPr>
          <w:sz w:val="20"/>
          <w:szCs w:val="20"/>
          <w:color w:val="auto"/>
        </w:rPr>
      </w:pPr>
      <w:r>
        <w:rPr>
          <w:rFonts w:ascii="Arial" w:cs="Arial" w:eastAsia="Arial" w:hAnsi="Arial"/>
          <w:sz w:val="18"/>
          <w:szCs w:val="18"/>
          <w:color w:val="auto"/>
        </w:rPr>
        <w:t>Service revenues increased $53.9 million, or 5.7%, to $995.8 million in the year ended December 31, 2025 as compared to $941.8 million in the year ended December 31, 2024. Net service revenue growth was driven by favorable pricing of $28.3 million and $6.5 million in the Sterigenics and Nelson Labs segments, respectively, a $24.8 million increase in volume/mix in the Sterigenics segment, a $5.4 million increase in core lab testing service volume/mix in the Nelson Labs segment and a $7.3 million benefit from changes in foreign currency exchange rates. A $5.0 million increase in service revenue in the Nordion segment also contributed to the growth in net service revenues. Partially offsetting these factors was a $23.4 million decline in revenue related to expert advisory services and consulting in the Nelson Labs segment.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 revenues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Product revenues increased $9.2 million, or 5.8%, to $167.9 million in the year ended December 31, 2025 as compared to</w:t>
      </w:r>
    </w:p>
    <w:p>
      <w:pPr>
        <w:spacing w:after="0" w:line="22"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color w:val="auto"/>
        </w:rPr>
        <w:t>$158.6 million in the year ended December 31, 2024. Volume and mix growth of $5.5 million coupled with favorable pricing of $4.9 million were the primary drivers of the increase in net product revenues. Partially offsetting these growth factors was an unfavorable change in foreign currency exchange rates of $1.2 million.</w:t>
      </w:r>
    </w:p>
    <w:p>
      <w:pPr>
        <w:sectPr>
          <w:pgSz w:w="11880" w:h="15480" w:orient="portrait"/>
          <w:cols w:equalWidth="0" w:num="1">
            <w:col w:w="10260"/>
          </w:cols>
          <w:pgMar w:left="820" w:top="40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260"/>
          </w:cols>
          <w:pgMar w:left="820" w:top="405" w:right="80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i w:val="1"/>
          <w:iCs w:val="1"/>
          <w:color w:val="auto"/>
        </w:rPr>
        <w:t>Total Cost of Revenues</w:t>
      </w:r>
    </w:p>
    <w:p>
      <w:pPr>
        <w:spacing w:after="0" w:line="118" w:lineRule="exact"/>
        <w:rPr>
          <w:sz w:val="20"/>
          <w:szCs w:val="20"/>
          <w:color w:val="auto"/>
        </w:rPr>
      </w:pPr>
    </w:p>
    <w:p>
      <w:pPr>
        <w:ind w:right="160"/>
        <w:spacing w:after="0" w:line="283" w:lineRule="auto"/>
        <w:rPr>
          <w:sz w:val="20"/>
          <w:szCs w:val="20"/>
          <w:color w:val="auto"/>
        </w:rPr>
      </w:pPr>
      <w:r>
        <w:rPr>
          <w:rFonts w:ascii="Arial" w:cs="Arial" w:eastAsia="Arial" w:hAnsi="Arial"/>
          <w:sz w:val="20"/>
          <w:szCs w:val="20"/>
          <w:color w:val="auto"/>
        </w:rPr>
        <w:t>The following table compares our cost of revenues by type for the year ended December 31, 2025 to the year ended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46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320" w:type="dxa"/>
            <w:vAlign w:val="bottom"/>
          </w:tcPr>
          <w:p>
            <w:pPr>
              <w:spacing w:after="0"/>
              <w:rPr>
                <w:sz w:val="16"/>
                <w:szCs w:val="16"/>
                <w:color w:val="auto"/>
              </w:rPr>
            </w:pPr>
          </w:p>
        </w:tc>
        <w:tc>
          <w:tcPr>
            <w:tcW w:w="980" w:type="dxa"/>
            <w:vAlign w:val="bottom"/>
            <w:vMerge w:val="restart"/>
          </w:tcPr>
          <w:p>
            <w:pPr>
              <w:jc w:val="right"/>
              <w:ind w:right="405"/>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restart"/>
          </w:tcPr>
          <w:p>
            <w:pPr>
              <w:jc w:val="right"/>
              <w:ind w:right="405"/>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464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Cost of revenues for the year ended December 31,</w:t>
            </w: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45"/>
              <w:spacing w:after="0" w:line="178" w:lineRule="exact"/>
              <w:rPr>
                <w:sz w:val="20"/>
                <w:szCs w:val="20"/>
                <w:color w:val="auto"/>
              </w:rPr>
            </w:pPr>
            <w:r>
              <w:rPr>
                <w:rFonts w:ascii="Arial" w:cs="Arial" w:eastAsia="Arial" w:hAnsi="Arial"/>
                <w:sz w:val="16"/>
                <w:szCs w:val="16"/>
                <w:color w:val="auto"/>
                <w:w w:val="97"/>
              </w:rPr>
              <w:t>$ Change</w:t>
            </w:r>
          </w:p>
        </w:tc>
        <w:tc>
          <w:tcPr>
            <w:tcW w:w="120" w:type="dxa"/>
            <w:vAlign w:val="bottom"/>
          </w:tcPr>
          <w:p>
            <w:pPr>
              <w:spacing w:after="0"/>
              <w:rPr>
                <w:sz w:val="15"/>
                <w:szCs w:val="15"/>
                <w:color w:val="auto"/>
              </w:rPr>
            </w:pPr>
          </w:p>
        </w:tc>
        <w:tc>
          <w:tcPr>
            <w:tcW w:w="1320" w:type="dxa"/>
            <w:vAlign w:val="bottom"/>
          </w:tcPr>
          <w:p>
            <w:pPr>
              <w:jc w:val="right"/>
              <w:ind w:right="250"/>
              <w:spacing w:after="0" w:line="178" w:lineRule="exact"/>
              <w:rPr>
                <w:sz w:val="20"/>
                <w:szCs w:val="20"/>
                <w:color w:val="auto"/>
              </w:rPr>
            </w:pPr>
            <w:r>
              <w:rPr>
                <w:rFonts w:ascii="Arial" w:cs="Arial" w:eastAsia="Arial" w:hAnsi="Arial"/>
                <w:sz w:val="16"/>
                <w:szCs w:val="16"/>
                <w:color w:val="auto"/>
              </w:rPr>
              <w:t>%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40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D2EEF5"/>
          </w:tcPr>
          <w:p>
            <w:pPr>
              <w:spacing w:after="0"/>
              <w:rPr>
                <w:sz w:val="24"/>
                <w:szCs w:val="24"/>
                <w:color w:val="auto"/>
              </w:rPr>
            </w:pPr>
          </w:p>
        </w:tc>
        <w:tc>
          <w:tcPr>
            <w:tcW w:w="464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Service</w:t>
            </w:r>
          </w:p>
        </w:tc>
        <w:tc>
          <w:tcPr>
            <w:tcW w:w="320" w:type="dxa"/>
            <w:vAlign w:val="bottom"/>
            <w:shd w:val="clear" w:color="auto" w:fill="D2EEF5"/>
          </w:tcPr>
          <w:p>
            <w:pPr>
              <w:jc w:val="right"/>
              <w:ind w:right="80"/>
              <w:spacing w:after="0"/>
              <w:rPr>
                <w:sz w:val="20"/>
                <w:szCs w:val="20"/>
                <w:color w:val="auto"/>
              </w:rPr>
            </w:pPr>
            <w:r>
              <w:rPr>
                <w:rFonts w:ascii="Arial" w:cs="Arial" w:eastAsia="Arial" w:hAnsi="Arial"/>
                <w:sz w:val="20"/>
                <w:szCs w:val="20"/>
                <w:b w:val="1"/>
                <w:bCs w:val="1"/>
                <w:color w:val="auto"/>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456,311</w:t>
            </w:r>
          </w:p>
        </w:tc>
        <w:tc>
          <w:tcPr>
            <w:tcW w:w="440" w:type="dxa"/>
            <w:vAlign w:val="bottom"/>
            <w:gridSpan w:val="2"/>
            <w:shd w:val="clear" w:color="auto" w:fill="D2EEF5"/>
          </w:tcPr>
          <w:p>
            <w:pPr>
              <w:jc w:val="right"/>
              <w:ind w:right="180"/>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439,543</w:t>
            </w:r>
          </w:p>
        </w:tc>
        <w:tc>
          <w:tcPr>
            <w:tcW w:w="380" w:type="dxa"/>
            <w:vAlign w:val="bottom"/>
            <w:gridSpan w:val="2"/>
            <w:shd w:val="clear" w:color="auto" w:fill="D2EEF5"/>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16,768</w:t>
            </w:r>
          </w:p>
        </w:tc>
        <w:tc>
          <w:tcPr>
            <w:tcW w:w="144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3.8 %</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4640" w:type="dxa"/>
            <w:vAlign w:val="bottom"/>
            <w:tcBorders>
              <w:bottom w:val="single" w:sz="8" w:color="D2EEF5"/>
            </w:tcBorders>
            <w:gridSpan w:val="2"/>
          </w:tcPr>
          <w:p>
            <w:pPr>
              <w:spacing w:after="0"/>
              <w:rPr>
                <w:sz w:val="20"/>
                <w:szCs w:val="20"/>
                <w:color w:val="auto"/>
              </w:rPr>
            </w:pPr>
            <w:r>
              <w:rPr>
                <w:rFonts w:ascii="Arial" w:cs="Arial" w:eastAsia="Arial" w:hAnsi="Arial"/>
                <w:sz w:val="20"/>
                <w:szCs w:val="20"/>
                <w:color w:val="auto"/>
              </w:rPr>
              <w:t>Product</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61,772</w:t>
            </w:r>
          </w:p>
        </w:tc>
        <w:tc>
          <w:tcPr>
            <w:tcW w:w="120" w:type="dxa"/>
            <w:vAlign w:val="bottom"/>
            <w:tcBorders>
              <w:bottom w:val="single" w:sz="8" w:color="D2EEF5"/>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58,603</w:t>
            </w:r>
          </w:p>
        </w:tc>
        <w:tc>
          <w:tcPr>
            <w:tcW w:w="120" w:type="dxa"/>
            <w:vAlign w:val="bottom"/>
            <w:tcBorders>
              <w:bottom w:val="single" w:sz="8" w:color="D2EEF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3,169</w:t>
            </w:r>
          </w:p>
        </w:tc>
        <w:tc>
          <w:tcPr>
            <w:tcW w:w="120" w:type="dxa"/>
            <w:vAlign w:val="bottom"/>
            <w:tcBorders>
              <w:bottom w:val="single" w:sz="8" w:color="D2EEF5"/>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5.4 %</w:t>
            </w:r>
          </w:p>
        </w:tc>
        <w:tc>
          <w:tcPr>
            <w:tcW w:w="0" w:type="dxa"/>
            <w:vAlign w:val="bottom"/>
          </w:tcPr>
          <w:p>
            <w:pPr>
              <w:spacing w:after="0"/>
              <w:rPr>
                <w:sz w:val="1"/>
                <w:szCs w:val="1"/>
                <w:color w:val="auto"/>
              </w:rPr>
            </w:pPr>
          </w:p>
        </w:tc>
      </w:tr>
      <w:tr>
        <w:trPr>
          <w:trHeight w:val="295"/>
        </w:trPr>
        <w:tc>
          <w:tcPr>
            <w:tcW w:w="40" w:type="dxa"/>
            <w:vAlign w:val="bottom"/>
            <w:shd w:val="clear" w:color="auto" w:fill="D2EEF5"/>
          </w:tcPr>
          <w:p>
            <w:pPr>
              <w:spacing w:after="0"/>
              <w:rPr>
                <w:sz w:val="24"/>
                <w:szCs w:val="24"/>
                <w:color w:val="auto"/>
              </w:rPr>
            </w:pPr>
          </w:p>
        </w:tc>
        <w:tc>
          <w:tcPr>
            <w:tcW w:w="46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Total cost of revenues</w:t>
            </w:r>
          </w:p>
        </w:tc>
        <w:tc>
          <w:tcPr>
            <w:tcW w:w="320" w:type="dxa"/>
            <w:vAlign w:val="bottom"/>
            <w:shd w:val="clear" w:color="auto" w:fill="D2EEF5"/>
          </w:tcPr>
          <w:p>
            <w:pPr>
              <w:jc w:val="right"/>
              <w:ind w:right="80"/>
              <w:spacing w:after="0"/>
              <w:rPr>
                <w:sz w:val="20"/>
                <w:szCs w:val="20"/>
                <w:color w:val="auto"/>
              </w:rPr>
            </w:pPr>
            <w:r>
              <w:rPr>
                <w:rFonts w:ascii="Arial" w:cs="Arial" w:eastAsia="Arial" w:hAnsi="Arial"/>
                <w:sz w:val="20"/>
                <w:szCs w:val="20"/>
                <w:b w:val="1"/>
                <w:bCs w:val="1"/>
                <w:color w:val="auto"/>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518,083</w:t>
            </w:r>
          </w:p>
        </w:tc>
        <w:tc>
          <w:tcPr>
            <w:tcW w:w="440" w:type="dxa"/>
            <w:vAlign w:val="bottom"/>
            <w:gridSpan w:val="2"/>
            <w:shd w:val="clear" w:color="auto" w:fill="D2EEF5"/>
          </w:tcPr>
          <w:p>
            <w:pPr>
              <w:jc w:val="right"/>
              <w:ind w:right="180"/>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498,146</w:t>
            </w:r>
          </w:p>
        </w:tc>
        <w:tc>
          <w:tcPr>
            <w:tcW w:w="380" w:type="dxa"/>
            <w:vAlign w:val="bottom"/>
            <w:gridSpan w:val="2"/>
            <w:shd w:val="clear" w:color="auto" w:fill="D2EEF5"/>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19,937</w:t>
            </w:r>
          </w:p>
        </w:tc>
        <w:tc>
          <w:tcPr>
            <w:tcW w:w="144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4.0 %</w:t>
            </w:r>
          </w:p>
        </w:tc>
        <w:tc>
          <w:tcPr>
            <w:tcW w:w="0" w:type="dxa"/>
            <w:vAlign w:val="bottom"/>
          </w:tcPr>
          <w:p>
            <w:pPr>
              <w:spacing w:after="0"/>
              <w:rPr>
                <w:sz w:val="1"/>
                <w:szCs w:val="1"/>
                <w:color w:val="auto"/>
              </w:rPr>
            </w:pP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3400" w:type="dxa"/>
            <w:vAlign w:val="bottom"/>
            <w:tcBorders>
              <w:top w:val="single" w:sz="8" w:color="D2EEF5"/>
            </w:tcBorders>
          </w:tcPr>
          <w:p>
            <w:pPr>
              <w:spacing w:after="0" w:line="20" w:lineRule="exact"/>
              <w:rPr>
                <w:sz w:val="1"/>
                <w:szCs w:val="1"/>
                <w:color w:val="auto"/>
              </w:rPr>
            </w:pPr>
          </w:p>
        </w:tc>
        <w:tc>
          <w:tcPr>
            <w:tcW w:w="1240" w:type="dxa"/>
            <w:vAlign w:val="bottom"/>
            <w:tcBorders>
              <w:top w:val="single" w:sz="8" w:color="D2EEF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2952750</wp:posOffset>
            </wp:positionH>
            <wp:positionV relativeFrom="paragraph">
              <wp:posOffset>-43815</wp:posOffset>
            </wp:positionV>
            <wp:extent cx="356870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8700" cy="50800"/>
                    </a:xfrm>
                    <a:prstGeom prst="rect">
                      <a:avLst/>
                    </a:prstGeom>
                    <a:noFill/>
                  </pic:spPr>
                </pic:pic>
              </a:graphicData>
            </a:graphic>
          </wp:anchor>
        </w:drawing>
      </w:r>
    </w:p>
    <w:p>
      <w:pPr>
        <w:spacing w:after="0" w:line="187" w:lineRule="exact"/>
        <w:rPr>
          <w:sz w:val="20"/>
          <w:szCs w:val="20"/>
          <w:color w:val="auto"/>
        </w:rPr>
      </w:pPr>
    </w:p>
    <w:p>
      <w:pPr>
        <w:ind w:right="460"/>
        <w:spacing w:after="0" w:line="283" w:lineRule="auto"/>
        <w:rPr>
          <w:sz w:val="20"/>
          <w:szCs w:val="20"/>
          <w:color w:val="auto"/>
        </w:rPr>
      </w:pPr>
      <w:r>
        <w:rPr>
          <w:rFonts w:ascii="Arial" w:cs="Arial" w:eastAsia="Arial" w:hAnsi="Arial"/>
          <w:sz w:val="20"/>
          <w:szCs w:val="20"/>
          <w:color w:val="auto"/>
        </w:rPr>
        <w:t>Total cost of revenues accounted for approximately 44.5% and 45.3% of our consolidated net revenues for the years ended December 31, 2025 and 2024,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service revenues</w:t>
      </w:r>
    </w:p>
    <w:p>
      <w:pPr>
        <w:spacing w:after="0" w:line="113" w:lineRule="exact"/>
        <w:rPr>
          <w:sz w:val="20"/>
          <w:szCs w:val="20"/>
          <w:color w:val="auto"/>
        </w:rPr>
      </w:pPr>
    </w:p>
    <w:p>
      <w:pPr>
        <w:ind w:right="300"/>
        <w:spacing w:after="0" w:line="279" w:lineRule="auto"/>
        <w:rPr>
          <w:sz w:val="20"/>
          <w:szCs w:val="20"/>
          <w:color w:val="auto"/>
        </w:rPr>
      </w:pPr>
      <w:r>
        <w:rPr>
          <w:rFonts w:ascii="Arial" w:cs="Arial" w:eastAsia="Arial" w:hAnsi="Arial"/>
          <w:sz w:val="19"/>
          <w:szCs w:val="19"/>
          <w:color w:val="auto"/>
        </w:rPr>
        <w:t>Cost of service revenues increased $16.8 million for the year ended December 31, 2025 as compared to the prior year. The increase was attributable to higher depreciation of $10.4 million related to capital assets recently placed in service as well as inflation, which primarily impacted energy, direct materials, and professional services costs. Partially offsetting these factors was a decrease in labor costs related to expert advisory services in the Nelson Labs segment.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product revenues</w:t>
      </w:r>
    </w:p>
    <w:p>
      <w:pPr>
        <w:spacing w:after="0" w:line="113"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Cost of product revenues increased $3.2 million, or 5.4%, for the year ended December 31, 2025 as compared to the prior year. The change was driven by an increase in product revenue volume and mix, which resulted in increases in direct materials of $6.4 million, partially offset by a $3.7 million decline in amortization of intangible assets that were fully amortized as of December 31, 2024.</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SG&amp;A Expenses</w:t>
      </w:r>
    </w:p>
    <w:p>
      <w:pPr>
        <w:spacing w:after="0" w:line="118"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SG&amp;A increased $10.1 million, or 4.2%, for the year ended December 31, 2025 as compared to the prior year. The increase was driven primarily by a $13.5 million increase in litigation and other professional services expense associated with EO sterilization facilities, a $3.5 million increase in other professional services fees, partially offset by a $5.8 million decrease in share-based compensation expense.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Amortization of intangible assets</w:t>
      </w:r>
    </w:p>
    <w:p>
      <w:pPr>
        <w:spacing w:after="0" w:line="118" w:lineRule="exact"/>
        <w:rPr>
          <w:sz w:val="20"/>
          <w:szCs w:val="20"/>
          <w:color w:val="auto"/>
        </w:rPr>
      </w:pPr>
    </w:p>
    <w:p>
      <w:pPr>
        <w:ind w:right="260"/>
        <w:spacing w:after="0" w:line="310" w:lineRule="auto"/>
        <w:rPr>
          <w:sz w:val="20"/>
          <w:szCs w:val="20"/>
          <w:color w:val="auto"/>
        </w:rPr>
      </w:pPr>
      <w:r>
        <w:rPr>
          <w:rFonts w:ascii="Arial" w:cs="Arial" w:eastAsia="Arial" w:hAnsi="Arial"/>
          <w:sz w:val="19"/>
          <w:szCs w:val="19"/>
          <w:color w:val="auto"/>
        </w:rPr>
        <w:t>Amortization of intangible assets decreased $31.3 million, or 50.5%, for the year ended December 31, 2025, compared to the prior year. The decline was primarily due to certain intangible assets that were fully amortized as of May 2025.</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 Net</w:t>
      </w:r>
    </w:p>
    <w:p>
      <w:pPr>
        <w:spacing w:after="0" w:line="118"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Interest expense, net decreased $9.0 million, or 5.4%, for the year ended December 31, 2025 as compared to the prior year. The decrease was due to a lower weighted average interest rate on our outstanding borrowings, partially offset by a lower favorability from interest rate derivative activity, which resulted in a net reduction in interest expense, net of $8.4 million. The weighted average interest rate on our outstanding borrowings for the year ended December 31, 2025 was 7.29% compared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8.16% for the year ended December 31, 2024.</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on Refinancing of Debt</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Loss on refinancing of debt for the year ended December 31, 2025 was $1.5 million primarily relating to the write-off of certain unamortized debt issuance costs and discounts on the Term Loans in connection with Amendment No. 6 to the Credit Agreement. Loss on refinancing of debt for the year ended December 31, 2024 was $24.2 million and occurred in connection with the refinancing of our capital structure in May 2024. This refinancing activity resulted in the write off of certain unamortized debt issuance costs and discounts on the Term Loans due 2026 and the expensing of certain new debt issuance costs and discounts upon the issuance of the Refinancing Term Loans (as defined below) and Secured Notes.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Illinois EO litigation settlements</w:t>
      </w:r>
    </w:p>
    <w:p>
      <w:pPr>
        <w:spacing w:after="0" w:line="138" w:lineRule="exact"/>
        <w:rPr>
          <w:sz w:val="20"/>
          <w:szCs w:val="20"/>
          <w:color w:val="auto"/>
        </w:rPr>
      </w:pPr>
    </w:p>
    <w:p>
      <w:pPr>
        <w:jc w:val="both"/>
        <w:ind w:right="380"/>
        <w:spacing w:after="0" w:line="266" w:lineRule="auto"/>
        <w:rPr>
          <w:sz w:val="20"/>
          <w:szCs w:val="20"/>
          <w:color w:val="auto"/>
        </w:rPr>
      </w:pPr>
      <w:r>
        <w:rPr>
          <w:rFonts w:ascii="Arial" w:cs="Arial" w:eastAsia="Arial" w:hAnsi="Arial"/>
          <w:sz w:val="20"/>
          <w:szCs w:val="20"/>
          <w:color w:val="auto"/>
        </w:rPr>
        <w:t>Amounts presented represent (i) the cost to settle 97 pending and threatened EO claims in Illinois pursuant to the term sheet entered into on April 3, 2025 and (ii) the cost to settle 129 pending and threatened EO claims against Sterigenics in Illinois pursuant to the term sheet entered into on July 23, 2025.</w:t>
      </w:r>
    </w:p>
    <w:p>
      <w:pPr>
        <w:sectPr>
          <w:pgSz w:w="11880" w:h="15480" w:orient="portrait"/>
          <w:cols w:equalWidth="0" w:num="1">
            <w:col w:w="10260"/>
          </w:cols>
          <w:pgMar w:left="820" w:top="404" w:right="80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260"/>
          </w:cols>
          <w:pgMar w:left="820" w:top="404" w:right="800" w:bottom="0"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b w:val="1"/>
          <w:bCs w:val="1"/>
          <w:i w:val="1"/>
          <w:iCs w:val="1"/>
          <w:color w:val="auto"/>
        </w:rPr>
        <w:t>Foreign Exchange Loss</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auto"/>
        </w:rPr>
        <w:t>Foreign exchange loss was $0.9 million for the year ended December 31, 2025 as compared to $0.2 million in the prior year. Foreign exchange gains and losses in our Consolidated Statements of Operations and Comprehensive Income (Loss) mainly relate to short-term gains and losses on transactions denominated in currencies other than the functional currency of our operating entities. As described in Note 20, “Financial Instruments and Financial Risk”, we enter into foreign currency forward contracts to manage foreign currency exchange rate risk related to our international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118" w:lineRule="exact"/>
        <w:rPr>
          <w:sz w:val="20"/>
          <w:szCs w:val="20"/>
          <w:color w:val="auto"/>
        </w:rPr>
      </w:pPr>
    </w:p>
    <w:p>
      <w:pPr>
        <w:ind w:right="140"/>
        <w:spacing w:after="0" w:line="266" w:lineRule="auto"/>
        <w:rPr>
          <w:sz w:val="20"/>
          <w:szCs w:val="20"/>
          <w:color w:val="auto"/>
        </w:rPr>
      </w:pPr>
      <w:r>
        <w:rPr>
          <w:rFonts w:ascii="Arial" w:cs="Arial" w:eastAsia="Arial" w:hAnsi="Arial"/>
          <w:sz w:val="20"/>
          <w:szCs w:val="20"/>
          <w:color w:val="auto"/>
        </w:rPr>
        <w:t>Other income, net was $8.5 million for the year ended December 31, 2025, an increase of $3.2 million, or 61.1%, as compared to the prior year. The fluctuation was primarily driven by a $3.1 million net favorable change in the fair value of embedded derivatives in Nordion’s purchase and sales contracts.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Taxes</w:t>
      </w:r>
    </w:p>
    <w:p>
      <w:pPr>
        <w:spacing w:after="0" w:line="218"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Provision for income taxes was $69.6 million for the year ended December 31, 2025 as compared to $69.5 million in the prior year. The change was primarily attributable to an increase in income before income taxes in the year ended December 31, 2025 compared to the prior year, the tax effects for a change in our indefinite reinvestment assertion with respect to a portion of our foreign earnings and an increase in current year permanent tax differences. This was partially offset by recognition of the cumulative tax effects of the change in U.S. income tax laws under the One Big Beautiful Bill Act (“OBBBA”) associated with the accounting for the valuation allowance attributable to the limitation on the deductibility of interest expense.</w:t>
      </w:r>
    </w:p>
    <w:p>
      <w:pPr>
        <w:spacing w:after="0" w:line="139"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Provision for income taxes for the year ended December 31, 2025 differed from the statutory rate of 21% primarily due to recognition of the cumulative tax effects of the change in U.S. income tax laws under the OBBBA associated with the accounting for the valuation allowance attributable to the limitation on the deductibility of interest expense. This was offset by the tax effects for a change in our indefinite reinvestment assertion with respect to a portion of our foreign earnings, the impact of the foreign rate differential and an increase in current year permanent tax differences. The provision for income taxes for the year ended December 31, 2024 differed from the statutory rate of 21% primarily due to a net increase in the valuation allowance attributable to the limitation on the deductibility of interest expense and the foreign rate differential, partially offset by a benefit for state income taxes.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 Adjusted Net Income and Adjusted EBITDA</w:t>
      </w:r>
    </w:p>
    <w:p>
      <w:pPr>
        <w:spacing w:after="0" w:line="118"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Net income for the year ended December 31, 2025 was $77.9 million, as compared to net income of $44.4 million for the year ended December 31, 2024, primarily due to the factors described above. Adjusted Net Income was $245.4 million for the year ended December 31, 2025, as compared to $198.5 million for the year ended December 31, 2024, primarily due to the factors described above. Adjusted EBITDA was $593.8 million for the year ended December 31, 2025, as compared to $548.6 million for the year ended December 31, 2024, primarily due to the factors described above. Please see “Non-GAAP Financial Measures” below for a reconciliation of Adjusted Net Income and Adjusted EBITDA to Net Income, the most directly comparable financial measure calculated and presented in accordance with GAAP.</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17" w:lineRule="exact"/>
        <w:rPr>
          <w:sz w:val="20"/>
          <w:szCs w:val="20"/>
          <w:color w:val="auto"/>
        </w:rPr>
      </w:pPr>
    </w:p>
    <w:p>
      <w:pPr>
        <w:ind w:right="260"/>
        <w:spacing w:after="0" w:line="341" w:lineRule="auto"/>
        <w:rPr>
          <w:sz w:val="20"/>
          <w:szCs w:val="20"/>
          <w:color w:val="auto"/>
        </w:rPr>
      </w:pPr>
      <w:r>
        <w:rPr>
          <w:rFonts w:ascii="Arial" w:cs="Arial" w:eastAsia="Arial" w:hAnsi="Arial"/>
          <w:sz w:val="18"/>
          <w:szCs w:val="18"/>
          <w:color w:val="auto"/>
        </w:rPr>
        <w:t>To supplement our consolidated financial statements presented in accordance with GAAP, we consider Adjusted Net Income and Adjusted EBITDA, financial measures that are not based on any standardized methodology prescribed by GAAP.</w:t>
      </w:r>
    </w:p>
    <w:p>
      <w:pPr>
        <w:spacing w:after="0" w:line="92"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60"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its financial analysis and operational decision-making, and Adjusted</w:t>
      </w:r>
    </w:p>
    <w:p>
      <w:pPr>
        <w:sectPr>
          <w:pgSz w:w="11880" w:h="15480" w:orient="portrait"/>
          <w:cols w:equalWidth="0" w:num="1">
            <w:col w:w="10240"/>
          </w:cols>
          <w:pgMar w:left="820" w:top="404" w:right="82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240"/>
          </w:cols>
          <w:pgMar w:left="820" w:top="404" w:right="820" w:bottom="0" w:gutter="0" w:footer="0" w:header="0"/>
          <w:type w:val="continuous"/>
        </w:sectPr>
      </w:pPr>
    </w:p>
    <w:bookmarkStart w:id="59" w:name="page60"/>
    <w:bookmarkEnd w:id="59"/>
    <w:p>
      <w:pPr>
        <w:ind w:right="380"/>
        <w:spacing w:after="0" w:line="266" w:lineRule="auto"/>
        <w:rPr>
          <w:sz w:val="20"/>
          <w:szCs w:val="20"/>
          <w:color w:val="auto"/>
        </w:rPr>
      </w:pPr>
      <w:r>
        <w:rPr>
          <w:rFonts w:ascii="Arial" w:cs="Arial" w:eastAsia="Arial" w:hAnsi="Arial"/>
          <w:sz w:val="20"/>
          <w:szCs w:val="20"/>
          <w:color w:val="auto"/>
        </w:rPr>
        <w:t>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55"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primarily exclude:</w:t>
      </w:r>
    </w:p>
    <w:p>
      <w:pPr>
        <w:spacing w:after="0" w:line="60" w:lineRule="exact"/>
        <w:rPr>
          <w:sz w:val="20"/>
          <w:szCs w:val="20"/>
          <w:color w:val="auto"/>
        </w:rPr>
      </w:pPr>
    </w:p>
    <w:p>
      <w:pPr>
        <w:ind w:left="720" w:right="160" w:hanging="370"/>
        <w:spacing w:after="0" w:line="33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recurring non-cash charges such as depreciation of fixed assets, although these assets may have to be replaced in the future, as well as amortization of acquired intangible assets and asset retirement obligations (“ARO”);</w:t>
      </w:r>
    </w:p>
    <w:p>
      <w:pPr>
        <w:ind w:left="720" w:hanging="370"/>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costs of acquiring and integrating businesses, which will continue to be a part of our growth strategy;</w:t>
      </w:r>
    </w:p>
    <w:p>
      <w:pPr>
        <w:spacing w:after="0" w:line="110" w:lineRule="exact"/>
        <w:rPr>
          <w:rFonts w:ascii="Arial" w:cs="Arial" w:eastAsia="Arial" w:hAnsi="Arial"/>
          <w:sz w:val="20"/>
          <w:szCs w:val="20"/>
          <w:color w:val="auto"/>
        </w:rPr>
      </w:pPr>
    </w:p>
    <w:p>
      <w:pPr>
        <w:ind w:left="720" w:right="40" w:hanging="370"/>
        <w:spacing w:after="0" w:line="266"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55" w:lineRule="exact"/>
        <w:rPr>
          <w:rFonts w:ascii="Arial" w:cs="Arial" w:eastAsia="Arial" w:hAnsi="Arial"/>
          <w:sz w:val="20"/>
          <w:szCs w:val="20"/>
          <w:color w:val="auto"/>
        </w:rPr>
      </w:pPr>
    </w:p>
    <w:p>
      <w:pPr>
        <w:ind w:left="720" w:hanging="37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 charges on long-lived assets, intangible assets and investments accounted for under the equity method;</w:t>
      </w:r>
    </w:p>
    <w:p>
      <w:pPr>
        <w:spacing w:after="0" w:line="133" w:lineRule="exact"/>
        <w:rPr>
          <w:rFonts w:ascii="Arial" w:cs="Arial" w:eastAsia="Arial" w:hAnsi="Arial"/>
          <w:sz w:val="18"/>
          <w:szCs w:val="18"/>
          <w:color w:val="auto"/>
        </w:rPr>
      </w:pPr>
    </w:p>
    <w:p>
      <w:pPr>
        <w:ind w:left="720" w:hanging="370"/>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loss on refinancing of debt incurred in connection with refinancing or early extinguishment of long-term debt;</w:t>
      </w:r>
    </w:p>
    <w:p>
      <w:pPr>
        <w:spacing w:after="0" w:line="110" w:lineRule="exact"/>
        <w:rPr>
          <w:rFonts w:ascii="Arial" w:cs="Arial" w:eastAsia="Arial" w:hAnsi="Arial"/>
          <w:sz w:val="20"/>
          <w:szCs w:val="20"/>
          <w:color w:val="auto"/>
        </w:rPr>
      </w:pPr>
    </w:p>
    <w:p>
      <w:pPr>
        <w:ind w:left="720" w:hanging="37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incurred in connection with the secondary offering of our common stock and other shareholder activities;</w:t>
      </w:r>
    </w:p>
    <w:p>
      <w:pPr>
        <w:spacing w:after="0" w:line="133" w:lineRule="exact"/>
        <w:rPr>
          <w:rFonts w:ascii="Arial" w:cs="Arial" w:eastAsia="Arial" w:hAnsi="Arial"/>
          <w:sz w:val="18"/>
          <w:szCs w:val="18"/>
          <w:color w:val="auto"/>
        </w:rPr>
      </w:pPr>
    </w:p>
    <w:p>
      <w:pPr>
        <w:ind w:left="720" w:right="260" w:hanging="370"/>
        <w:spacing w:after="0" w:line="266"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expenses and charges related to the litigation, settlement agreements, and other activities associated with our EO sterilization facilities, including those related to Willowbrook, Illinois, Atlanta, Georgia, Santa Teresa, New Mexico and Vernon, California;</w:t>
      </w:r>
    </w:p>
    <w:p>
      <w:pPr>
        <w:spacing w:after="0" w:line="55" w:lineRule="exact"/>
        <w:rPr>
          <w:rFonts w:ascii="Arial" w:cs="Arial" w:eastAsia="Arial" w:hAnsi="Arial"/>
          <w:sz w:val="20"/>
          <w:szCs w:val="20"/>
          <w:color w:val="auto"/>
        </w:rPr>
      </w:pPr>
    </w:p>
    <w:p>
      <w:pPr>
        <w:ind w:left="720" w:right="280" w:hanging="370"/>
        <w:spacing w:after="0" w:line="283"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 the case of Adjusted EBITDA, interest expense or the cash requirements necessary to service interest or principal payments on our indebtedness; and</w:t>
      </w:r>
    </w:p>
    <w:p>
      <w:pPr>
        <w:spacing w:after="0" w:line="37" w:lineRule="exact"/>
        <w:rPr>
          <w:rFonts w:ascii="Arial" w:cs="Arial" w:eastAsia="Arial" w:hAnsi="Arial"/>
          <w:sz w:val="20"/>
          <w:szCs w:val="20"/>
          <w:color w:val="auto"/>
        </w:rPr>
      </w:pPr>
    </w:p>
    <w:p>
      <w:pPr>
        <w:ind w:left="720" w:right="340" w:hanging="370"/>
        <w:spacing w:after="0" w:line="283"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share-based compensation expense, which has been, and will continue to be for the foreseeable future, a significant recurring expense and an important part of our compensation strategy.</w:t>
      </w:r>
    </w:p>
    <w:p>
      <w:pPr>
        <w:spacing w:after="0" w:line="138"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148" w:lineRule="exact"/>
        <w:rPr>
          <w:sz w:val="20"/>
          <w:szCs w:val="20"/>
          <w:color w:val="auto"/>
        </w:rPr>
      </w:pPr>
    </w:p>
    <w:p>
      <w:pPr>
        <w:ind w:right="460"/>
        <w:spacing w:after="0" w:line="341" w:lineRule="auto"/>
        <w:rPr>
          <w:sz w:val="20"/>
          <w:szCs w:val="20"/>
          <w:color w:val="auto"/>
        </w:rPr>
      </w:pPr>
      <w:r>
        <w:rPr>
          <w:rFonts w:ascii="Arial" w:cs="Arial" w:eastAsia="Arial" w:hAnsi="Arial"/>
          <w:sz w:val="18"/>
          <w:szCs w:val="18"/>
          <w:color w:val="auto"/>
        </w:rPr>
        <w:t>The following table presents a reconciliation of net income, the most directly comparable financial measure calculated and presented in accordance with GAAP to Adjusted Net Income and Adjusted EBITDA, for each of the periods indicated:</w:t>
      </w:r>
    </w:p>
    <w:p>
      <w:pPr>
        <w:spacing w:after="0" w:line="11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60" w:type="dxa"/>
            <w:vAlign w:val="bottom"/>
            <w:tcBorders>
              <w:bottom w:val="single" w:sz="8" w:color="D2EEF5"/>
            </w:tcBorders>
          </w:tcPr>
          <w:p>
            <w:pPr>
              <w:ind w:left="40"/>
              <w:spacing w:after="0"/>
              <w:rPr>
                <w:sz w:val="20"/>
                <w:szCs w:val="20"/>
                <w:color w:val="auto"/>
              </w:rPr>
            </w:pPr>
            <w:r>
              <w:rPr>
                <w:rFonts w:ascii="Arial" w:cs="Arial" w:eastAsia="Arial" w:hAnsi="Arial"/>
                <w:sz w:val="16"/>
                <w:szCs w:val="16"/>
                <w:b w:val="1"/>
                <w:bCs w:val="1"/>
                <w:i w:val="1"/>
                <w:iCs w:val="1"/>
                <w:color w:val="auto"/>
              </w:rPr>
              <w:t>(in thousands)</w:t>
            </w: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D2EEF5"/>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45"/>
        </w:trPr>
        <w:tc>
          <w:tcPr>
            <w:tcW w:w="7260" w:type="dxa"/>
            <w:vAlign w:val="bottom"/>
            <w:shd w:val="clear" w:color="auto" w:fill="D2EEF5"/>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D2EEF5"/>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77,949</w:t>
            </w:r>
          </w:p>
        </w:tc>
        <w:tc>
          <w:tcPr>
            <w:tcW w:w="120" w:type="dxa"/>
            <w:vAlign w:val="bottom"/>
            <w:shd w:val="clear" w:color="auto" w:fill="D2EEF5"/>
          </w:tcPr>
          <w:p>
            <w:pPr>
              <w:spacing w:after="0"/>
              <w:rPr>
                <w:sz w:val="21"/>
                <w:szCs w:val="21"/>
                <w:color w:val="auto"/>
              </w:rPr>
            </w:pPr>
          </w:p>
        </w:tc>
        <w:tc>
          <w:tcPr>
            <w:tcW w:w="340" w:type="dxa"/>
            <w:vAlign w:val="bottom"/>
            <w:shd w:val="clear" w:color="auto" w:fill="D2EEF5"/>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44,398</w:t>
            </w:r>
          </w:p>
        </w:tc>
      </w:tr>
      <w:tr>
        <w:trPr>
          <w:trHeight w:val="248"/>
        </w:trPr>
        <w:tc>
          <w:tcPr>
            <w:tcW w:w="726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41,798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79,377</w:t>
            </w:r>
          </w:p>
        </w:tc>
      </w:tr>
      <w:tr>
        <w:trPr>
          <w:trHeight w:val="262"/>
        </w:trPr>
        <w:tc>
          <w:tcPr>
            <w:tcW w:w="7260" w:type="dxa"/>
            <w:vAlign w:val="bottom"/>
            <w:shd w:val="clear" w:color="auto" w:fill="D2EEF5"/>
          </w:tcPr>
          <w:p>
            <w:pPr>
              <w:ind w:left="28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1"/>
                <w:szCs w:val="11"/>
                <w:color w:val="auto"/>
              </w:rPr>
              <w:t>(a)</w:t>
            </w:r>
          </w:p>
        </w:tc>
        <w:tc>
          <w:tcPr>
            <w:tcW w:w="340" w:type="dxa"/>
            <w:vAlign w:val="bottom"/>
            <w:shd w:val="clear" w:color="auto" w:fill="D2EEF5"/>
          </w:tcPr>
          <w:p>
            <w:pPr>
              <w:spacing w:after="0"/>
              <w:rPr>
                <w:sz w:val="22"/>
                <w:szCs w:val="22"/>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31,068</w:t>
            </w:r>
          </w:p>
        </w:tc>
        <w:tc>
          <w:tcPr>
            <w:tcW w:w="120" w:type="dxa"/>
            <w:vAlign w:val="bottom"/>
            <w:shd w:val="clear" w:color="auto" w:fill="D2EEF5"/>
          </w:tcPr>
          <w:p>
            <w:pPr>
              <w:spacing w:after="0"/>
              <w:rPr>
                <w:sz w:val="22"/>
                <w:szCs w:val="22"/>
                <w:color w:val="auto"/>
              </w:rPr>
            </w:pPr>
          </w:p>
        </w:tc>
        <w:tc>
          <w:tcPr>
            <w:tcW w:w="340" w:type="dxa"/>
            <w:vAlign w:val="bottom"/>
            <w:shd w:val="clear" w:color="auto" w:fill="D2EEF5"/>
          </w:tcPr>
          <w:p>
            <w:pPr>
              <w:spacing w:after="0"/>
              <w:rPr>
                <w:sz w:val="22"/>
                <w:szCs w:val="22"/>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36,896</w:t>
            </w:r>
          </w:p>
        </w:tc>
      </w:tr>
      <w:tr>
        <w:trPr>
          <w:trHeight w:val="248"/>
        </w:trPr>
        <w:tc>
          <w:tcPr>
            <w:tcW w:w="7260" w:type="dxa"/>
            <w:vAlign w:val="bottom"/>
          </w:tcPr>
          <w:p>
            <w:pPr>
              <w:ind w:left="280"/>
              <w:spacing w:after="0"/>
              <w:rPr>
                <w:sz w:val="20"/>
                <w:szCs w:val="20"/>
                <w:color w:val="auto"/>
              </w:rPr>
            </w:pPr>
            <w:r>
              <w:rPr>
                <w:rFonts w:ascii="Arial" w:cs="Arial" w:eastAsia="Arial" w:hAnsi="Arial"/>
                <w:sz w:val="18"/>
                <w:szCs w:val="18"/>
                <w:color w:val="auto"/>
              </w:rPr>
              <w:t>Loss on refinancing of debt</w:t>
            </w:r>
            <w:r>
              <w:rPr>
                <w:rFonts w:ascii="Arial" w:cs="Arial" w:eastAsia="Arial" w:hAnsi="Arial"/>
                <w:sz w:val="11"/>
                <w:szCs w:val="11"/>
                <w:color w:val="auto"/>
              </w:rPr>
              <w:t>(b)</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24,168</w:t>
            </w:r>
          </w:p>
        </w:tc>
      </w:tr>
      <w:tr>
        <w:trPr>
          <w:trHeight w:val="262"/>
        </w:trPr>
        <w:tc>
          <w:tcPr>
            <w:tcW w:w="7260" w:type="dxa"/>
            <w:vAlign w:val="bottom"/>
            <w:shd w:val="clear" w:color="auto" w:fill="D2EEF5"/>
          </w:tcPr>
          <w:p>
            <w:pPr>
              <w:ind w:left="280"/>
              <w:spacing w:after="0"/>
              <w:rPr>
                <w:sz w:val="20"/>
                <w:szCs w:val="20"/>
                <w:color w:val="auto"/>
              </w:rPr>
            </w:pPr>
            <w:r>
              <w:rPr>
                <w:rFonts w:ascii="Arial" w:cs="Arial" w:eastAsia="Arial" w:hAnsi="Arial"/>
                <w:sz w:val="18"/>
                <w:szCs w:val="18"/>
                <w:color w:val="auto"/>
                <w:w w:val="94"/>
              </w:rPr>
              <w:t>Loss (gain) on foreign currency and derivatives not designated as hedging instruments, net</w:t>
            </w:r>
            <w:r>
              <w:rPr>
                <w:rFonts w:ascii="Arial" w:cs="Arial" w:eastAsia="Arial" w:hAnsi="Arial"/>
                <w:sz w:val="11"/>
                <w:szCs w:val="11"/>
                <w:color w:val="auto"/>
                <w:w w:val="94"/>
              </w:rPr>
              <w:t>(c)</w:t>
            </w:r>
          </w:p>
        </w:tc>
        <w:tc>
          <w:tcPr>
            <w:tcW w:w="340" w:type="dxa"/>
            <w:vAlign w:val="bottom"/>
            <w:shd w:val="clear" w:color="auto" w:fill="D2EEF5"/>
          </w:tcPr>
          <w:p>
            <w:pPr>
              <w:spacing w:after="0"/>
              <w:rPr>
                <w:sz w:val="22"/>
                <w:szCs w:val="22"/>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D2EEF5"/>
          </w:tcPr>
          <w:p>
            <w:pPr>
              <w:spacing w:after="0"/>
              <w:rPr>
                <w:sz w:val="22"/>
                <w:szCs w:val="22"/>
                <w:color w:val="auto"/>
              </w:rPr>
            </w:pPr>
          </w:p>
        </w:tc>
        <w:tc>
          <w:tcPr>
            <w:tcW w:w="340" w:type="dxa"/>
            <w:vAlign w:val="bottom"/>
            <w:shd w:val="clear" w:color="auto" w:fill="D2EEF5"/>
          </w:tcPr>
          <w:p>
            <w:pPr>
              <w:spacing w:after="0"/>
              <w:rPr>
                <w:sz w:val="22"/>
                <w:szCs w:val="22"/>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2,448</w:t>
            </w:r>
          </w:p>
        </w:tc>
      </w:tr>
      <w:tr>
        <w:trPr>
          <w:trHeight w:val="248"/>
        </w:trPr>
        <w:tc>
          <w:tcPr>
            <w:tcW w:w="7260" w:type="dxa"/>
            <w:vAlign w:val="bottom"/>
          </w:tcPr>
          <w:p>
            <w:pPr>
              <w:ind w:left="280"/>
              <w:spacing w:after="0"/>
              <w:rPr>
                <w:sz w:val="20"/>
                <w:szCs w:val="20"/>
                <w:color w:val="auto"/>
              </w:rPr>
            </w:pPr>
            <w:r>
              <w:rPr>
                <w:rFonts w:ascii="Arial" w:cs="Arial" w:eastAsia="Arial" w:hAnsi="Arial"/>
                <w:sz w:val="18"/>
                <w:szCs w:val="18"/>
                <w:color w:val="auto"/>
              </w:rPr>
              <w:t>Business optimization expenses</w:t>
            </w:r>
            <w:r>
              <w:rPr>
                <w:rFonts w:ascii="Arial" w:cs="Arial" w:eastAsia="Arial" w:hAnsi="Arial"/>
                <w:sz w:val="11"/>
                <w:szCs w:val="11"/>
                <w:color w:val="auto"/>
              </w:rPr>
              <w:t>(d)</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8,068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9,368</w:t>
            </w:r>
          </w:p>
        </w:tc>
      </w:tr>
      <w:tr>
        <w:trPr>
          <w:trHeight w:val="262"/>
        </w:trPr>
        <w:tc>
          <w:tcPr>
            <w:tcW w:w="7260" w:type="dxa"/>
            <w:vAlign w:val="bottom"/>
            <w:shd w:val="clear" w:color="auto" w:fill="D2EEF5"/>
          </w:tcPr>
          <w:p>
            <w:pPr>
              <w:ind w:left="280"/>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11"/>
                <w:szCs w:val="11"/>
                <w:color w:val="auto"/>
              </w:rPr>
              <w:t>(e)</w:t>
            </w:r>
          </w:p>
        </w:tc>
        <w:tc>
          <w:tcPr>
            <w:tcW w:w="340" w:type="dxa"/>
            <w:vAlign w:val="bottom"/>
            <w:shd w:val="clear" w:color="auto" w:fill="D2EEF5"/>
          </w:tcPr>
          <w:p>
            <w:pPr>
              <w:spacing w:after="0"/>
              <w:rPr>
                <w:sz w:val="22"/>
                <w:szCs w:val="22"/>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46,225</w:t>
            </w:r>
          </w:p>
        </w:tc>
        <w:tc>
          <w:tcPr>
            <w:tcW w:w="120" w:type="dxa"/>
            <w:vAlign w:val="bottom"/>
            <w:shd w:val="clear" w:color="auto" w:fill="D2EEF5"/>
          </w:tcPr>
          <w:p>
            <w:pPr>
              <w:spacing w:after="0"/>
              <w:rPr>
                <w:sz w:val="22"/>
                <w:szCs w:val="22"/>
                <w:color w:val="auto"/>
              </w:rPr>
            </w:pPr>
          </w:p>
        </w:tc>
        <w:tc>
          <w:tcPr>
            <w:tcW w:w="340" w:type="dxa"/>
            <w:vAlign w:val="bottom"/>
            <w:shd w:val="clear" w:color="auto" w:fill="D2EEF5"/>
          </w:tcPr>
          <w:p>
            <w:pPr>
              <w:spacing w:after="0"/>
              <w:rPr>
                <w:sz w:val="22"/>
                <w:szCs w:val="22"/>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32,694</w:t>
            </w:r>
          </w:p>
        </w:tc>
      </w:tr>
      <w:tr>
        <w:trPr>
          <w:trHeight w:val="248"/>
        </w:trPr>
        <w:tc>
          <w:tcPr>
            <w:tcW w:w="7260" w:type="dxa"/>
            <w:vAlign w:val="bottom"/>
          </w:tcPr>
          <w:p>
            <w:pPr>
              <w:ind w:left="280"/>
              <w:spacing w:after="0"/>
              <w:rPr>
                <w:sz w:val="20"/>
                <w:szCs w:val="20"/>
                <w:color w:val="auto"/>
              </w:rPr>
            </w:pPr>
            <w:r>
              <w:rPr>
                <w:rFonts w:ascii="Arial" w:cs="Arial" w:eastAsia="Arial" w:hAnsi="Arial"/>
                <w:sz w:val="18"/>
                <w:szCs w:val="18"/>
                <w:color w:val="auto"/>
              </w:rPr>
              <w:t>Illinois EO litigation settlements</w:t>
            </w:r>
            <w:r>
              <w:rPr>
                <w:rFonts w:ascii="Arial" w:cs="Arial" w:eastAsia="Arial" w:hAnsi="Arial"/>
                <w:sz w:val="11"/>
                <w:szCs w:val="11"/>
                <w:color w:val="auto"/>
              </w:rPr>
              <w:t>(f)</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64,943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7260" w:type="dxa"/>
            <w:vAlign w:val="bottom"/>
            <w:shd w:val="clear" w:color="auto" w:fill="D2EEF5"/>
          </w:tcPr>
          <w:p>
            <w:pPr>
              <w:ind w:left="280"/>
              <w:spacing w:after="0"/>
              <w:rPr>
                <w:sz w:val="20"/>
                <w:szCs w:val="20"/>
                <w:color w:val="auto"/>
              </w:rPr>
            </w:pPr>
            <w:r>
              <w:rPr>
                <w:rFonts w:ascii="Arial" w:cs="Arial" w:eastAsia="Arial" w:hAnsi="Arial"/>
                <w:sz w:val="18"/>
                <w:szCs w:val="18"/>
                <w:color w:val="auto"/>
              </w:rPr>
              <w:t>Accretion of asset retirement obligations</w:t>
            </w:r>
            <w:r>
              <w:rPr>
                <w:rFonts w:ascii="Arial" w:cs="Arial" w:eastAsia="Arial" w:hAnsi="Arial"/>
                <w:sz w:val="11"/>
                <w:szCs w:val="11"/>
                <w:color w:val="auto"/>
              </w:rPr>
              <w:t>(g)</w:t>
            </w:r>
          </w:p>
        </w:tc>
        <w:tc>
          <w:tcPr>
            <w:tcW w:w="340" w:type="dxa"/>
            <w:vAlign w:val="bottom"/>
            <w:shd w:val="clear" w:color="auto" w:fill="D2EEF5"/>
          </w:tcPr>
          <w:p>
            <w:pPr>
              <w:spacing w:after="0"/>
              <w:rPr>
                <w:sz w:val="22"/>
                <w:szCs w:val="22"/>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2,321</w:t>
            </w:r>
          </w:p>
        </w:tc>
        <w:tc>
          <w:tcPr>
            <w:tcW w:w="120" w:type="dxa"/>
            <w:vAlign w:val="bottom"/>
            <w:shd w:val="clear" w:color="auto" w:fill="D2EEF5"/>
          </w:tcPr>
          <w:p>
            <w:pPr>
              <w:spacing w:after="0"/>
              <w:rPr>
                <w:sz w:val="22"/>
                <w:szCs w:val="22"/>
                <w:color w:val="auto"/>
              </w:rPr>
            </w:pPr>
          </w:p>
        </w:tc>
        <w:tc>
          <w:tcPr>
            <w:tcW w:w="340" w:type="dxa"/>
            <w:vAlign w:val="bottom"/>
            <w:shd w:val="clear" w:color="auto" w:fill="D2EEF5"/>
          </w:tcPr>
          <w:p>
            <w:pPr>
              <w:spacing w:after="0"/>
              <w:rPr>
                <w:sz w:val="22"/>
                <w:szCs w:val="22"/>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2,638</w:t>
            </w:r>
          </w:p>
        </w:tc>
      </w:tr>
      <w:tr>
        <w:trPr>
          <w:trHeight w:val="245"/>
        </w:trPr>
        <w:tc>
          <w:tcPr>
            <w:tcW w:w="7260" w:type="dxa"/>
            <w:vAlign w:val="bottom"/>
            <w:tcBorders>
              <w:bottom w:val="single" w:sz="8" w:color="D2EEF5"/>
            </w:tcBorders>
          </w:tcPr>
          <w:p>
            <w:pPr>
              <w:ind w:left="280"/>
              <w:spacing w:after="0"/>
              <w:rPr>
                <w:sz w:val="20"/>
                <w:szCs w:val="20"/>
                <w:color w:val="auto"/>
              </w:rPr>
            </w:pPr>
            <w:r>
              <w:rPr>
                <w:rFonts w:ascii="Arial" w:cs="Arial" w:eastAsia="Arial" w:hAnsi="Arial"/>
                <w:sz w:val="18"/>
                <w:szCs w:val="18"/>
                <w:color w:val="auto"/>
              </w:rPr>
              <w:t>Income tax benefit associated with pre-tax adjustments</w:t>
            </w:r>
            <w:r>
              <w:rPr>
                <w:rFonts w:ascii="Arial" w:cs="Arial" w:eastAsia="Arial" w:hAnsi="Arial"/>
                <w:sz w:val="11"/>
                <w:szCs w:val="11"/>
                <w:color w:val="auto"/>
              </w:rPr>
              <w:t>(h)</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(28,478)</w:t>
            </w:r>
          </w:p>
        </w:tc>
        <w:tc>
          <w:tcPr>
            <w:tcW w:w="120" w:type="dxa"/>
            <w:vAlign w:val="bottom"/>
            <w:tcBorders>
              <w:bottom w:val="single" w:sz="8" w:color="D2EEF5"/>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(33,487)</w:t>
            </w:r>
          </w:p>
        </w:tc>
      </w:tr>
      <w:tr>
        <w:trPr>
          <w:trHeight w:val="255"/>
        </w:trPr>
        <w:tc>
          <w:tcPr>
            <w:tcW w:w="726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18"/>
                <w:szCs w:val="18"/>
                <w:b w:val="1"/>
                <w:bCs w:val="1"/>
                <w:color w:val="auto"/>
              </w:rPr>
              <w:t>Adjusted Net Income</w:t>
            </w:r>
          </w:p>
        </w:tc>
        <w:tc>
          <w:tcPr>
            <w:tcW w:w="340" w:type="dxa"/>
            <w:vAlign w:val="bottom"/>
            <w:tcBorders>
              <w:bottom w:val="single" w:sz="8" w:color="auto"/>
            </w:tcBorders>
            <w:shd w:val="clear" w:color="auto" w:fill="D2EEF5"/>
          </w:tcPr>
          <w:p>
            <w:pPr>
              <w:spacing w:after="0"/>
              <w:rPr>
                <w:sz w:val="22"/>
                <w:szCs w:val="22"/>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b w:val="1"/>
                <w:bCs w:val="1"/>
                <w:color w:val="auto"/>
              </w:rPr>
              <w:t>245,414</w:t>
            </w:r>
          </w:p>
        </w:tc>
        <w:tc>
          <w:tcPr>
            <w:tcW w:w="120" w:type="dxa"/>
            <w:vAlign w:val="bottom"/>
            <w:tcBorders>
              <w:bottom w:val="single" w:sz="8" w:color="D2EEF5"/>
            </w:tcBorders>
            <w:shd w:val="clear" w:color="auto" w:fill="D2EEF5"/>
          </w:tcPr>
          <w:p>
            <w:pPr>
              <w:spacing w:after="0"/>
              <w:rPr>
                <w:sz w:val="22"/>
                <w:szCs w:val="22"/>
                <w:color w:val="auto"/>
              </w:rPr>
            </w:pPr>
          </w:p>
        </w:tc>
        <w:tc>
          <w:tcPr>
            <w:tcW w:w="340" w:type="dxa"/>
            <w:vAlign w:val="bottom"/>
            <w:tcBorders>
              <w:bottom w:val="single" w:sz="8" w:color="auto"/>
            </w:tcBorders>
            <w:shd w:val="clear" w:color="auto" w:fill="D2EEF5"/>
          </w:tcPr>
          <w:p>
            <w:pPr>
              <w:spacing w:after="0"/>
              <w:rPr>
                <w:sz w:val="22"/>
                <w:szCs w:val="22"/>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198,500</w:t>
            </w:r>
          </w:p>
        </w:tc>
      </w:tr>
      <w:tr>
        <w:trPr>
          <w:trHeight w:val="222"/>
        </w:trPr>
        <w:tc>
          <w:tcPr>
            <w:tcW w:w="726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155,722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164,691</w:t>
            </w:r>
          </w:p>
        </w:tc>
      </w:tr>
      <w:tr>
        <w:trPr>
          <w:trHeight w:val="258"/>
        </w:trPr>
        <w:tc>
          <w:tcPr>
            <w:tcW w:w="7260" w:type="dxa"/>
            <w:vAlign w:val="bottom"/>
            <w:shd w:val="clear" w:color="auto" w:fill="D2EEF5"/>
          </w:tcPr>
          <w:p>
            <w:pPr>
              <w:ind w:left="280"/>
              <w:spacing w:after="0"/>
              <w:rPr>
                <w:sz w:val="20"/>
                <w:szCs w:val="20"/>
                <w:color w:val="auto"/>
              </w:rPr>
            </w:pPr>
            <w:r>
              <w:rPr>
                <w:rFonts w:ascii="Arial" w:cs="Arial" w:eastAsia="Arial" w:hAnsi="Arial"/>
                <w:sz w:val="18"/>
                <w:szCs w:val="18"/>
                <w:color w:val="auto"/>
              </w:rPr>
              <w:t>Depreciation</w:t>
            </w:r>
            <w:r>
              <w:rPr>
                <w:rFonts w:ascii="Arial" w:cs="Arial" w:eastAsia="Arial" w:hAnsi="Arial"/>
                <w:sz w:val="11"/>
                <w:szCs w:val="11"/>
                <w:color w:val="auto"/>
              </w:rPr>
              <w:t>(i)</w:t>
            </w:r>
          </w:p>
        </w:tc>
        <w:tc>
          <w:tcPr>
            <w:tcW w:w="340" w:type="dxa"/>
            <w:vAlign w:val="bottom"/>
            <w:shd w:val="clear" w:color="auto" w:fill="D2EEF5"/>
          </w:tcPr>
          <w:p>
            <w:pPr>
              <w:spacing w:after="0"/>
              <w:rPr>
                <w:sz w:val="22"/>
                <w:szCs w:val="22"/>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94,630</w:t>
            </w:r>
          </w:p>
        </w:tc>
        <w:tc>
          <w:tcPr>
            <w:tcW w:w="120" w:type="dxa"/>
            <w:vAlign w:val="bottom"/>
            <w:shd w:val="clear" w:color="auto" w:fill="D2EEF5"/>
          </w:tcPr>
          <w:p>
            <w:pPr>
              <w:spacing w:after="0"/>
              <w:rPr>
                <w:sz w:val="22"/>
                <w:szCs w:val="22"/>
                <w:color w:val="auto"/>
              </w:rPr>
            </w:pPr>
          </w:p>
        </w:tc>
        <w:tc>
          <w:tcPr>
            <w:tcW w:w="340" w:type="dxa"/>
            <w:vAlign w:val="bottom"/>
            <w:shd w:val="clear" w:color="auto" w:fill="D2EEF5"/>
          </w:tcPr>
          <w:p>
            <w:pPr>
              <w:spacing w:after="0"/>
              <w:rPr>
                <w:sz w:val="22"/>
                <w:szCs w:val="22"/>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8"/>
                <w:szCs w:val="18"/>
                <w:color w:val="auto"/>
              </w:rPr>
              <w:t>82,420</w:t>
            </w:r>
          </w:p>
        </w:tc>
      </w:tr>
      <w:tr>
        <w:trPr>
          <w:trHeight w:val="245"/>
        </w:trPr>
        <w:tc>
          <w:tcPr>
            <w:tcW w:w="7260" w:type="dxa"/>
            <w:vAlign w:val="bottom"/>
            <w:tcBorders>
              <w:bottom w:val="single" w:sz="8" w:color="D2EEF5"/>
            </w:tcBorders>
          </w:tcPr>
          <w:p>
            <w:pPr>
              <w:ind w:left="280"/>
              <w:spacing w:after="0"/>
              <w:rPr>
                <w:sz w:val="20"/>
                <w:szCs w:val="20"/>
                <w:color w:val="auto"/>
              </w:rPr>
            </w:pPr>
            <w:r>
              <w:rPr>
                <w:rFonts w:ascii="Arial" w:cs="Arial" w:eastAsia="Arial" w:hAnsi="Arial"/>
                <w:sz w:val="18"/>
                <w:szCs w:val="18"/>
                <w:color w:val="auto"/>
              </w:rPr>
              <w:t>Income tax provision applicable to Adjusted Net Income</w:t>
            </w:r>
            <w:r>
              <w:rPr>
                <w:rFonts w:ascii="Arial" w:cs="Arial" w:eastAsia="Arial" w:hAnsi="Arial"/>
                <w:sz w:val="11"/>
                <w:szCs w:val="11"/>
                <w:color w:val="auto"/>
              </w:rPr>
              <w:t>(j)</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98,035</w:t>
            </w:r>
          </w:p>
        </w:tc>
        <w:tc>
          <w:tcPr>
            <w:tcW w:w="120" w:type="dxa"/>
            <w:vAlign w:val="bottom"/>
            <w:tcBorders>
              <w:bottom w:val="single" w:sz="8" w:color="D2EEF5"/>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102,963</w:t>
            </w:r>
          </w:p>
        </w:tc>
      </w:tr>
      <w:tr>
        <w:trPr>
          <w:trHeight w:val="240"/>
        </w:trPr>
        <w:tc>
          <w:tcPr>
            <w:tcW w:w="726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1"/>
                <w:szCs w:val="11"/>
                <w:b w:val="1"/>
                <w:bCs w:val="1"/>
                <w:color w:val="auto"/>
              </w:rPr>
              <w:t>(k)</w:t>
            </w:r>
          </w:p>
        </w:tc>
        <w:tc>
          <w:tcPr>
            <w:tcW w:w="340" w:type="dxa"/>
            <w:vAlign w:val="bottom"/>
            <w:tcBorders>
              <w:bottom w:val="single" w:sz="8" w:color="auto"/>
            </w:tcBorders>
            <w:shd w:val="clear" w:color="auto" w:fill="D2EEF5"/>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b w:val="1"/>
                <w:bCs w:val="1"/>
                <w:color w:val="auto"/>
              </w:rPr>
              <w:t>593,801</w:t>
            </w:r>
          </w:p>
        </w:tc>
        <w:tc>
          <w:tcPr>
            <w:tcW w:w="120" w:type="dxa"/>
            <w:vAlign w:val="bottom"/>
            <w:tcBorders>
              <w:bottom w:val="single" w:sz="8" w:color="D2EEF5"/>
            </w:tcBorders>
            <w:shd w:val="clear" w:color="auto" w:fill="D2EEF5"/>
          </w:tcPr>
          <w:p>
            <w:pPr>
              <w:spacing w:after="0"/>
              <w:rPr>
                <w:sz w:val="20"/>
                <w:szCs w:val="20"/>
                <w:color w:val="auto"/>
              </w:rPr>
            </w:pPr>
          </w:p>
        </w:tc>
        <w:tc>
          <w:tcPr>
            <w:tcW w:w="340" w:type="dxa"/>
            <w:vAlign w:val="bottom"/>
            <w:tcBorders>
              <w:bottom w:val="single" w:sz="8" w:color="auto"/>
            </w:tcBorders>
            <w:shd w:val="clear" w:color="auto" w:fill="D2EEF5"/>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548,574</w:t>
            </w:r>
          </w:p>
        </w:tc>
      </w:tr>
      <w:tr>
        <w:trPr>
          <w:trHeight w:val="20"/>
        </w:trPr>
        <w:tc>
          <w:tcPr>
            <w:tcW w:w="7260" w:type="dxa"/>
            <w:vAlign w:val="bottom"/>
            <w:tcBorders>
              <w:top w:val="single" w:sz="8" w:color="D2EEF5"/>
            </w:tcBorders>
          </w:tcPr>
          <w:p>
            <w:pPr>
              <w:spacing w:after="0" w:line="20" w:lineRule="exact"/>
              <w:rPr>
                <w:sz w:val="1"/>
                <w:szCs w:val="1"/>
                <w:color w:val="auto"/>
              </w:rPr>
            </w:pPr>
          </w:p>
        </w:tc>
        <w:tc>
          <w:tcPr>
            <w:tcW w:w="340" w:type="dxa"/>
            <w:vAlign w:val="bottom"/>
            <w:tcBorders>
              <w:top w:val="single" w:sz="8" w:color="D2EEF5"/>
              <w:bottom w:val="single" w:sz="8" w:color="auto"/>
            </w:tcBorders>
          </w:tcPr>
          <w:p>
            <w:pPr>
              <w:spacing w:after="0" w:line="20" w:lineRule="exact"/>
              <w:rPr>
                <w:sz w:val="1"/>
                <w:szCs w:val="1"/>
                <w:color w:val="auto"/>
              </w:rPr>
            </w:pPr>
          </w:p>
        </w:tc>
        <w:tc>
          <w:tcPr>
            <w:tcW w:w="110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340" w:type="dxa"/>
            <w:vAlign w:val="bottom"/>
            <w:tcBorders>
              <w:top w:val="single" w:sz="8" w:color="D2EEF5"/>
              <w:bottom w:val="single" w:sz="8" w:color="auto"/>
            </w:tcBorders>
          </w:tcPr>
          <w:p>
            <w:pPr>
              <w:spacing w:after="0" w:line="20" w:lineRule="exact"/>
              <w:rPr>
                <w:sz w:val="1"/>
                <w:szCs w:val="1"/>
                <w:color w:val="auto"/>
              </w:rPr>
            </w:pPr>
          </w:p>
        </w:tc>
        <w:tc>
          <w:tcPr>
            <w:tcW w:w="1100" w:type="dxa"/>
            <w:vAlign w:val="bottom"/>
            <w:tcBorders>
              <w:top w:val="single" w:sz="8" w:color="D2EE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-43815</wp:posOffset>
            </wp:positionV>
            <wp:extent cx="192087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875" cy="50800"/>
                    </a:xfrm>
                    <a:prstGeom prst="rect">
                      <a:avLst/>
                    </a:prstGeom>
                    <a:noFill/>
                  </pic:spPr>
                </pic:pic>
              </a:graphicData>
            </a:graphic>
          </wp:anchor>
        </w:drawing>
      </w:r>
    </w:p>
    <w:p>
      <w:pPr>
        <w:spacing w:after="0" w:line="187" w:lineRule="exact"/>
        <w:rPr>
          <w:sz w:val="20"/>
          <w:szCs w:val="20"/>
          <w:color w:val="auto"/>
        </w:rPr>
      </w:pPr>
    </w:p>
    <w:p>
      <w:pPr>
        <w:ind w:left="540" w:right="120" w:hanging="370"/>
        <w:spacing w:after="0" w:line="283" w:lineRule="auto"/>
        <w:tabs>
          <w:tab w:leader="none" w:pos="5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Represents share-based compensation expense related to employees and Non-Employee Directors. See Note 15, “Share-Based Compensation” for further information.</w:t>
      </w:r>
    </w:p>
    <w:p>
      <w:pPr>
        <w:sectPr>
          <w:pgSz w:w="11880" w:h="15480" w:orient="portrait"/>
          <w:cols w:equalWidth="0" w:num="1">
            <w:col w:w="10260"/>
          </w:cols>
          <w:pgMar w:left="820" w:top="412" w:right="80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10260"/>
          </w:cols>
          <w:pgMar w:left="820" w:top="412" w:right="800" w:bottom="0" w:gutter="0" w:footer="0" w:header="0"/>
          <w:type w:val="continuous"/>
        </w:sectPr>
      </w:pPr>
    </w:p>
    <w:bookmarkStart w:id="60" w:name="page61"/>
    <w:bookmarkEnd w:id="60"/>
    <w:p>
      <w:pPr>
        <w:ind w:left="540" w:right="120" w:hanging="370"/>
        <w:spacing w:after="0" w:line="285"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Represents the write-off of unamortized debt issuance costs and discounts, as well as certain other costs incurred related to the refinancing activity for the Term Loans, the Secured Notes and the Revolving Credit Facility.</w:t>
      </w:r>
    </w:p>
    <w:p>
      <w:pPr>
        <w:spacing w:after="0" w:line="1" w:lineRule="exact"/>
        <w:rPr>
          <w:rFonts w:ascii="Arial" w:cs="Arial" w:eastAsia="Arial" w:hAnsi="Arial"/>
          <w:sz w:val="19"/>
          <w:szCs w:val="19"/>
          <w:color w:val="auto"/>
        </w:rPr>
      </w:pPr>
    </w:p>
    <w:p>
      <w:pPr>
        <w:ind w:left="540" w:right="560" w:hanging="370"/>
        <w:spacing w:after="0" w:line="271" w:lineRule="auto"/>
        <w:tabs>
          <w:tab w:leader="none" w:pos="5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Represents the effects of (i) fluctuations in foreign currency exchange rates and (ii) non-cash mark-to-fair value of embedded derivatives relating to certain customer and supply contracts at Nordion.</w:t>
      </w:r>
    </w:p>
    <w:p>
      <w:pPr>
        <w:ind w:left="540" w:hanging="370"/>
        <w:spacing w:after="0" w:line="278"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w:t>
      </w:r>
    </w:p>
    <w:p>
      <w:pPr>
        <w:ind w:left="540" w:hanging="370"/>
        <w:spacing w:after="0"/>
        <w:tabs>
          <w:tab w:leader="none" w:pos="5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Represents litigation and other professional fees associated with our EO sterilization facilities.</w:t>
      </w:r>
    </w:p>
    <w:p>
      <w:pPr>
        <w:spacing w:after="0" w:line="50" w:lineRule="exact"/>
        <w:rPr>
          <w:rFonts w:ascii="Arial" w:cs="Arial" w:eastAsia="Arial" w:hAnsi="Arial"/>
          <w:sz w:val="20"/>
          <w:szCs w:val="20"/>
          <w:color w:val="auto"/>
        </w:rPr>
      </w:pPr>
    </w:p>
    <w:p>
      <w:pPr>
        <w:ind w:left="540" w:right="40" w:hanging="370"/>
        <w:spacing w:after="0" w:line="293"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See Note 19, “Commitments and Contingencies.”</w:t>
      </w:r>
    </w:p>
    <w:p>
      <w:pPr>
        <w:spacing w:after="0" w:line="1" w:lineRule="exact"/>
        <w:rPr>
          <w:rFonts w:ascii="Arial" w:cs="Arial" w:eastAsia="Arial" w:hAnsi="Arial"/>
          <w:sz w:val="18"/>
          <w:szCs w:val="18"/>
          <w:color w:val="auto"/>
        </w:rPr>
      </w:pPr>
    </w:p>
    <w:p>
      <w:pPr>
        <w:ind w:left="540" w:right="260" w:hanging="370"/>
        <w:spacing w:after="0" w:line="264" w:lineRule="auto"/>
        <w:tabs>
          <w:tab w:leader="none" w:pos="5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1" w:lineRule="exact"/>
        <w:rPr>
          <w:rFonts w:ascii="Arial" w:cs="Arial" w:eastAsia="Arial" w:hAnsi="Arial"/>
          <w:sz w:val="20"/>
          <w:szCs w:val="20"/>
          <w:color w:val="auto"/>
        </w:rPr>
      </w:pPr>
    </w:p>
    <w:p>
      <w:pPr>
        <w:jc w:val="both"/>
        <w:ind w:left="540" w:right="140" w:hanging="370"/>
        <w:spacing w:after="0" w:line="264" w:lineRule="auto"/>
        <w:tabs>
          <w:tab w:leader="none" w:pos="5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Arial" w:cs="Arial" w:eastAsia="Arial" w:hAnsi="Arial"/>
          <w:sz w:val="20"/>
          <w:szCs w:val="20"/>
          <w:color w:val="auto"/>
        </w:rPr>
      </w:pPr>
    </w:p>
    <w:p>
      <w:pPr>
        <w:ind w:left="540" w:right="360" w:hanging="370"/>
        <w:spacing w:after="0" w:line="271" w:lineRule="auto"/>
        <w:tabs>
          <w:tab w:leader="none" w:pos="5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Includes depreciation of Co-60 held at gamma irradiation sites and excludes accelerated depreciation associated with business optimization activities.</w:t>
      </w:r>
    </w:p>
    <w:p>
      <w:pPr>
        <w:ind w:left="540" w:right="80" w:hanging="370"/>
        <w:spacing w:after="0" w:line="271" w:lineRule="auto"/>
        <w:tabs>
          <w:tab w:leader="none" w:pos="5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Represents the difference between the income tax provision/benefit as determined under U.S. GAAP and the income tax provision (benefit) associated with pre-tax adjustments described in footnote (h).</w:t>
      </w:r>
    </w:p>
    <w:p>
      <w:pPr>
        <w:ind w:left="540" w:right="340" w:hanging="370"/>
        <w:spacing w:after="0" w:line="266" w:lineRule="auto"/>
        <w:tabs>
          <w:tab w:leader="none" w:pos="5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$99.9 million and $97.1 million of the adjustments for the year ended December 31, 2025 and 2024, respectively, are included in cost of revenues, primarily consisting of amortization of intangible assets, depreciation, and accretion of ARO.</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 OF OPERATIONS</w:t>
      </w:r>
    </w:p>
    <w:p>
      <w:pPr>
        <w:spacing w:after="0" w:line="217" w:lineRule="exact"/>
        <w:rPr>
          <w:sz w:val="20"/>
          <w:szCs w:val="20"/>
          <w:color w:val="auto"/>
        </w:rPr>
      </w:pPr>
    </w:p>
    <w:p>
      <w:pPr>
        <w:ind w:right="100"/>
        <w:spacing w:after="0" w:line="299" w:lineRule="auto"/>
        <w:rPr>
          <w:sz w:val="20"/>
          <w:szCs w:val="20"/>
          <w:color w:val="auto"/>
        </w:rPr>
      </w:pPr>
      <w:r>
        <w:rPr>
          <w:rFonts w:ascii="Arial" w:cs="Arial" w:eastAsia="Arial" w:hAnsi="Arial"/>
          <w:sz w:val="18"/>
          <w:szCs w:val="18"/>
          <w:color w:val="auto"/>
        </w:rPr>
        <w:t>We have three reportable segments: Sterigenics, Nordion and Nelson Labs. Our chief operating decision maker evaluates performance and allocates resources within our business based on segment income, which excludes certain items which are included in income before tax as determined in our Consolidated Statements of Operations and Comprehensive Income (Loss). The accounting policies for our reportable segments are the same as those for the consolidated Company.</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Segments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Sterigenics</w:t>
      </w:r>
    </w:p>
    <w:p>
      <w:pPr>
        <w:spacing w:after="0" w:line="118" w:lineRule="exact"/>
        <w:rPr>
          <w:sz w:val="20"/>
          <w:szCs w:val="20"/>
          <w:color w:val="auto"/>
        </w:rPr>
      </w:pPr>
    </w:p>
    <w:p>
      <w:pPr>
        <w:ind w:right="740"/>
        <w:spacing w:after="0" w:line="266" w:lineRule="auto"/>
        <w:rPr>
          <w:sz w:val="20"/>
          <w:szCs w:val="20"/>
          <w:color w:val="auto"/>
        </w:rPr>
      </w:pPr>
      <w:r>
        <w:rPr>
          <w:rFonts w:ascii="Arial" w:cs="Arial" w:eastAsia="Arial" w:hAnsi="Arial"/>
          <w:sz w:val="20"/>
          <w:szCs w:val="20"/>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Nordion</w:t>
      </w:r>
    </w:p>
    <w:p>
      <w:pPr>
        <w:spacing w:after="0" w:line="118" w:lineRule="exact"/>
        <w:rPr>
          <w:sz w:val="20"/>
          <w:szCs w:val="20"/>
          <w:color w:val="auto"/>
        </w:rPr>
      </w:pPr>
    </w:p>
    <w:p>
      <w:pPr>
        <w:ind w:right="280"/>
        <w:spacing w:after="0" w:line="266" w:lineRule="auto"/>
        <w:rPr>
          <w:sz w:val="20"/>
          <w:szCs w:val="20"/>
          <w:color w:val="auto"/>
        </w:rPr>
      </w:pPr>
      <w:r>
        <w:rPr>
          <w:rFonts w:ascii="Arial" w:cs="Arial" w:eastAsia="Arial" w:hAnsi="Arial"/>
          <w:sz w:val="20"/>
          <w:szCs w:val="20"/>
          <w:color w:val="auto"/>
        </w:rPr>
        <w:t>Our Nordion business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55"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color w:val="auto"/>
        </w:rPr>
        <w:t>As a result of the time required to meet regulatory and logistics requirements for delivery of radioactive products, combined with accommodations that we make to our customers to minimize disruptions to their operations during the installation of Co-60, Nordion sales patterns can often vary significantly from one quarter to the next. In most cases,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Nelson Labs</w:t>
      </w:r>
    </w:p>
    <w:p>
      <w:pPr>
        <w:spacing w:after="0" w:line="118" w:lineRule="exact"/>
        <w:rPr>
          <w:sz w:val="20"/>
          <w:szCs w:val="20"/>
          <w:color w:val="auto"/>
        </w:rPr>
      </w:pPr>
    </w:p>
    <w:p>
      <w:pPr>
        <w:ind w:right="240"/>
        <w:spacing w:after="0" w:line="283" w:lineRule="auto"/>
        <w:rPr>
          <w:sz w:val="20"/>
          <w:szCs w:val="20"/>
          <w:color w:val="auto"/>
        </w:rPr>
      </w:pPr>
      <w:r>
        <w:rPr>
          <w:rFonts w:ascii="Arial" w:cs="Arial" w:eastAsia="Arial" w:hAnsi="Arial"/>
          <w:sz w:val="20"/>
          <w:szCs w:val="20"/>
          <w:color w:val="auto"/>
        </w:rPr>
        <w:t>Our Nelson Labs business provides outsourced microbiological and analytical chemistry testing and advisory services for the medical device and pharmaceutical industries.</w:t>
      </w:r>
    </w:p>
    <w:p>
      <w:pPr>
        <w:spacing w:after="0" w:line="138" w:lineRule="exact"/>
        <w:rPr>
          <w:sz w:val="20"/>
          <w:szCs w:val="20"/>
          <w:color w:val="auto"/>
        </w:rPr>
      </w:pPr>
    </w:p>
    <w:p>
      <w:pPr>
        <w:ind w:right="740"/>
        <w:spacing w:after="0" w:line="283" w:lineRule="auto"/>
        <w:rPr>
          <w:sz w:val="20"/>
          <w:szCs w:val="20"/>
          <w:color w:val="auto"/>
        </w:rPr>
      </w:pPr>
      <w:r>
        <w:rPr>
          <w:rFonts w:ascii="Arial" w:cs="Arial" w:eastAsia="Arial" w:hAnsi="Arial"/>
          <w:sz w:val="20"/>
          <w:szCs w:val="20"/>
          <w:color w:val="auto"/>
        </w:rPr>
        <w:t>For more information regarding our reportable segments please refer to Item 1. “Business” and Note 21, “Segment and Geographic Information” to our consolidated financial statements.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240"/>
          </w:cols>
          <w:pgMar w:left="820" w:top="412" w:right="82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Segment Results for the Years Ended December 31, 2025 and 2024</w:t>
      </w:r>
    </w:p>
    <w:p>
      <w:pPr>
        <w:spacing w:after="0" w:line="214"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b w:val="1"/>
          <w:bCs w:val="1"/>
          <w:i w:val="1"/>
          <w:iCs w:val="1"/>
          <w:color w:val="auto"/>
        </w:rPr>
        <w:t>The following section summarizes the segment results for the years ended December 31, 2025 and 2024. The discussion of the segment results for the years ended December 31, 2024 and 2023 are presented within our Annual Report on Form 10-K for the year ended December 31, 2024 under “Item 7. Management’s Discussion and Analysis of Financial Condition and Results of Operations - Segment Results for the years ended December 31, 2023 and 2022.”</w:t>
      </w:r>
    </w:p>
    <w:p>
      <w:pPr>
        <w:spacing w:after="0" w:line="128" w:lineRule="exact"/>
        <w:rPr>
          <w:sz w:val="20"/>
          <w:szCs w:val="20"/>
          <w:color w:val="auto"/>
        </w:rPr>
      </w:pPr>
    </w:p>
    <w:p>
      <w:pPr>
        <w:ind w:right="480"/>
        <w:spacing w:after="0" w:line="283" w:lineRule="auto"/>
        <w:rPr>
          <w:sz w:val="20"/>
          <w:szCs w:val="20"/>
          <w:color w:val="auto"/>
        </w:rPr>
      </w:pPr>
      <w:r>
        <w:rPr>
          <w:rFonts w:ascii="Arial" w:cs="Arial" w:eastAsia="Arial" w:hAnsi="Arial"/>
          <w:sz w:val="20"/>
          <w:szCs w:val="20"/>
          <w:color w:val="auto"/>
        </w:rPr>
        <w:t>The following tables compare segment net revenue and segment income for the year ended December 31, 2025 to the year ended December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gridSpan w:val="4"/>
          </w:tcPr>
          <w:p>
            <w:pPr>
              <w:jc w:val="right"/>
              <w:ind w:right="583"/>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6"/>
        </w:trPr>
        <w:tc>
          <w:tcPr>
            <w:tcW w:w="4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5"/>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w w:val="99"/>
              </w:rPr>
              <w:t>$ Change</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 Change</w:t>
            </w:r>
          </w:p>
        </w:tc>
      </w:tr>
      <w:tr>
        <w:trPr>
          <w:trHeight w:val="110"/>
        </w:trPr>
        <w:tc>
          <w:tcPr>
            <w:tcW w:w="4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85"/>
        </w:trPr>
        <w:tc>
          <w:tcPr>
            <w:tcW w:w="4240" w:type="dxa"/>
            <w:vAlign w:val="bottom"/>
            <w:shd w:val="clear" w:color="auto" w:fill="D2EEF5"/>
          </w:tcPr>
          <w:p>
            <w:pPr>
              <w:ind w:left="40"/>
              <w:spacing w:after="0"/>
              <w:rPr>
                <w:sz w:val="20"/>
                <w:szCs w:val="20"/>
                <w:color w:val="auto"/>
              </w:rPr>
            </w:pPr>
            <w:r>
              <w:rPr>
                <w:rFonts w:ascii="Arial" w:cs="Arial" w:eastAsia="Arial" w:hAnsi="Arial"/>
                <w:sz w:val="20"/>
                <w:szCs w:val="20"/>
                <w:b w:val="1"/>
                <w:bCs w:val="1"/>
                <w:color w:val="auto"/>
              </w:rPr>
              <w:t>Net Revenues</w:t>
            </w:r>
          </w:p>
        </w:tc>
        <w:tc>
          <w:tcPr>
            <w:tcW w:w="360" w:type="dxa"/>
            <w:vAlign w:val="bottom"/>
            <w:shd w:val="clear" w:color="auto" w:fill="D2EEF5"/>
          </w:tcPr>
          <w:p>
            <w:pPr>
              <w:spacing w:after="0"/>
              <w:rPr>
                <w:sz w:val="24"/>
                <w:szCs w:val="24"/>
                <w:color w:val="auto"/>
              </w:rPr>
            </w:pPr>
          </w:p>
        </w:tc>
        <w:tc>
          <w:tcPr>
            <w:tcW w:w="11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380" w:type="dxa"/>
            <w:vAlign w:val="bottom"/>
            <w:shd w:val="clear" w:color="auto" w:fill="D2EEF5"/>
          </w:tcPr>
          <w:p>
            <w:pPr>
              <w:spacing w:after="0"/>
              <w:rPr>
                <w:sz w:val="24"/>
                <w:szCs w:val="24"/>
                <w:color w:val="auto"/>
              </w:rPr>
            </w:pPr>
          </w:p>
        </w:tc>
        <w:tc>
          <w:tcPr>
            <w:tcW w:w="116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106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320" w:type="dxa"/>
            <w:vAlign w:val="bottom"/>
            <w:shd w:val="clear" w:color="auto" w:fill="D2EEF5"/>
          </w:tcPr>
          <w:p>
            <w:pPr>
              <w:spacing w:after="0"/>
              <w:rPr>
                <w:sz w:val="24"/>
                <w:szCs w:val="24"/>
                <w:color w:val="auto"/>
              </w:rPr>
            </w:pPr>
          </w:p>
        </w:tc>
      </w:tr>
      <w:tr>
        <w:trPr>
          <w:trHeight w:val="278"/>
        </w:trPr>
        <w:tc>
          <w:tcPr>
            <w:tcW w:w="4240" w:type="dxa"/>
            <w:vAlign w:val="bottom"/>
          </w:tcPr>
          <w:p>
            <w:pPr>
              <w:ind w:left="520"/>
              <w:spacing w:after="0"/>
              <w:rPr>
                <w:sz w:val="20"/>
                <w:szCs w:val="20"/>
                <w:color w:val="auto"/>
              </w:rPr>
            </w:pPr>
            <w:r>
              <w:rPr>
                <w:rFonts w:ascii="Arial" w:cs="Arial" w:eastAsia="Arial" w:hAnsi="Arial"/>
                <w:sz w:val="20"/>
                <w:szCs w:val="20"/>
                <w:b w:val="1"/>
                <w:bCs w:val="1"/>
                <w:color w:val="auto"/>
              </w:rPr>
              <w:t>Sterigenics</w:t>
            </w:r>
          </w:p>
        </w:tc>
        <w:tc>
          <w:tcPr>
            <w:tcW w:w="360" w:type="dxa"/>
            <w:vAlign w:val="bottom"/>
          </w:tcPr>
          <w:p>
            <w:pPr>
              <w:jc w:val="right"/>
              <w:ind w:right="120"/>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ind w:right="185"/>
              <w:spacing w:after="0"/>
              <w:rPr>
                <w:sz w:val="20"/>
                <w:szCs w:val="20"/>
                <w:color w:val="auto"/>
              </w:rPr>
            </w:pPr>
            <w:r>
              <w:rPr>
                <w:rFonts w:ascii="Arial" w:cs="Arial" w:eastAsia="Arial" w:hAnsi="Arial"/>
                <w:sz w:val="20"/>
                <w:szCs w:val="20"/>
                <w:b w:val="1"/>
                <w:bCs w:val="1"/>
                <w:color w:val="auto"/>
              </w:rPr>
              <w:t>755,780</w:t>
            </w:r>
          </w:p>
        </w:tc>
        <w:tc>
          <w:tcPr>
            <w:tcW w:w="5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43"/>
              <w:spacing w:after="0"/>
              <w:rPr>
                <w:sz w:val="20"/>
                <w:szCs w:val="20"/>
                <w:color w:val="auto"/>
              </w:rPr>
            </w:pPr>
            <w:r>
              <w:rPr>
                <w:rFonts w:ascii="Arial" w:cs="Arial" w:eastAsia="Arial" w:hAnsi="Arial"/>
                <w:sz w:val="20"/>
                <w:szCs w:val="20"/>
                <w:color w:val="auto"/>
              </w:rPr>
              <w:t>697,853</w:t>
            </w:r>
          </w:p>
        </w:tc>
        <w:tc>
          <w:tcPr>
            <w:tcW w:w="3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57,927</w:t>
            </w:r>
          </w:p>
        </w:tc>
        <w:tc>
          <w:tcPr>
            <w:tcW w:w="1440" w:type="dxa"/>
            <w:vAlign w:val="bottom"/>
            <w:gridSpan w:val="2"/>
          </w:tcPr>
          <w:p>
            <w:pPr>
              <w:jc w:val="right"/>
              <w:ind w:right="10"/>
              <w:spacing w:after="0"/>
              <w:rPr>
                <w:sz w:val="20"/>
                <w:szCs w:val="20"/>
                <w:color w:val="auto"/>
              </w:rPr>
            </w:pPr>
            <w:r>
              <w:rPr>
                <w:rFonts w:ascii="Arial" w:cs="Arial" w:eastAsia="Arial" w:hAnsi="Arial"/>
                <w:sz w:val="20"/>
                <w:szCs w:val="20"/>
                <w:color w:val="auto"/>
              </w:rPr>
              <w:t>8.3%</w:t>
            </w:r>
          </w:p>
        </w:tc>
      </w:tr>
      <w:tr>
        <w:trPr>
          <w:trHeight w:val="292"/>
        </w:trPr>
        <w:tc>
          <w:tcPr>
            <w:tcW w:w="4240" w:type="dxa"/>
            <w:vAlign w:val="bottom"/>
            <w:shd w:val="clear" w:color="auto" w:fill="D2EEF5"/>
          </w:tcPr>
          <w:p>
            <w:pPr>
              <w:ind w:left="520"/>
              <w:spacing w:after="0"/>
              <w:rPr>
                <w:sz w:val="20"/>
                <w:szCs w:val="20"/>
                <w:color w:val="auto"/>
              </w:rPr>
            </w:pPr>
            <w:r>
              <w:rPr>
                <w:rFonts w:ascii="Arial" w:cs="Arial" w:eastAsia="Arial" w:hAnsi="Arial"/>
                <w:sz w:val="20"/>
                <w:szCs w:val="20"/>
                <w:b w:val="1"/>
                <w:bCs w:val="1"/>
                <w:color w:val="auto"/>
              </w:rPr>
              <w:t>Nordion</w:t>
            </w:r>
          </w:p>
        </w:tc>
        <w:tc>
          <w:tcPr>
            <w:tcW w:w="360" w:type="dxa"/>
            <w:vAlign w:val="bottom"/>
            <w:shd w:val="clear" w:color="auto" w:fill="D2EEF5"/>
          </w:tcPr>
          <w:p>
            <w:pPr>
              <w:spacing w:after="0"/>
              <w:rPr>
                <w:sz w:val="24"/>
                <w:szCs w:val="24"/>
                <w:color w:val="auto"/>
              </w:rPr>
            </w:pPr>
          </w:p>
        </w:tc>
        <w:tc>
          <w:tcPr>
            <w:tcW w:w="1140" w:type="dxa"/>
            <w:vAlign w:val="bottom"/>
            <w:shd w:val="clear" w:color="auto" w:fill="D2EEF5"/>
          </w:tcPr>
          <w:p>
            <w:pPr>
              <w:jc w:val="right"/>
              <w:ind w:right="185"/>
              <w:spacing w:after="0"/>
              <w:rPr>
                <w:sz w:val="20"/>
                <w:szCs w:val="20"/>
                <w:color w:val="auto"/>
              </w:rPr>
            </w:pPr>
            <w:r>
              <w:rPr>
                <w:rFonts w:ascii="Arial" w:cs="Arial" w:eastAsia="Arial" w:hAnsi="Arial"/>
                <w:sz w:val="20"/>
                <w:szCs w:val="20"/>
                <w:b w:val="1"/>
                <w:bCs w:val="1"/>
                <w:color w:val="auto"/>
              </w:rPr>
              <w:t>187,618</w:t>
            </w:r>
          </w:p>
        </w:tc>
        <w:tc>
          <w:tcPr>
            <w:tcW w:w="120" w:type="dxa"/>
            <w:vAlign w:val="bottom"/>
            <w:shd w:val="clear" w:color="auto" w:fill="D2EEF5"/>
          </w:tcPr>
          <w:p>
            <w:pPr>
              <w:spacing w:after="0"/>
              <w:rPr>
                <w:sz w:val="24"/>
                <w:szCs w:val="24"/>
                <w:color w:val="auto"/>
              </w:rPr>
            </w:pPr>
          </w:p>
        </w:tc>
        <w:tc>
          <w:tcPr>
            <w:tcW w:w="380" w:type="dxa"/>
            <w:vAlign w:val="bottom"/>
            <w:shd w:val="clear" w:color="auto" w:fill="D2EEF5"/>
          </w:tcPr>
          <w:p>
            <w:pPr>
              <w:spacing w:after="0"/>
              <w:rPr>
                <w:sz w:val="24"/>
                <w:szCs w:val="24"/>
                <w:color w:val="auto"/>
              </w:rPr>
            </w:pPr>
          </w:p>
        </w:tc>
        <w:tc>
          <w:tcPr>
            <w:tcW w:w="1160" w:type="dxa"/>
            <w:vAlign w:val="bottom"/>
            <w:shd w:val="clear" w:color="auto" w:fill="D2EEF5"/>
          </w:tcPr>
          <w:p>
            <w:pPr>
              <w:jc w:val="right"/>
              <w:ind w:right="143"/>
              <w:spacing w:after="0"/>
              <w:rPr>
                <w:sz w:val="20"/>
                <w:szCs w:val="20"/>
                <w:color w:val="auto"/>
              </w:rPr>
            </w:pPr>
            <w:r>
              <w:rPr>
                <w:rFonts w:ascii="Arial" w:cs="Arial" w:eastAsia="Arial" w:hAnsi="Arial"/>
                <w:sz w:val="20"/>
                <w:szCs w:val="20"/>
                <w:color w:val="auto"/>
              </w:rPr>
              <w:t>173,355</w:t>
            </w:r>
          </w:p>
        </w:tc>
        <w:tc>
          <w:tcPr>
            <w:tcW w:w="12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14,263</w:t>
            </w:r>
          </w:p>
        </w:tc>
        <w:tc>
          <w:tcPr>
            <w:tcW w:w="1440" w:type="dxa"/>
            <w:vAlign w:val="bottom"/>
            <w:gridSpan w:val="2"/>
            <w:shd w:val="clear" w:color="auto" w:fill="D2EEF5"/>
          </w:tcPr>
          <w:p>
            <w:pPr>
              <w:jc w:val="right"/>
              <w:ind w:right="10"/>
              <w:spacing w:after="0"/>
              <w:rPr>
                <w:sz w:val="20"/>
                <w:szCs w:val="20"/>
                <w:color w:val="auto"/>
              </w:rPr>
            </w:pPr>
            <w:r>
              <w:rPr>
                <w:rFonts w:ascii="Arial" w:cs="Arial" w:eastAsia="Arial" w:hAnsi="Arial"/>
                <w:sz w:val="20"/>
                <w:szCs w:val="20"/>
                <w:color w:val="auto"/>
              </w:rPr>
              <w:t>8.2%</w:t>
            </w:r>
          </w:p>
        </w:tc>
      </w:tr>
      <w:tr>
        <w:trPr>
          <w:trHeight w:val="275"/>
        </w:trPr>
        <w:tc>
          <w:tcPr>
            <w:tcW w:w="4240" w:type="dxa"/>
            <w:vAlign w:val="bottom"/>
          </w:tcPr>
          <w:p>
            <w:pPr>
              <w:ind w:left="520"/>
              <w:spacing w:after="0"/>
              <w:rPr>
                <w:sz w:val="20"/>
                <w:szCs w:val="20"/>
                <w:color w:val="auto"/>
              </w:rPr>
            </w:pPr>
            <w:r>
              <w:rPr>
                <w:rFonts w:ascii="Arial" w:cs="Arial" w:eastAsia="Arial" w:hAnsi="Arial"/>
                <w:sz w:val="20"/>
                <w:szCs w:val="20"/>
                <w:b w:val="1"/>
                <w:bCs w:val="1"/>
                <w:color w:val="auto"/>
              </w:rPr>
              <w:t>Nelson Labs</w:t>
            </w:r>
          </w:p>
        </w:tc>
        <w:tc>
          <w:tcPr>
            <w:tcW w:w="360" w:type="dxa"/>
            <w:vAlign w:val="bottom"/>
          </w:tcPr>
          <w:p>
            <w:pPr>
              <w:spacing w:after="0"/>
              <w:rPr>
                <w:sz w:val="23"/>
                <w:szCs w:val="23"/>
                <w:color w:val="auto"/>
              </w:rPr>
            </w:pPr>
          </w:p>
        </w:tc>
        <w:tc>
          <w:tcPr>
            <w:tcW w:w="1140" w:type="dxa"/>
            <w:vAlign w:val="bottom"/>
          </w:tcPr>
          <w:p>
            <w:pPr>
              <w:jc w:val="right"/>
              <w:ind w:right="185"/>
              <w:spacing w:after="0"/>
              <w:rPr>
                <w:sz w:val="20"/>
                <w:szCs w:val="20"/>
                <w:color w:val="auto"/>
              </w:rPr>
            </w:pPr>
            <w:r>
              <w:rPr>
                <w:rFonts w:ascii="Arial" w:cs="Arial" w:eastAsia="Arial" w:hAnsi="Arial"/>
                <w:sz w:val="20"/>
                <w:szCs w:val="20"/>
                <w:b w:val="1"/>
                <w:bCs w:val="1"/>
                <w:color w:val="auto"/>
              </w:rPr>
              <w:t>220,219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43"/>
              <w:spacing w:after="0"/>
              <w:rPr>
                <w:sz w:val="20"/>
                <w:szCs w:val="20"/>
                <w:color w:val="auto"/>
              </w:rPr>
            </w:pPr>
            <w:r>
              <w:rPr>
                <w:rFonts w:ascii="Arial" w:cs="Arial" w:eastAsia="Arial" w:hAnsi="Arial"/>
                <w:sz w:val="20"/>
                <w:szCs w:val="20"/>
                <w:color w:val="auto"/>
              </w:rPr>
              <w:t>229,233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(9,014)</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(3.9%)</w:t>
            </w:r>
          </w:p>
        </w:tc>
      </w:tr>
      <w:tr>
        <w:trPr>
          <w:trHeight w:val="185"/>
        </w:trPr>
        <w:tc>
          <w:tcPr>
            <w:tcW w:w="4240" w:type="dxa"/>
            <w:vAlign w:val="bottom"/>
            <w:tcBorders>
              <w:top w:val="single" w:sz="8" w:color="D2EEF5"/>
            </w:tcBorders>
            <w:shd w:val="clear" w:color="auto" w:fill="D2EEF5"/>
          </w:tcPr>
          <w:p>
            <w:pPr>
              <w:spacing w:after="0"/>
              <w:rPr>
                <w:sz w:val="16"/>
                <w:szCs w:val="16"/>
                <w:color w:val="auto"/>
              </w:rPr>
            </w:pPr>
          </w:p>
        </w:tc>
        <w:tc>
          <w:tcPr>
            <w:tcW w:w="360" w:type="dxa"/>
            <w:vAlign w:val="bottom"/>
            <w:tcBorders>
              <w:top w:val="single" w:sz="8" w:color="auto"/>
            </w:tcBorders>
            <w:shd w:val="clear" w:color="auto" w:fill="D2EEF5"/>
          </w:tcPr>
          <w:p>
            <w:pPr>
              <w:spacing w:after="0"/>
              <w:rPr>
                <w:sz w:val="16"/>
                <w:szCs w:val="16"/>
                <w:color w:val="auto"/>
              </w:rPr>
            </w:pPr>
          </w:p>
        </w:tc>
        <w:tc>
          <w:tcPr>
            <w:tcW w:w="1140" w:type="dxa"/>
            <w:vAlign w:val="bottom"/>
            <w:tcBorders>
              <w:top w:val="single" w:sz="8" w:color="auto"/>
            </w:tcBorders>
            <w:shd w:val="clear" w:color="auto" w:fill="D2EEF5"/>
          </w:tcPr>
          <w:p>
            <w:pPr>
              <w:spacing w:after="0"/>
              <w:rPr>
                <w:sz w:val="16"/>
                <w:szCs w:val="16"/>
                <w:color w:val="auto"/>
              </w:rPr>
            </w:pPr>
          </w:p>
        </w:tc>
        <w:tc>
          <w:tcPr>
            <w:tcW w:w="120" w:type="dxa"/>
            <w:vAlign w:val="bottom"/>
            <w:tcBorders>
              <w:top w:val="single" w:sz="8" w:color="D2EEF5"/>
            </w:tcBorders>
            <w:shd w:val="clear" w:color="auto" w:fill="D2EEF5"/>
          </w:tcPr>
          <w:p>
            <w:pPr>
              <w:spacing w:after="0"/>
              <w:rPr>
                <w:sz w:val="16"/>
                <w:szCs w:val="16"/>
                <w:color w:val="auto"/>
              </w:rPr>
            </w:pPr>
          </w:p>
        </w:tc>
        <w:tc>
          <w:tcPr>
            <w:tcW w:w="380" w:type="dxa"/>
            <w:vAlign w:val="bottom"/>
            <w:tcBorders>
              <w:top w:val="single" w:sz="8" w:color="auto"/>
            </w:tcBorders>
            <w:shd w:val="clear" w:color="auto" w:fill="D2EEF5"/>
          </w:tcPr>
          <w:p>
            <w:pPr>
              <w:spacing w:after="0"/>
              <w:rPr>
                <w:sz w:val="16"/>
                <w:szCs w:val="16"/>
                <w:color w:val="auto"/>
              </w:rPr>
            </w:pPr>
          </w:p>
        </w:tc>
        <w:tc>
          <w:tcPr>
            <w:tcW w:w="1160" w:type="dxa"/>
            <w:vAlign w:val="bottom"/>
            <w:tcBorders>
              <w:top w:val="single" w:sz="8" w:color="auto"/>
            </w:tcBorders>
            <w:shd w:val="clear" w:color="auto" w:fill="D2EEF5"/>
          </w:tcPr>
          <w:p>
            <w:pPr>
              <w:spacing w:after="0"/>
              <w:rPr>
                <w:sz w:val="16"/>
                <w:szCs w:val="16"/>
                <w:color w:val="auto"/>
              </w:rPr>
            </w:pPr>
          </w:p>
        </w:tc>
        <w:tc>
          <w:tcPr>
            <w:tcW w:w="120" w:type="dxa"/>
            <w:vAlign w:val="bottom"/>
            <w:tcBorders>
              <w:top w:val="single" w:sz="8" w:color="D2EEF5"/>
            </w:tcBorders>
            <w:shd w:val="clear" w:color="auto" w:fill="D2EEF5"/>
          </w:tcPr>
          <w:p>
            <w:pPr>
              <w:spacing w:after="0"/>
              <w:rPr>
                <w:sz w:val="16"/>
                <w:szCs w:val="16"/>
                <w:color w:val="auto"/>
              </w:rPr>
            </w:pPr>
          </w:p>
        </w:tc>
        <w:tc>
          <w:tcPr>
            <w:tcW w:w="240" w:type="dxa"/>
            <w:vAlign w:val="bottom"/>
            <w:tcBorders>
              <w:top w:val="single" w:sz="8" w:color="auto"/>
            </w:tcBorders>
            <w:shd w:val="clear" w:color="auto" w:fill="D2EEF5"/>
          </w:tcPr>
          <w:p>
            <w:pPr>
              <w:spacing w:after="0"/>
              <w:rPr>
                <w:sz w:val="16"/>
                <w:szCs w:val="16"/>
                <w:color w:val="auto"/>
              </w:rPr>
            </w:pPr>
          </w:p>
        </w:tc>
        <w:tc>
          <w:tcPr>
            <w:tcW w:w="1060" w:type="dxa"/>
            <w:vAlign w:val="bottom"/>
            <w:tcBorders>
              <w:top w:val="single" w:sz="8" w:color="auto"/>
            </w:tcBorders>
            <w:shd w:val="clear" w:color="auto" w:fill="D2EEF5"/>
          </w:tcPr>
          <w:p>
            <w:pPr>
              <w:spacing w:after="0"/>
              <w:rPr>
                <w:sz w:val="16"/>
                <w:szCs w:val="16"/>
                <w:color w:val="auto"/>
              </w:rPr>
            </w:pPr>
          </w:p>
        </w:tc>
        <w:tc>
          <w:tcPr>
            <w:tcW w:w="120" w:type="dxa"/>
            <w:vAlign w:val="bottom"/>
            <w:tcBorders>
              <w:top w:val="single" w:sz="8" w:color="D2EEF5"/>
            </w:tcBorders>
            <w:shd w:val="clear" w:color="auto" w:fill="D2EEF5"/>
          </w:tcPr>
          <w:p>
            <w:pPr>
              <w:spacing w:after="0"/>
              <w:rPr>
                <w:sz w:val="16"/>
                <w:szCs w:val="16"/>
                <w:color w:val="auto"/>
              </w:rPr>
            </w:pPr>
          </w:p>
        </w:tc>
        <w:tc>
          <w:tcPr>
            <w:tcW w:w="1320" w:type="dxa"/>
            <w:vAlign w:val="bottom"/>
            <w:tcBorders>
              <w:top w:val="single" w:sz="8" w:color="auto"/>
            </w:tcBorders>
            <w:shd w:val="clear" w:color="auto" w:fill="D2EEF5"/>
          </w:tcPr>
          <w:p>
            <w:pPr>
              <w:spacing w:after="0"/>
              <w:rPr>
                <w:sz w:val="16"/>
                <w:szCs w:val="16"/>
                <w:color w:val="auto"/>
              </w:rPr>
            </w:pPr>
          </w:p>
        </w:tc>
      </w:tr>
      <w:tr>
        <w:trPr>
          <w:trHeight w:val="275"/>
        </w:trPr>
        <w:tc>
          <w:tcPr>
            <w:tcW w:w="4240" w:type="dxa"/>
            <w:vAlign w:val="bottom"/>
          </w:tcPr>
          <w:p>
            <w:pPr>
              <w:ind w:left="40"/>
              <w:spacing w:after="0"/>
              <w:rPr>
                <w:sz w:val="20"/>
                <w:szCs w:val="20"/>
                <w:color w:val="auto"/>
              </w:rPr>
            </w:pPr>
            <w:r>
              <w:rPr>
                <w:rFonts w:ascii="Arial" w:cs="Arial" w:eastAsia="Arial" w:hAnsi="Arial"/>
                <w:sz w:val="20"/>
                <w:szCs w:val="20"/>
                <w:b w:val="1"/>
                <w:bCs w:val="1"/>
                <w:color w:val="auto"/>
              </w:rPr>
              <w:t>Segment Income</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95"/>
        </w:trPr>
        <w:tc>
          <w:tcPr>
            <w:tcW w:w="4240" w:type="dxa"/>
            <w:vAlign w:val="bottom"/>
            <w:shd w:val="clear" w:color="auto" w:fill="D2EEF5"/>
          </w:tcPr>
          <w:p>
            <w:pPr>
              <w:ind w:left="520"/>
              <w:spacing w:after="0"/>
              <w:rPr>
                <w:sz w:val="20"/>
                <w:szCs w:val="20"/>
                <w:color w:val="auto"/>
              </w:rPr>
            </w:pPr>
            <w:r>
              <w:rPr>
                <w:rFonts w:ascii="Arial" w:cs="Arial" w:eastAsia="Arial" w:hAnsi="Arial"/>
                <w:sz w:val="20"/>
                <w:szCs w:val="20"/>
                <w:b w:val="1"/>
                <w:bCs w:val="1"/>
                <w:color w:val="auto"/>
              </w:rPr>
              <w:t>Sterigenics</w:t>
            </w:r>
          </w:p>
        </w:tc>
        <w:tc>
          <w:tcPr>
            <w:tcW w:w="360" w:type="dxa"/>
            <w:vAlign w:val="bottom"/>
            <w:shd w:val="clear" w:color="auto" w:fill="D2EEF5"/>
          </w:tcPr>
          <w:p>
            <w:pPr>
              <w:jc w:val="right"/>
              <w:ind w:right="120"/>
              <w:spacing w:after="0"/>
              <w:rPr>
                <w:sz w:val="20"/>
                <w:szCs w:val="20"/>
                <w:color w:val="auto"/>
              </w:rPr>
            </w:pPr>
            <w:r>
              <w:rPr>
                <w:rFonts w:ascii="Arial" w:cs="Arial" w:eastAsia="Arial" w:hAnsi="Arial"/>
                <w:sz w:val="20"/>
                <w:szCs w:val="20"/>
                <w:b w:val="1"/>
                <w:bCs w:val="1"/>
                <w:color w:val="auto"/>
              </w:rPr>
              <w:t>$</w:t>
            </w:r>
          </w:p>
        </w:tc>
        <w:tc>
          <w:tcPr>
            <w:tcW w:w="1140" w:type="dxa"/>
            <w:vAlign w:val="bottom"/>
            <w:shd w:val="clear" w:color="auto" w:fill="D2EEF5"/>
          </w:tcPr>
          <w:p>
            <w:pPr>
              <w:jc w:val="right"/>
              <w:ind w:right="185"/>
              <w:spacing w:after="0"/>
              <w:rPr>
                <w:sz w:val="20"/>
                <w:szCs w:val="20"/>
                <w:color w:val="auto"/>
              </w:rPr>
            </w:pPr>
            <w:r>
              <w:rPr>
                <w:rFonts w:ascii="Arial" w:cs="Arial" w:eastAsia="Arial" w:hAnsi="Arial"/>
                <w:sz w:val="20"/>
                <w:szCs w:val="20"/>
                <w:b w:val="1"/>
                <w:bCs w:val="1"/>
                <w:color w:val="auto"/>
              </w:rPr>
              <w:t>412,893</w:t>
            </w:r>
          </w:p>
        </w:tc>
        <w:tc>
          <w:tcPr>
            <w:tcW w:w="500" w:type="dxa"/>
            <w:vAlign w:val="bottom"/>
            <w:gridSpan w:val="2"/>
            <w:shd w:val="clear" w:color="auto" w:fill="D2EEF5"/>
          </w:tcPr>
          <w:p>
            <w:pPr>
              <w:jc w:val="right"/>
              <w:ind w:right="240"/>
              <w:spacing w:after="0"/>
              <w:rPr>
                <w:sz w:val="20"/>
                <w:szCs w:val="20"/>
                <w:color w:val="auto"/>
              </w:rPr>
            </w:pPr>
            <w:r>
              <w:rPr>
                <w:rFonts w:ascii="Arial" w:cs="Arial" w:eastAsia="Arial" w:hAnsi="Arial"/>
                <w:sz w:val="20"/>
                <w:szCs w:val="20"/>
                <w:color w:val="auto"/>
              </w:rPr>
              <w:t>$</w:t>
            </w:r>
          </w:p>
        </w:tc>
        <w:tc>
          <w:tcPr>
            <w:tcW w:w="1160" w:type="dxa"/>
            <w:vAlign w:val="bottom"/>
            <w:shd w:val="clear" w:color="auto" w:fill="D2EEF5"/>
          </w:tcPr>
          <w:p>
            <w:pPr>
              <w:jc w:val="right"/>
              <w:ind w:right="143"/>
              <w:spacing w:after="0"/>
              <w:rPr>
                <w:sz w:val="20"/>
                <w:szCs w:val="20"/>
                <w:color w:val="auto"/>
              </w:rPr>
            </w:pPr>
            <w:r>
              <w:rPr>
                <w:rFonts w:ascii="Arial" w:cs="Arial" w:eastAsia="Arial" w:hAnsi="Arial"/>
                <w:sz w:val="20"/>
                <w:szCs w:val="20"/>
                <w:color w:val="auto"/>
              </w:rPr>
              <w:t>378,171</w:t>
            </w:r>
          </w:p>
        </w:tc>
        <w:tc>
          <w:tcPr>
            <w:tcW w:w="360" w:type="dxa"/>
            <w:vAlign w:val="bottom"/>
            <w:gridSpan w:val="2"/>
            <w:shd w:val="clear" w:color="auto" w:fill="D2EEF5"/>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34,722</w:t>
            </w:r>
          </w:p>
        </w:tc>
        <w:tc>
          <w:tcPr>
            <w:tcW w:w="1440" w:type="dxa"/>
            <w:vAlign w:val="bottom"/>
            <w:gridSpan w:val="2"/>
            <w:shd w:val="clear" w:color="auto" w:fill="D2EEF5"/>
          </w:tcPr>
          <w:p>
            <w:pPr>
              <w:jc w:val="right"/>
              <w:ind w:right="10"/>
              <w:spacing w:after="0"/>
              <w:rPr>
                <w:sz w:val="20"/>
                <w:szCs w:val="20"/>
                <w:color w:val="auto"/>
              </w:rPr>
            </w:pPr>
            <w:r>
              <w:rPr>
                <w:rFonts w:ascii="Arial" w:cs="Arial" w:eastAsia="Arial" w:hAnsi="Arial"/>
                <w:sz w:val="20"/>
                <w:szCs w:val="20"/>
                <w:color w:val="auto"/>
              </w:rPr>
              <w:t>9.2%</w:t>
            </w:r>
          </w:p>
        </w:tc>
      </w:tr>
      <w:tr>
        <w:trPr>
          <w:trHeight w:val="278"/>
        </w:trPr>
        <w:tc>
          <w:tcPr>
            <w:tcW w:w="4240" w:type="dxa"/>
            <w:vAlign w:val="bottom"/>
          </w:tcPr>
          <w:p>
            <w:pPr>
              <w:ind w:left="520"/>
              <w:spacing w:after="0"/>
              <w:rPr>
                <w:sz w:val="20"/>
                <w:szCs w:val="20"/>
                <w:color w:val="auto"/>
              </w:rPr>
            </w:pPr>
            <w:r>
              <w:rPr>
                <w:rFonts w:ascii="Arial" w:cs="Arial" w:eastAsia="Arial" w:hAnsi="Arial"/>
                <w:sz w:val="20"/>
                <w:szCs w:val="20"/>
                <w:b w:val="1"/>
                <w:bCs w:val="1"/>
                <w:color w:val="auto"/>
              </w:rPr>
              <w:t>Nordion</w:t>
            </w:r>
          </w:p>
        </w:tc>
        <w:tc>
          <w:tcPr>
            <w:tcW w:w="360" w:type="dxa"/>
            <w:vAlign w:val="bottom"/>
          </w:tcPr>
          <w:p>
            <w:pPr>
              <w:spacing w:after="0"/>
              <w:rPr>
                <w:sz w:val="24"/>
                <w:szCs w:val="24"/>
                <w:color w:val="auto"/>
              </w:rPr>
            </w:pPr>
          </w:p>
        </w:tc>
        <w:tc>
          <w:tcPr>
            <w:tcW w:w="1140" w:type="dxa"/>
            <w:vAlign w:val="bottom"/>
          </w:tcPr>
          <w:p>
            <w:pPr>
              <w:jc w:val="right"/>
              <w:ind w:right="185"/>
              <w:spacing w:after="0"/>
              <w:rPr>
                <w:sz w:val="20"/>
                <w:szCs w:val="20"/>
                <w:color w:val="auto"/>
              </w:rPr>
            </w:pPr>
            <w:r>
              <w:rPr>
                <w:rFonts w:ascii="Arial" w:cs="Arial" w:eastAsia="Arial" w:hAnsi="Arial"/>
                <w:sz w:val="20"/>
                <w:szCs w:val="20"/>
                <w:b w:val="1"/>
                <w:bCs w:val="1"/>
                <w:color w:val="auto"/>
              </w:rPr>
              <w:t>107,578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143"/>
              <w:spacing w:after="0"/>
              <w:rPr>
                <w:sz w:val="20"/>
                <w:szCs w:val="20"/>
                <w:color w:val="auto"/>
              </w:rPr>
            </w:pPr>
            <w:r>
              <w:rPr>
                <w:rFonts w:ascii="Arial" w:cs="Arial" w:eastAsia="Arial" w:hAnsi="Arial"/>
                <w:sz w:val="20"/>
                <w:szCs w:val="20"/>
                <w:color w:val="auto"/>
              </w:rPr>
              <w:t>101,220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6,358</w:t>
            </w:r>
          </w:p>
        </w:tc>
        <w:tc>
          <w:tcPr>
            <w:tcW w:w="1440" w:type="dxa"/>
            <w:vAlign w:val="bottom"/>
            <w:gridSpan w:val="2"/>
          </w:tcPr>
          <w:p>
            <w:pPr>
              <w:jc w:val="right"/>
              <w:ind w:right="10"/>
              <w:spacing w:after="0"/>
              <w:rPr>
                <w:sz w:val="20"/>
                <w:szCs w:val="20"/>
                <w:color w:val="auto"/>
              </w:rPr>
            </w:pPr>
            <w:r>
              <w:rPr>
                <w:rFonts w:ascii="Arial" w:cs="Arial" w:eastAsia="Arial" w:hAnsi="Arial"/>
                <w:sz w:val="20"/>
                <w:szCs w:val="20"/>
                <w:color w:val="auto"/>
              </w:rPr>
              <w:t>6.3%</w:t>
            </w:r>
          </w:p>
        </w:tc>
      </w:tr>
      <w:tr>
        <w:trPr>
          <w:trHeight w:val="282"/>
        </w:trPr>
        <w:tc>
          <w:tcPr>
            <w:tcW w:w="4240" w:type="dxa"/>
            <w:vAlign w:val="bottom"/>
            <w:tcBorders>
              <w:bottom w:val="single" w:sz="8" w:color="D2EEF5"/>
            </w:tcBorders>
            <w:shd w:val="clear" w:color="auto" w:fill="D2EEF5"/>
          </w:tcPr>
          <w:p>
            <w:pPr>
              <w:ind w:left="520"/>
              <w:spacing w:after="0"/>
              <w:rPr>
                <w:sz w:val="20"/>
                <w:szCs w:val="20"/>
                <w:color w:val="auto"/>
              </w:rPr>
            </w:pPr>
            <w:r>
              <w:rPr>
                <w:rFonts w:ascii="Arial" w:cs="Arial" w:eastAsia="Arial" w:hAnsi="Arial"/>
                <w:sz w:val="20"/>
                <w:szCs w:val="20"/>
                <w:b w:val="1"/>
                <w:bCs w:val="1"/>
                <w:color w:val="auto"/>
              </w:rPr>
              <w:t>Nelson Labs</w:t>
            </w:r>
          </w:p>
        </w:tc>
        <w:tc>
          <w:tcPr>
            <w:tcW w:w="360" w:type="dxa"/>
            <w:vAlign w:val="bottom"/>
            <w:tcBorders>
              <w:bottom w:val="single" w:sz="8" w:color="auto"/>
            </w:tcBorders>
            <w:shd w:val="clear" w:color="auto" w:fill="D2EEF5"/>
          </w:tcPr>
          <w:p>
            <w:pPr>
              <w:spacing w:after="0"/>
              <w:rPr>
                <w:sz w:val="24"/>
                <w:szCs w:val="24"/>
                <w:color w:val="auto"/>
              </w:rPr>
            </w:pPr>
          </w:p>
        </w:tc>
        <w:tc>
          <w:tcPr>
            <w:tcW w:w="1140" w:type="dxa"/>
            <w:vAlign w:val="bottom"/>
            <w:tcBorders>
              <w:bottom w:val="single" w:sz="8" w:color="auto"/>
            </w:tcBorders>
            <w:shd w:val="clear" w:color="auto" w:fill="D2EEF5"/>
          </w:tcPr>
          <w:p>
            <w:pPr>
              <w:jc w:val="right"/>
              <w:ind w:right="185"/>
              <w:spacing w:after="0"/>
              <w:rPr>
                <w:sz w:val="20"/>
                <w:szCs w:val="20"/>
                <w:color w:val="auto"/>
              </w:rPr>
            </w:pPr>
            <w:r>
              <w:rPr>
                <w:rFonts w:ascii="Arial" w:cs="Arial" w:eastAsia="Arial" w:hAnsi="Arial"/>
                <w:sz w:val="20"/>
                <w:szCs w:val="20"/>
                <w:b w:val="1"/>
                <w:bCs w:val="1"/>
                <w:color w:val="auto"/>
              </w:rPr>
              <w:t>73,330</w:t>
            </w:r>
          </w:p>
        </w:tc>
        <w:tc>
          <w:tcPr>
            <w:tcW w:w="120" w:type="dxa"/>
            <w:vAlign w:val="bottom"/>
            <w:tcBorders>
              <w:bottom w:val="single" w:sz="8" w:color="D2EEF5"/>
            </w:tcBorders>
            <w:shd w:val="clear" w:color="auto" w:fill="D2EEF5"/>
          </w:tcPr>
          <w:p>
            <w:pPr>
              <w:spacing w:after="0"/>
              <w:rPr>
                <w:sz w:val="24"/>
                <w:szCs w:val="24"/>
                <w:color w:val="auto"/>
              </w:rPr>
            </w:pPr>
          </w:p>
        </w:tc>
        <w:tc>
          <w:tcPr>
            <w:tcW w:w="380" w:type="dxa"/>
            <w:vAlign w:val="bottom"/>
            <w:tcBorders>
              <w:bottom w:val="single" w:sz="8" w:color="auto"/>
            </w:tcBorders>
            <w:shd w:val="clear" w:color="auto" w:fill="D2EEF5"/>
          </w:tcPr>
          <w:p>
            <w:pPr>
              <w:spacing w:after="0"/>
              <w:rPr>
                <w:sz w:val="24"/>
                <w:szCs w:val="24"/>
                <w:color w:val="auto"/>
              </w:rPr>
            </w:pPr>
          </w:p>
        </w:tc>
        <w:tc>
          <w:tcPr>
            <w:tcW w:w="1160" w:type="dxa"/>
            <w:vAlign w:val="bottom"/>
            <w:tcBorders>
              <w:bottom w:val="single" w:sz="8" w:color="auto"/>
            </w:tcBorders>
            <w:shd w:val="clear" w:color="auto" w:fill="D2EEF5"/>
          </w:tcPr>
          <w:p>
            <w:pPr>
              <w:jc w:val="right"/>
              <w:ind w:right="143"/>
              <w:spacing w:after="0"/>
              <w:rPr>
                <w:sz w:val="20"/>
                <w:szCs w:val="20"/>
                <w:color w:val="auto"/>
              </w:rPr>
            </w:pPr>
            <w:r>
              <w:rPr>
                <w:rFonts w:ascii="Arial" w:cs="Arial" w:eastAsia="Arial" w:hAnsi="Arial"/>
                <w:sz w:val="20"/>
                <w:szCs w:val="20"/>
                <w:color w:val="auto"/>
              </w:rPr>
              <w:t>69,183</w:t>
            </w:r>
          </w:p>
        </w:tc>
        <w:tc>
          <w:tcPr>
            <w:tcW w:w="120" w:type="dxa"/>
            <w:vAlign w:val="bottom"/>
            <w:tcBorders>
              <w:bottom w:val="single" w:sz="8" w:color="D2EEF5"/>
            </w:tcBorders>
            <w:shd w:val="clear" w:color="auto" w:fill="D2EEF5"/>
          </w:tcPr>
          <w:p>
            <w:pPr>
              <w:spacing w:after="0"/>
              <w:rPr>
                <w:sz w:val="24"/>
                <w:szCs w:val="24"/>
                <w:color w:val="auto"/>
              </w:rPr>
            </w:pPr>
          </w:p>
        </w:tc>
        <w:tc>
          <w:tcPr>
            <w:tcW w:w="240" w:type="dxa"/>
            <w:vAlign w:val="bottom"/>
            <w:tcBorders>
              <w:bottom w:val="single" w:sz="8" w:color="auto"/>
            </w:tcBorders>
            <w:shd w:val="clear" w:color="auto" w:fill="D2EEF5"/>
          </w:tcPr>
          <w:p>
            <w:pPr>
              <w:spacing w:after="0"/>
              <w:rPr>
                <w:sz w:val="24"/>
                <w:szCs w:val="24"/>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4,147</w:t>
            </w:r>
          </w:p>
        </w:tc>
        <w:tc>
          <w:tcPr>
            <w:tcW w:w="120" w:type="dxa"/>
            <w:vAlign w:val="bottom"/>
            <w:tcBorders>
              <w:bottom w:val="single" w:sz="8" w:color="D2EEF5"/>
            </w:tcBorders>
            <w:shd w:val="clear" w:color="auto" w:fill="D2EEF5"/>
          </w:tcPr>
          <w:p>
            <w:pPr>
              <w:spacing w:after="0"/>
              <w:rPr>
                <w:sz w:val="24"/>
                <w:szCs w:val="24"/>
                <w:color w:val="auto"/>
              </w:rPr>
            </w:pPr>
          </w:p>
        </w:tc>
        <w:tc>
          <w:tcPr>
            <w:tcW w:w="132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20"/>
                <w:szCs w:val="20"/>
                <w:color w:val="auto"/>
              </w:rPr>
              <w:t>6.0%</w:t>
            </w:r>
          </w:p>
        </w:tc>
      </w:tr>
    </w:tbl>
    <w:p>
      <w:pPr>
        <w:spacing w:after="0" w:line="16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Segment Income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-134620</wp:posOffset>
                </wp:positionV>
                <wp:extent cx="6514465" cy="18034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2EEF5"/>
                        </a:solidFill>
                      </wps:spPr>
                      <wps:bodyPr/>
                    </wps:wsp>
                  </a:graphicData>
                </a:graphic>
              </wp:anchor>
            </w:drawing>
          </mc:Choice>
          <mc:Fallback>
            <w:pict>
              <v:rect id="Shape 15" o:spid="_x0000_s1040" style="position:absolute;margin-left:-0.4499pt;margin-top:-10.59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240" w:type="dxa"/>
            <w:vAlign w:val="bottom"/>
          </w:tcPr>
          <w:p>
            <w:pPr>
              <w:ind w:left="520"/>
              <w:spacing w:after="0"/>
              <w:rPr>
                <w:sz w:val="20"/>
                <w:szCs w:val="20"/>
                <w:color w:val="auto"/>
              </w:rPr>
            </w:pPr>
            <w:r>
              <w:rPr>
                <w:rFonts w:ascii="Arial" w:cs="Arial" w:eastAsia="Arial" w:hAnsi="Arial"/>
                <w:sz w:val="20"/>
                <w:szCs w:val="20"/>
                <w:b w:val="1"/>
                <w:bCs w:val="1"/>
                <w:color w:val="auto"/>
              </w:rPr>
              <w:t>Sterigenics</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54.6 %</w:t>
            </w:r>
          </w:p>
        </w:tc>
        <w:tc>
          <w:tcPr>
            <w:tcW w:w="1660" w:type="dxa"/>
            <w:vAlign w:val="bottom"/>
            <w:gridSpan w:val="2"/>
          </w:tcPr>
          <w:p>
            <w:pPr>
              <w:jc w:val="right"/>
              <w:spacing w:after="0"/>
              <w:rPr>
                <w:sz w:val="20"/>
                <w:szCs w:val="20"/>
                <w:color w:val="auto"/>
              </w:rPr>
            </w:pPr>
            <w:r>
              <w:rPr>
                <w:rFonts w:ascii="Arial" w:cs="Arial" w:eastAsia="Arial" w:hAnsi="Arial"/>
                <w:sz w:val="20"/>
                <w:szCs w:val="20"/>
                <w:color w:val="auto"/>
              </w:rPr>
              <w:t>54.2 %</w:t>
            </w:r>
          </w:p>
        </w:tc>
        <w:tc>
          <w:tcPr>
            <w:tcW w:w="2860" w:type="dxa"/>
            <w:vAlign w:val="bottom"/>
          </w:tcPr>
          <w:p>
            <w:pPr>
              <w:spacing w:after="0"/>
              <w:rPr>
                <w:sz w:val="23"/>
                <w:szCs w:val="23"/>
                <w:color w:val="auto"/>
              </w:rPr>
            </w:pPr>
          </w:p>
        </w:tc>
      </w:tr>
      <w:tr>
        <w:trPr>
          <w:trHeight w:val="292"/>
        </w:trPr>
        <w:tc>
          <w:tcPr>
            <w:tcW w:w="4240" w:type="dxa"/>
            <w:vAlign w:val="bottom"/>
            <w:shd w:val="clear" w:color="auto" w:fill="D2EEF5"/>
          </w:tcPr>
          <w:p>
            <w:pPr>
              <w:ind w:left="520"/>
              <w:spacing w:after="0"/>
              <w:rPr>
                <w:sz w:val="20"/>
                <w:szCs w:val="20"/>
                <w:color w:val="auto"/>
              </w:rPr>
            </w:pPr>
            <w:r>
              <w:rPr>
                <w:rFonts w:ascii="Arial" w:cs="Arial" w:eastAsia="Arial" w:hAnsi="Arial"/>
                <w:sz w:val="20"/>
                <w:szCs w:val="20"/>
                <w:b w:val="1"/>
                <w:bCs w:val="1"/>
                <w:color w:val="auto"/>
              </w:rPr>
              <w:t>Nordion</w:t>
            </w:r>
          </w:p>
        </w:tc>
        <w:tc>
          <w:tcPr>
            <w:tcW w:w="15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57.3 %</w:t>
            </w:r>
          </w:p>
        </w:tc>
        <w:tc>
          <w:tcPr>
            <w:tcW w:w="166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58.4 %</w:t>
            </w:r>
          </w:p>
        </w:tc>
        <w:tc>
          <w:tcPr>
            <w:tcW w:w="2860" w:type="dxa"/>
            <w:vAlign w:val="bottom"/>
            <w:shd w:val="clear" w:color="auto" w:fill="D2EEF5"/>
          </w:tcPr>
          <w:p>
            <w:pPr>
              <w:spacing w:after="0"/>
              <w:rPr>
                <w:sz w:val="24"/>
                <w:szCs w:val="24"/>
                <w:color w:val="auto"/>
              </w:rPr>
            </w:pPr>
          </w:p>
        </w:tc>
      </w:tr>
      <w:tr>
        <w:trPr>
          <w:trHeight w:val="275"/>
        </w:trPr>
        <w:tc>
          <w:tcPr>
            <w:tcW w:w="4240" w:type="dxa"/>
            <w:vAlign w:val="bottom"/>
          </w:tcPr>
          <w:p>
            <w:pPr>
              <w:ind w:left="520"/>
              <w:spacing w:after="0"/>
              <w:rPr>
                <w:sz w:val="20"/>
                <w:szCs w:val="20"/>
                <w:color w:val="auto"/>
              </w:rPr>
            </w:pPr>
            <w:r>
              <w:rPr>
                <w:rFonts w:ascii="Arial" w:cs="Arial" w:eastAsia="Arial" w:hAnsi="Arial"/>
                <w:sz w:val="20"/>
                <w:szCs w:val="20"/>
                <w:b w:val="1"/>
                <w:bCs w:val="1"/>
                <w:color w:val="auto"/>
              </w:rPr>
              <w:t>Nelson Labs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33.3 %</w:t>
            </w:r>
          </w:p>
        </w:tc>
        <w:tc>
          <w:tcPr>
            <w:tcW w:w="120" w:type="dxa"/>
            <w:vAlign w:val="bottom"/>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30.2 %</w:t>
            </w:r>
          </w:p>
        </w:tc>
        <w:tc>
          <w:tcPr>
            <w:tcW w:w="2860" w:type="dxa"/>
            <w:vAlign w:val="bottom"/>
          </w:tcPr>
          <w:p>
            <w:pPr>
              <w:spacing w:after="0"/>
              <w:rPr>
                <w:sz w:val="23"/>
                <w:szCs w:val="23"/>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Revenues</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color w:val="auto"/>
        </w:rPr>
        <w:t>Sterigenics net revenues were $755.8 million for the year ended December 31, 2025, an increase of $57.9 million, or 8.3%, as compared to the prior year. The increase was attributable to a favorable impact from pricing and volume/mix of 4.1% and 3.6%, respectively, and favorable changes in foreign currency exchange rates of 0.6%.</w:t>
      </w:r>
    </w:p>
    <w:p>
      <w:pPr>
        <w:spacing w:after="0" w:line="155" w:lineRule="exact"/>
        <w:rPr>
          <w:sz w:val="20"/>
          <w:szCs w:val="20"/>
          <w:color w:val="auto"/>
        </w:rPr>
      </w:pPr>
    </w:p>
    <w:p>
      <w:pPr>
        <w:ind w:right="240"/>
        <w:spacing w:after="0" w:line="266" w:lineRule="auto"/>
        <w:rPr>
          <w:sz w:val="20"/>
          <w:szCs w:val="20"/>
          <w:color w:val="auto"/>
        </w:rPr>
      </w:pPr>
      <w:r>
        <w:rPr>
          <w:rFonts w:ascii="Arial" w:cs="Arial" w:eastAsia="Arial" w:hAnsi="Arial"/>
          <w:sz w:val="20"/>
          <w:szCs w:val="20"/>
          <w:color w:val="auto"/>
        </w:rPr>
        <w:t>Nordion net revenues were $187.6 million for the year ended December 31, 2025, an increase of $14.3 million, or 8.2%, as compared to the prior year. The increase was driven by growth from volume/mix and pricing of 6.2% and 2.9%, respectively, partially offset by unfavorable changes in foreign currency exchange rates of 0.9%.</w:t>
      </w:r>
    </w:p>
    <w:p>
      <w:pPr>
        <w:spacing w:after="0" w:line="155"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Nelson Labs net revenues were $220.2 million for the year ended December 31, 2025, a decrease of $9.0 million, or 3.9%, as compared to the prior year. Favorable pricing of 2.8%, growth in core lab testing services volume and mix of 2.5%, and a 1.1% benefit from changes in foreign currency exchange rates were offset by a 10.2% impact from the decline in expert advisory services and consulting revenue.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Segment Income</w:t>
      </w:r>
    </w:p>
    <w:p>
      <w:pPr>
        <w:spacing w:after="0" w:line="113" w:lineRule="exact"/>
        <w:rPr>
          <w:sz w:val="20"/>
          <w:szCs w:val="20"/>
          <w:color w:val="auto"/>
        </w:rPr>
      </w:pPr>
    </w:p>
    <w:p>
      <w:pPr>
        <w:ind w:right="200"/>
        <w:spacing w:after="0" w:line="266" w:lineRule="auto"/>
        <w:rPr>
          <w:sz w:val="20"/>
          <w:szCs w:val="20"/>
          <w:color w:val="auto"/>
        </w:rPr>
      </w:pPr>
      <w:r>
        <w:rPr>
          <w:rFonts w:ascii="Arial" w:cs="Arial" w:eastAsia="Arial" w:hAnsi="Arial"/>
          <w:sz w:val="20"/>
          <w:szCs w:val="20"/>
          <w:color w:val="auto"/>
        </w:rPr>
        <w:t>Sterigenics segment income was $412.9 million for the year ended December 31, 2025, an increase of $34.7 million, or 9.2%, as compared to the prior year. The increase in segment income was driven primarily by favorable customer pricing and increases in volume and mix, partially offset by inflation.</w:t>
      </w:r>
    </w:p>
    <w:p>
      <w:pPr>
        <w:spacing w:after="0" w:line="195" w:lineRule="exact"/>
        <w:rPr>
          <w:sz w:val="20"/>
          <w:szCs w:val="20"/>
          <w:color w:val="auto"/>
        </w:rPr>
      </w:pPr>
    </w:p>
    <w:p>
      <w:pPr>
        <w:ind w:right="300" w:firstLine="5"/>
        <w:spacing w:after="0" w:line="266" w:lineRule="auto"/>
        <w:rPr>
          <w:sz w:val="20"/>
          <w:szCs w:val="20"/>
          <w:color w:val="auto"/>
        </w:rPr>
      </w:pPr>
      <w:r>
        <w:rPr>
          <w:rFonts w:ascii="Arial" w:cs="Arial" w:eastAsia="Arial" w:hAnsi="Arial"/>
          <w:sz w:val="20"/>
          <w:szCs w:val="20"/>
          <w:color w:val="auto"/>
        </w:rPr>
        <w:t>Nordion segment income was $107.6 million for the year ended December 31, 2025, an increase of $6.4 million, or 6.3%, as compared to the prior year. The increase in segment income was attributable to favorable customer pricing and increases in volume and mix. Segment income margin decreased as a result of product mix.</w:t>
      </w:r>
    </w:p>
    <w:p>
      <w:pPr>
        <w:spacing w:after="0" w:line="155"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color w:val="auto"/>
        </w:rPr>
        <w:t>Nelson Labs segment income was $73.3 million for the year ended December 31, 2025, an increase of 6.0%, as compared to the prior year. Segment income and segment income margin increased as a result of favorable pricing, volume and mix improvements and lab optimization.</w:t>
      </w:r>
    </w:p>
    <w:p>
      <w:pPr>
        <w:sectPr>
          <w:pgSz w:w="11880" w:h="15480" w:orient="portrait"/>
          <w:cols w:equalWidth="0" w:num="1">
            <w:col w:w="10260"/>
          </w:cols>
          <w:pgMar w:left="820" w:top="40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260"/>
          </w:cols>
          <w:pgMar w:left="820" w:top="405" w:right="800" w:bottom="0"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Cash</w:t>
      </w:r>
    </w:p>
    <w:p>
      <w:pPr>
        <w:spacing w:after="0" w:line="217"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color w:val="auto"/>
        </w:rPr>
        <w:t>The primary sources of liquidity for our business are cash flows provided by operating activities and borrowings under our credit facilities. As of December 31, 2025, we had $346.5 million of cash and cash equivalents, an increase of $67.6 million from the balance at December 31, 2024. The increase in cash and cash equivalents was attributable to $287.2 million of cash provided by operating activities and a $16.1 million increase due to favorable changes in foreign currency exchange rates, partially offset by $138.0 million of purchases of property, plant and equipment and $100.5 million of cash used in financing activities. Our foreign subsidiaries held cash of approximately $253.4 million at December 31, 2025 and $259.8 million</w:t>
      </w:r>
    </w:p>
    <w:p>
      <w:pPr>
        <w:spacing w:after="0" w:line="1" w:lineRule="exact"/>
        <w:rPr>
          <w:sz w:val="20"/>
          <w:szCs w:val="20"/>
          <w:color w:val="auto"/>
        </w:rPr>
      </w:pPr>
    </w:p>
    <w:p>
      <w:pPr>
        <w:ind w:right="380"/>
        <w:spacing w:after="0" w:line="283" w:lineRule="auto"/>
        <w:rPr>
          <w:sz w:val="20"/>
          <w:szCs w:val="20"/>
          <w:color w:val="auto"/>
        </w:rPr>
      </w:pPr>
      <w:r>
        <w:rPr>
          <w:rFonts w:ascii="Arial" w:cs="Arial" w:eastAsia="Arial" w:hAnsi="Arial"/>
          <w:sz w:val="20"/>
          <w:szCs w:val="20"/>
          <w:color w:val="auto"/>
        </w:rPr>
        <w:t>at December 31, 2024. No material restrictions exist to accessing cash held by our foreign subsidiaries notwithstanding any potential tax consequences.</w:t>
      </w:r>
    </w:p>
    <w:p>
      <w:pPr>
        <w:spacing w:after="0" w:line="125" w:lineRule="exact"/>
        <w:rPr>
          <w:sz w:val="20"/>
          <w:szCs w:val="20"/>
          <w:color w:val="auto"/>
        </w:rPr>
      </w:pPr>
    </w:p>
    <w:p>
      <w:pPr>
        <w:ind w:right="100"/>
        <w:spacing w:after="0" w:line="298" w:lineRule="auto"/>
        <w:rPr>
          <w:sz w:val="20"/>
          <w:szCs w:val="20"/>
          <w:color w:val="auto"/>
        </w:rPr>
      </w:pPr>
      <w:r>
        <w:rPr>
          <w:rFonts w:ascii="Arial" w:cs="Arial" w:eastAsia="Arial" w:hAnsi="Arial"/>
          <w:sz w:val="20"/>
          <w:szCs w:val="20"/>
          <w:color w:val="auto"/>
        </w:rPr>
        <w:t xml:space="preserve">Refer to “Debt Facilities” below within this Item, Note 9, “Long-Term Debt”, and Item 1A, </w:t>
      </w:r>
      <w:r>
        <w:rPr>
          <w:rFonts w:ascii="Arial" w:cs="Arial" w:eastAsia="Arial" w:hAnsi="Arial"/>
          <w:sz w:val="24"/>
          <w:szCs w:val="24"/>
          <w:color w:val="auto"/>
        </w:rPr>
        <w:t>“</w:t>
      </w:r>
      <w:r>
        <w:rPr>
          <w:rFonts w:ascii="Arial" w:cs="Arial" w:eastAsia="Arial" w:hAnsi="Arial"/>
          <w:sz w:val="20"/>
          <w:szCs w:val="20"/>
          <w:color w:val="auto"/>
        </w:rPr>
        <w:t>Risk Factors</w:t>
      </w:r>
      <w:r>
        <w:rPr>
          <w:rFonts w:ascii="Arial" w:cs="Arial" w:eastAsia="Arial" w:hAnsi="Arial"/>
          <w:sz w:val="24"/>
          <w:szCs w:val="24"/>
          <w:color w:val="auto"/>
        </w:rPr>
        <w:t>”</w:t>
      </w:r>
      <w:r>
        <w:rPr>
          <w:rFonts w:ascii="Arial" w:cs="Arial" w:eastAsia="Arial" w:hAnsi="Arial"/>
          <w:sz w:val="20"/>
          <w:szCs w:val="20"/>
          <w:color w:val="auto"/>
        </w:rPr>
        <w:t xml:space="preserve"> - “Risks Related to Our Indebtedness and Liquidity” for additional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Uses of Cash</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and the foreseeable future thereafter. We expect our primary long-term liquidity obligations and objectives beyond the next twelve months will be to service our debt, make capital expenditures, and fund suitable business acquisitions. As of December 31, 2025,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December 31, 2025, our interest rate derivatives limit the cash flow exposure of our variable rate borrowings under the Term Loans. Refer to Note 20, “Financial Instruments and Financial Risk”, “</w:t>
      </w:r>
      <w:r>
        <w:rPr>
          <w:rFonts w:ascii="Arial" w:cs="Arial" w:eastAsia="Arial" w:hAnsi="Arial"/>
          <w:sz w:val="18"/>
          <w:szCs w:val="18"/>
          <w:b w:val="1"/>
          <w:bCs w:val="1"/>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Instruments</w:t>
      </w:r>
      <w:r>
        <w:rPr>
          <w:rFonts w:ascii="Arial" w:cs="Arial" w:eastAsia="Arial" w:hAnsi="Arial"/>
          <w:sz w:val="18"/>
          <w:szCs w:val="18"/>
          <w:color w:val="auto"/>
        </w:rPr>
        <w:t>” for additional information regarding the interest rate limits used to manage economic risks associated with our</w:t>
      </w:r>
    </w:p>
    <w:p>
      <w:pPr>
        <w:spacing w:after="0" w:line="2" w:lineRule="exact"/>
        <w:rPr>
          <w:sz w:val="20"/>
          <w:szCs w:val="20"/>
          <w:color w:val="auto"/>
        </w:rPr>
      </w:pPr>
    </w:p>
    <w:p>
      <w:pPr>
        <w:ind w:right="500"/>
        <w:spacing w:after="0" w:line="298" w:lineRule="auto"/>
        <w:rPr>
          <w:sz w:val="20"/>
          <w:szCs w:val="20"/>
          <w:color w:val="auto"/>
        </w:rPr>
      </w:pPr>
      <w:r>
        <w:rPr>
          <w:rFonts w:ascii="Arial" w:cs="Arial" w:eastAsia="Arial" w:hAnsi="Arial"/>
          <w:sz w:val="20"/>
          <w:szCs w:val="20"/>
          <w:color w:val="auto"/>
        </w:rPr>
        <w:t xml:space="preserve">variable rate borrowings. Refer to Item 7A., </w:t>
      </w:r>
      <w:r>
        <w:rPr>
          <w:rFonts w:ascii="Arial" w:cs="Arial" w:eastAsia="Arial" w:hAnsi="Arial"/>
          <w:sz w:val="24"/>
          <w:szCs w:val="24"/>
          <w:color w:val="auto"/>
        </w:rPr>
        <w:t>“</w:t>
      </w:r>
      <w:r>
        <w:rPr>
          <w:rFonts w:ascii="Arial" w:cs="Arial" w:eastAsia="Arial" w:hAnsi="Arial"/>
          <w:sz w:val="20"/>
          <w:szCs w:val="20"/>
          <w:color w:val="auto"/>
        </w:rPr>
        <w:t>Quantitative and Qualitative Disclosures About Market Risk</w:t>
      </w:r>
      <w:r>
        <w:rPr>
          <w:rFonts w:ascii="Arial" w:cs="Arial" w:eastAsia="Arial" w:hAnsi="Arial"/>
          <w:sz w:val="24"/>
          <w:szCs w:val="24"/>
          <w:color w:val="auto"/>
        </w:rPr>
        <w:t>”</w:t>
      </w:r>
      <w:r>
        <w:rPr>
          <w:rFonts w:ascii="Arial" w:cs="Arial" w:eastAsia="Arial" w:hAnsi="Arial"/>
          <w:sz w:val="20"/>
          <w:szCs w:val="20"/>
          <w:color w:val="auto"/>
        </w:rPr>
        <w:t xml:space="preserve"> for additional information about changes in interest rate risk.</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Expenditures</w:t>
      </w:r>
    </w:p>
    <w:p>
      <w:pPr>
        <w:spacing w:after="0" w:line="217" w:lineRule="exact"/>
        <w:rPr>
          <w:sz w:val="20"/>
          <w:szCs w:val="20"/>
          <w:color w:val="auto"/>
        </w:rPr>
      </w:pPr>
    </w:p>
    <w:p>
      <w:pPr>
        <w:ind w:right="420"/>
        <w:spacing w:after="0" w:line="257" w:lineRule="auto"/>
        <w:rPr>
          <w:sz w:val="20"/>
          <w:szCs w:val="20"/>
          <w:color w:val="auto"/>
        </w:rPr>
      </w:pPr>
      <w:r>
        <w:rPr>
          <w:rFonts w:ascii="Arial" w:cs="Arial" w:eastAsia="Arial" w:hAnsi="Arial"/>
          <w:sz w:val="20"/>
          <w:szCs w:val="20"/>
          <w:color w:val="auto"/>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IT enhancements. During the year ended December 31, 2025, our capital expenditures amounted to $138.0 million, compared to $179.1 million in the year ended December 31, 2024. Our capital expenditures for the year ended December 31, 2025 included approximately $24.4 million related to environmental facility enhancements.</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In 2026, we expect to continue to invest in facility expansions, ongoing routine maintenance for existing facilities, and acquisition of Co-60 for use by our Sterigenics segment in its gamma irradiation facilities. In addition, we expect to invest in special projects related to development of new Co-60 supply sources and facility enhancements at our EO sterilization facilities. For 2026, it is estimated that approximately $51 million of capital expenditures will relate to environmental facility enhancements.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Facilities</w:t>
      </w:r>
    </w:p>
    <w:p>
      <w:pPr>
        <w:spacing w:after="0" w:line="217" w:lineRule="exact"/>
        <w:rPr>
          <w:sz w:val="20"/>
          <w:szCs w:val="20"/>
          <w:color w:val="auto"/>
        </w:rPr>
      </w:pPr>
    </w:p>
    <w:p>
      <w:pPr>
        <w:ind w:right="300"/>
        <w:spacing w:after="0" w:line="275" w:lineRule="auto"/>
        <w:rPr>
          <w:sz w:val="20"/>
          <w:szCs w:val="20"/>
          <w:color w:val="auto"/>
        </w:rPr>
      </w:pPr>
      <w:r>
        <w:rPr>
          <w:rFonts w:ascii="Arial" w:cs="Arial" w:eastAsia="Arial" w:hAnsi="Arial"/>
          <w:sz w:val="19"/>
          <w:szCs w:val="19"/>
          <w:color w:val="auto"/>
        </w:rPr>
        <w:t>Under the debt agreements summarized below, at December 31, 2025 we and SHH, our wholly owned subsidiary, had debt payment obligations under (a) a term loan in the amount of $1,419.5 million, (b) a revolving credit facility, which supported operationally-related letters of credit but was otherwise undrawn, and which provides to us capacity up to $600.0 million for future potential borrowings, and (c) $750.0 million of senior secured notes. Our debt agreements also include additional covenants, conditions and rights to request additional debt, as summarized below.</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Secured Credit Facilities and Indenture</w:t>
      </w:r>
    </w:p>
    <w:p>
      <w:pPr>
        <w:sectPr>
          <w:pgSz w:w="11880" w:h="15480" w:orient="portrait"/>
          <w:cols w:equalWidth="0" w:num="1">
            <w:col w:w="10240"/>
          </w:cols>
          <w:pgMar w:left="820" w:top="40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240"/>
          </w:cols>
          <w:pgMar w:left="820" w:top="405" w:right="820" w:bottom="0" w:gutter="0" w:footer="0" w:header="0"/>
          <w:type w:val="continuous"/>
        </w:sectPr>
      </w:pPr>
    </w:p>
    <w:bookmarkStart w:id="63" w:name="page64"/>
    <w:bookmarkEnd w:id="63"/>
    <w:p>
      <w:pPr>
        <w:ind w:right="20"/>
        <w:spacing w:after="0" w:line="257" w:lineRule="auto"/>
        <w:rPr>
          <w:sz w:val="20"/>
          <w:szCs w:val="20"/>
          <w:color w:val="auto"/>
        </w:rPr>
      </w:pPr>
      <w:r>
        <w:rPr>
          <w:rFonts w:ascii="Arial" w:cs="Arial" w:eastAsia="Arial" w:hAnsi="Arial"/>
          <w:sz w:val="20"/>
          <w:szCs w:val="20"/>
          <w:color w:val="auto"/>
        </w:rPr>
        <w:t>On December 13, 2019, SHH entered into senior secured first lien credit facilities (the “Senior Secured Credit Facilities”), consisting of both a prepayable senior secured first lien term loan (the “Term Loans”) and a senior secured first lien revolving credit facility (the “Revolving Credit Facility”) pursuant to a first lien credit agreement (as amended through Amendment No. 6 (as defined below), the “Credit Agreement”). The Senior Secured Credit Facilities also provide SHH the right at any time and under certain conditions to request incremental term loans or incremental revolving credit commitments based on a formula defined in the Senior Secured Credit Facilities.</w:t>
      </w:r>
    </w:p>
    <w:p>
      <w:pPr>
        <w:spacing w:after="0" w:line="20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On September 17, 2025, the Company and SHH entered into Amendment No. 6 (“Amendment No. 6”) to the Credit Agreement. Among other changes, Amendment No. 6 provides for the refinancing lenders to provide term loans (the “Repriced Term Loans”) to SHH in an aggregate principal amount of $1,419.5 million, which reflects the balance after the Company’s application of $75.0 million of available cash to repay outstanding borrowings under its term loan facility. Amendment No. 6 also reduced the interest rate spread by 0.50% across term loans under the facility, such that the Repriced Term Loans have an applicable interest rate margin equal to the Adjusted Term SOFR (as defined in the Credit Agreement) plus 2.50%, with a</w:t>
      </w:r>
    </w:p>
    <w:p>
      <w:pPr>
        <w:spacing w:after="0" w:line="1"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0.00% floor (with optionality for the Company to elect Alternate Base Rate (“ABR”) plus 1.50% or Adjusted Daily Simple SOFR plus 2.50% (each as defined in the Credit Agreement)). This pricing reflects both the 0.50% reduction implemented through Amendment No. 6 and a 0.25% contractual pricing step-down that was triggered in August 2025. The Repriced Term Loans are also subject to a “soft call” premium of 1.00% for certain repricing transactions with respect to the Repriced Term Loans that occur within the six-month period after the effective date of Amendment No. 6. The Repriced Term Loans amortize at a rate of 1.00% per annum and mature on May 30, 2031.</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On April 30, 2025, the Company and SHH entered into Amendment No. 5 (“Amendment No. 5”) to the Credit Agreement. Among other changes, Amendment No. 5 provides (i) for an increase in the commitments under the existing Revolving Credit Facility in an aggregate principal amount of $176.2 million (ii) that certain lenders providing revolving credit commitments shall also provide additional commitments for the issuance of letters of credit under the Revolving Credit Facility in an aggregate principal amount of $186.3 million and (iii) for the extension of the maturity date of the Revolving Credit Facility to April 30, 2030. Amendment No. 5 does not give effect to any other material changes to the terms and conditions of the Credit Agreement, including with respect to the representations and warranties, events of default and the affirmative or negative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SHH had previously entered into Amendment No. 4 to the Credit Agreement on May 30, 2024,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See Note 9, “Long-Term Debt” to the Financial Statements for a description of this amendment.</w:t>
      </w:r>
    </w:p>
    <w:p>
      <w:pPr>
        <w:spacing w:after="0" w:line="210"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On May 30, 2024, SHH, the Company, certain subsidiaries of the Company,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The Senior Secured Credit Facilities and the Indenture contain certain covenants and events of default. Additionally, all of SHH’s obligations under the Senior Secured Credit Facilities and the Indenture are unconditionally guaranteed by the Company and certain domestic restricted subsidiaries. For additional information about our Senior Secured Credit Facilities, the Indenture and the Secured Notes, including the covenants and events of default, refer to Note 8, “Long-Term Debt,” to our Financial Statements.</w:t>
      </w:r>
    </w:p>
    <w:p>
      <w:pPr>
        <w:spacing w:after="0" w:line="164"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Outstanding letters of credit are collateralized by encumbrances against the Revolving Credit Facility and the collateral pledged thereunder, or by cash placed on deposit with the issuing bank. As of December 31, 2025, the Company had $8.2 million of letters of credit issued against the Revolving Credit Facility, resulting in total availability under the Revolving Credit Facility of $591.8 million.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Interest Rate Risk Management</w:t>
      </w:r>
    </w:p>
    <w:p>
      <w:pPr>
        <w:spacing w:after="0" w:line="213"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20, “Financial Instruments and Financial Risk”, </w:t>
      </w:r>
      <w:r>
        <w:rPr>
          <w:rFonts w:ascii="Arial" w:cs="Arial" w:eastAsia="Arial" w:hAnsi="Arial"/>
          <w:sz w:val="19"/>
          <w:szCs w:val="19"/>
          <w:b w:val="1"/>
          <w:bCs w:val="1"/>
          <w:i w:val="1"/>
          <w:iCs w:val="1"/>
          <w:color w:val="auto"/>
        </w:rPr>
        <w:t>“Derivative Instruments.”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Information</w:t>
      </w:r>
    </w:p>
    <w:p>
      <w:pPr>
        <w:spacing w:after="0" w:line="254" w:lineRule="exact"/>
        <w:rPr>
          <w:sz w:val="20"/>
          <w:szCs w:val="20"/>
          <w:color w:val="auto"/>
        </w:rPr>
      </w:pPr>
    </w:p>
    <w:p>
      <w:pPr>
        <w:ind w:right="260"/>
        <w:spacing w:after="0" w:line="379" w:lineRule="auto"/>
        <w:rPr>
          <w:sz w:val="20"/>
          <w:szCs w:val="20"/>
          <w:color w:val="auto"/>
        </w:rPr>
      </w:pPr>
      <w:r>
        <w:rPr>
          <w:rFonts w:ascii="Arial" w:cs="Arial" w:eastAsia="Arial" w:hAnsi="Arial"/>
          <w:sz w:val="17"/>
          <w:szCs w:val="17"/>
          <w:b w:val="1"/>
          <w:bCs w:val="1"/>
          <w:i w:val="1"/>
          <w:iCs w:val="1"/>
          <w:color w:val="auto"/>
        </w:rPr>
        <w:t>The following section summarizes cash flow information for the years ended December 31, 2025 and 2024. Cash flow information for the years ended December 31, 2024 and 2023 are presented within our Annual Report on Form 10-K for the</w:t>
      </w:r>
    </w:p>
    <w:p>
      <w:pPr>
        <w:sectPr>
          <w:pgSz w:w="11880" w:h="15480" w:orient="portrait"/>
          <w:cols w:equalWidth="0" w:num="1">
            <w:col w:w="10220"/>
          </w:cols>
          <w:pgMar w:left="820" w:top="41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220"/>
          </w:cols>
          <w:pgMar w:left="820" w:top="412" w:right="840" w:bottom="0" w:gutter="0" w:footer="0" w:header="0"/>
          <w:type w:val="continuous"/>
        </w:sectPr>
      </w:pPr>
    </w:p>
    <w:bookmarkStart w:id="64" w:name="page65"/>
    <w:bookmarkEnd w:id="64"/>
    <w:p>
      <w:pPr>
        <w:ind w:left="10" w:right="220"/>
        <w:spacing w:after="0" w:line="286" w:lineRule="auto"/>
        <w:rPr>
          <w:sz w:val="20"/>
          <w:szCs w:val="20"/>
          <w:color w:val="auto"/>
        </w:rPr>
      </w:pPr>
      <w:r>
        <w:rPr>
          <w:rFonts w:ascii="Arial" w:cs="Arial" w:eastAsia="Arial" w:hAnsi="Arial"/>
          <w:sz w:val="20"/>
          <w:szCs w:val="20"/>
          <w:b w:val="1"/>
          <w:bCs w:val="1"/>
          <w:i w:val="1"/>
          <w:iCs w:val="1"/>
          <w:color w:val="auto"/>
        </w:rPr>
        <w:t>year ended December 31, 2024 under Item 7, “Management’s Discussion and Analysis of Financial Condition and Results of Operations - Liquidity and Capital Resources.”</w:t>
      </w:r>
    </w:p>
    <w:p>
      <w:pPr>
        <w:spacing w:after="0" w:line="19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Year Ended December 31, 2025 compared to the Year Ended December 31, 2024</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8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240" w:type="dxa"/>
            <w:vAlign w:val="bottom"/>
          </w:tcPr>
          <w:p>
            <w:pPr>
              <w:spacing w:after="0"/>
              <w:rPr>
                <w:sz w:val="16"/>
                <w:szCs w:val="16"/>
                <w:color w:val="auto"/>
              </w:rPr>
            </w:pPr>
          </w:p>
        </w:tc>
        <w:tc>
          <w:tcPr>
            <w:tcW w:w="900" w:type="dxa"/>
            <w:vAlign w:val="bottom"/>
          </w:tcPr>
          <w:p>
            <w:pPr>
              <w:jc w:val="right"/>
              <w:ind w:right="32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3"/>
              <w:spacing w:after="0"/>
              <w:rPr>
                <w:sz w:val="20"/>
                <w:szCs w:val="20"/>
                <w:color w:val="auto"/>
              </w:rPr>
            </w:pPr>
            <w:r>
              <w:rPr>
                <w:rFonts w:ascii="Arial" w:cs="Arial" w:eastAsia="Arial" w:hAnsi="Arial"/>
                <w:sz w:val="16"/>
                <w:szCs w:val="16"/>
                <w:color w:val="auto"/>
              </w:rPr>
              <w:t>2024</w:t>
            </w: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0"/>
        </w:trPr>
        <w:tc>
          <w:tcPr>
            <w:tcW w:w="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65"/>
        </w:trPr>
        <w:tc>
          <w:tcPr>
            <w:tcW w:w="40" w:type="dxa"/>
            <w:vAlign w:val="bottom"/>
            <w:tcBorders>
              <w:bottom w:val="single" w:sz="8" w:color="D2EEF5"/>
            </w:tcBorders>
            <w:shd w:val="clear" w:color="auto" w:fill="D2EEF5"/>
          </w:tcPr>
          <w:p>
            <w:pPr>
              <w:spacing w:after="0"/>
              <w:rPr>
                <w:sz w:val="23"/>
                <w:szCs w:val="23"/>
                <w:color w:val="auto"/>
              </w:rPr>
            </w:pPr>
          </w:p>
        </w:tc>
        <w:tc>
          <w:tcPr>
            <w:tcW w:w="782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20"/>
                <w:szCs w:val="20"/>
                <w:color w:val="auto"/>
              </w:rPr>
              <w:t>Net Cash Provided by (Used in):</w:t>
            </w:r>
          </w:p>
        </w:tc>
        <w:tc>
          <w:tcPr>
            <w:tcW w:w="240" w:type="dxa"/>
            <w:vAlign w:val="bottom"/>
            <w:tcBorders>
              <w:bottom w:val="single" w:sz="8" w:color="D2EEF5"/>
            </w:tcBorders>
            <w:shd w:val="clear" w:color="auto" w:fill="D2EEF5"/>
          </w:tcPr>
          <w:p>
            <w:pPr>
              <w:spacing w:after="0"/>
              <w:rPr>
                <w:sz w:val="23"/>
                <w:szCs w:val="23"/>
                <w:color w:val="auto"/>
              </w:rPr>
            </w:pPr>
          </w:p>
        </w:tc>
        <w:tc>
          <w:tcPr>
            <w:tcW w:w="900" w:type="dxa"/>
            <w:vAlign w:val="bottom"/>
            <w:tcBorders>
              <w:bottom w:val="single" w:sz="8" w:color="D2EEF5"/>
            </w:tcBorders>
            <w:shd w:val="clear" w:color="auto" w:fill="D2EEF5"/>
          </w:tcPr>
          <w:p>
            <w:pPr>
              <w:spacing w:after="0"/>
              <w:rPr>
                <w:sz w:val="23"/>
                <w:szCs w:val="23"/>
                <w:color w:val="auto"/>
              </w:rPr>
            </w:pPr>
          </w:p>
        </w:tc>
        <w:tc>
          <w:tcPr>
            <w:tcW w:w="120" w:type="dxa"/>
            <w:vAlign w:val="bottom"/>
            <w:tcBorders>
              <w:bottom w:val="single" w:sz="8" w:color="D2EEF5"/>
            </w:tcBorders>
            <w:shd w:val="clear" w:color="auto" w:fill="D2EEF5"/>
          </w:tcPr>
          <w:p>
            <w:pPr>
              <w:spacing w:after="0"/>
              <w:rPr>
                <w:sz w:val="23"/>
                <w:szCs w:val="23"/>
                <w:color w:val="auto"/>
              </w:rPr>
            </w:pPr>
          </w:p>
        </w:tc>
        <w:tc>
          <w:tcPr>
            <w:tcW w:w="240" w:type="dxa"/>
            <w:vAlign w:val="bottom"/>
            <w:tcBorders>
              <w:bottom w:val="single" w:sz="8" w:color="D2EEF5"/>
            </w:tcBorders>
            <w:shd w:val="clear" w:color="auto" w:fill="D2EEF5"/>
          </w:tcPr>
          <w:p>
            <w:pPr>
              <w:spacing w:after="0"/>
              <w:rPr>
                <w:sz w:val="23"/>
                <w:szCs w:val="23"/>
                <w:color w:val="auto"/>
              </w:rPr>
            </w:pPr>
          </w:p>
        </w:tc>
        <w:tc>
          <w:tcPr>
            <w:tcW w:w="900" w:type="dxa"/>
            <w:vAlign w:val="bottom"/>
            <w:tcBorders>
              <w:bottom w:val="single" w:sz="8" w:color="D2EEF5"/>
            </w:tcBorders>
            <w:shd w:val="clear" w:color="auto" w:fill="D2EEF5"/>
          </w:tcPr>
          <w:p>
            <w:pPr>
              <w:spacing w:after="0"/>
              <w:rPr>
                <w:sz w:val="23"/>
                <w:szCs w:val="23"/>
                <w:color w:val="auto"/>
              </w:rPr>
            </w:pPr>
          </w:p>
        </w:tc>
      </w:tr>
      <w:tr>
        <w:trPr>
          <w:trHeight w:val="278"/>
        </w:trPr>
        <w:tc>
          <w:tcPr>
            <w:tcW w:w="40" w:type="dxa"/>
            <w:vAlign w:val="bottom"/>
          </w:tcPr>
          <w:p>
            <w:pPr>
              <w:spacing w:after="0"/>
              <w:rPr>
                <w:sz w:val="24"/>
                <w:szCs w:val="24"/>
                <w:color w:val="auto"/>
              </w:rPr>
            </w:pPr>
          </w:p>
        </w:tc>
        <w:tc>
          <w:tcPr>
            <w:tcW w:w="7820" w:type="dxa"/>
            <w:vAlign w:val="bottom"/>
            <w:gridSpan w:val="2"/>
          </w:tcPr>
          <w:p>
            <w:pPr>
              <w:ind w:left="480"/>
              <w:spacing w:after="0"/>
              <w:rPr>
                <w:sz w:val="20"/>
                <w:szCs w:val="20"/>
                <w:color w:val="auto"/>
              </w:rPr>
            </w:pPr>
            <w:r>
              <w:rPr>
                <w:rFonts w:ascii="Arial" w:cs="Arial" w:eastAsia="Arial" w:hAnsi="Arial"/>
                <w:sz w:val="20"/>
                <w:szCs w:val="20"/>
                <w:color w:val="auto"/>
              </w:rPr>
              <w:t>Operating activities</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3"/>
              <w:spacing w:after="0"/>
              <w:rPr>
                <w:sz w:val="20"/>
                <w:szCs w:val="20"/>
                <w:color w:val="auto"/>
              </w:rPr>
            </w:pPr>
            <w:r>
              <w:rPr>
                <w:rFonts w:ascii="Arial" w:cs="Arial" w:eastAsia="Arial" w:hAnsi="Arial"/>
                <w:sz w:val="20"/>
                <w:szCs w:val="20"/>
                <w:b w:val="1"/>
                <w:bCs w:val="1"/>
                <w:color w:val="auto"/>
              </w:rPr>
              <w:t>287,195</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3"/>
              <w:spacing w:after="0"/>
              <w:rPr>
                <w:sz w:val="20"/>
                <w:szCs w:val="20"/>
                <w:color w:val="auto"/>
              </w:rPr>
            </w:pPr>
            <w:r>
              <w:rPr>
                <w:rFonts w:ascii="Arial" w:cs="Arial" w:eastAsia="Arial" w:hAnsi="Arial"/>
                <w:sz w:val="20"/>
                <w:szCs w:val="20"/>
                <w:color w:val="auto"/>
              </w:rPr>
              <w:t>224,164</w:t>
            </w:r>
          </w:p>
        </w:tc>
      </w:tr>
      <w:tr>
        <w:trPr>
          <w:trHeight w:val="292"/>
        </w:trPr>
        <w:tc>
          <w:tcPr>
            <w:tcW w:w="40" w:type="dxa"/>
            <w:vAlign w:val="bottom"/>
            <w:shd w:val="clear" w:color="auto" w:fill="D2EEF5"/>
          </w:tcPr>
          <w:p>
            <w:pPr>
              <w:spacing w:after="0"/>
              <w:rPr>
                <w:sz w:val="24"/>
                <w:szCs w:val="24"/>
                <w:color w:val="auto"/>
              </w:rPr>
            </w:pPr>
          </w:p>
        </w:tc>
        <w:tc>
          <w:tcPr>
            <w:tcW w:w="7820" w:type="dxa"/>
            <w:vAlign w:val="bottom"/>
            <w:gridSpan w:val="2"/>
            <w:shd w:val="clear" w:color="auto" w:fill="D2EEF5"/>
          </w:tcPr>
          <w:p>
            <w:pPr>
              <w:ind w:left="480"/>
              <w:spacing w:after="0"/>
              <w:rPr>
                <w:sz w:val="20"/>
                <w:szCs w:val="20"/>
                <w:color w:val="auto"/>
              </w:rPr>
            </w:pPr>
            <w:r>
              <w:rPr>
                <w:rFonts w:ascii="Arial" w:cs="Arial" w:eastAsia="Arial" w:hAnsi="Arial"/>
                <w:sz w:val="20"/>
                <w:szCs w:val="20"/>
                <w:color w:val="auto"/>
              </w:rPr>
              <w:t>Investing activities</w:t>
            </w:r>
          </w:p>
        </w:tc>
        <w:tc>
          <w:tcPr>
            <w:tcW w:w="24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(135,144)</w:t>
            </w:r>
          </w:p>
        </w:tc>
        <w:tc>
          <w:tcPr>
            <w:tcW w:w="12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(178,996)</w:t>
            </w:r>
          </w:p>
        </w:tc>
      </w:tr>
      <w:tr>
        <w:trPr>
          <w:trHeight w:val="278"/>
        </w:trPr>
        <w:tc>
          <w:tcPr>
            <w:tcW w:w="40" w:type="dxa"/>
            <w:vAlign w:val="bottom"/>
          </w:tcPr>
          <w:p>
            <w:pPr>
              <w:spacing w:after="0"/>
              <w:rPr>
                <w:sz w:val="24"/>
                <w:szCs w:val="24"/>
                <w:color w:val="auto"/>
              </w:rPr>
            </w:pPr>
          </w:p>
        </w:tc>
        <w:tc>
          <w:tcPr>
            <w:tcW w:w="7820" w:type="dxa"/>
            <w:vAlign w:val="bottom"/>
            <w:gridSpan w:val="2"/>
          </w:tcPr>
          <w:p>
            <w:pPr>
              <w:ind w:left="480"/>
              <w:spacing w:after="0"/>
              <w:rPr>
                <w:sz w:val="20"/>
                <w:szCs w:val="20"/>
                <w:color w:val="auto"/>
              </w:rPr>
            </w:pPr>
            <w:r>
              <w:rPr>
                <w:rFonts w:ascii="Arial" w:cs="Arial" w:eastAsia="Arial" w:hAnsi="Arial"/>
                <w:sz w:val="20"/>
                <w:szCs w:val="20"/>
                <w:color w:val="auto"/>
              </w:rPr>
              <w:t>Financing activities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(100,534)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(50,564)</w:t>
            </w: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782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20"/>
                <w:szCs w:val="20"/>
                <w:color w:val="auto"/>
              </w:rPr>
              <w:t>Effect of foreign currency exchange rate changes on cash and cash equivalents</w:t>
            </w:r>
          </w:p>
        </w:tc>
        <w:tc>
          <w:tcPr>
            <w:tcW w:w="240" w:type="dxa"/>
            <w:vAlign w:val="bottom"/>
            <w:tcBorders>
              <w:bottom w:val="single" w:sz="8" w:color="auto"/>
            </w:tcBorders>
            <w:shd w:val="clear" w:color="auto" w:fill="D2EEF5"/>
          </w:tcPr>
          <w:p>
            <w:pPr>
              <w:spacing w:after="0"/>
              <w:rPr>
                <w:sz w:val="24"/>
                <w:szCs w:val="24"/>
                <w:color w:val="auto"/>
              </w:rPr>
            </w:pPr>
          </w:p>
        </w:tc>
        <w:tc>
          <w:tcPr>
            <w:tcW w:w="90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16,074</w:t>
            </w:r>
          </w:p>
        </w:tc>
        <w:tc>
          <w:tcPr>
            <w:tcW w:w="120" w:type="dxa"/>
            <w:vAlign w:val="bottom"/>
            <w:tcBorders>
              <w:bottom w:val="single" w:sz="8" w:color="D2EEF5"/>
            </w:tcBorders>
            <w:shd w:val="clear" w:color="auto" w:fill="D2EEF5"/>
          </w:tcPr>
          <w:p>
            <w:pPr>
              <w:spacing w:after="0"/>
              <w:rPr>
                <w:sz w:val="24"/>
                <w:szCs w:val="24"/>
                <w:color w:val="auto"/>
              </w:rPr>
            </w:pPr>
          </w:p>
        </w:tc>
        <w:tc>
          <w:tcPr>
            <w:tcW w:w="240" w:type="dxa"/>
            <w:vAlign w:val="bottom"/>
            <w:tcBorders>
              <w:bottom w:val="single" w:sz="8" w:color="auto"/>
            </w:tcBorders>
            <w:shd w:val="clear" w:color="auto" w:fill="D2EEF5"/>
          </w:tcPr>
          <w:p>
            <w:pPr>
              <w:spacing w:after="0"/>
              <w:rPr>
                <w:sz w:val="24"/>
                <w:szCs w:val="24"/>
                <w:color w:val="auto"/>
              </w:rPr>
            </w:pPr>
          </w:p>
        </w:tc>
        <w:tc>
          <w:tcPr>
            <w:tcW w:w="9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(17,393)</w:t>
            </w:r>
          </w:p>
        </w:tc>
      </w:tr>
      <w:tr>
        <w:trPr>
          <w:trHeight w:val="227"/>
        </w:trPr>
        <w:tc>
          <w:tcPr>
            <w:tcW w:w="40" w:type="dxa"/>
            <w:vAlign w:val="bottom"/>
          </w:tcPr>
          <w:p>
            <w:pPr>
              <w:spacing w:after="0"/>
              <w:rPr>
                <w:sz w:val="19"/>
                <w:szCs w:val="19"/>
                <w:color w:val="auto"/>
              </w:rPr>
            </w:pPr>
          </w:p>
        </w:tc>
        <w:tc>
          <w:tcPr>
            <w:tcW w:w="7820" w:type="dxa"/>
            <w:vAlign w:val="bottom"/>
            <w:gridSpan w:val="2"/>
          </w:tcPr>
          <w:p>
            <w:pPr>
              <w:spacing w:after="0" w:line="227" w:lineRule="exact"/>
              <w:rPr>
                <w:sz w:val="20"/>
                <w:szCs w:val="20"/>
                <w:color w:val="auto"/>
              </w:rPr>
            </w:pPr>
            <w:r>
              <w:rPr>
                <w:rFonts w:ascii="Arial" w:cs="Arial" w:eastAsia="Arial" w:hAnsi="Arial"/>
                <w:sz w:val="20"/>
                <w:szCs w:val="20"/>
                <w:color w:val="auto"/>
                <w:w w:val="90"/>
              </w:rPr>
              <w:t>Net increase (decrease) in cash and cash equivalents, including restricted cash, during the period</w:t>
            </w:r>
          </w:p>
        </w:tc>
        <w:tc>
          <w:tcPr>
            <w:tcW w:w="24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3"/>
              <w:spacing w:after="0" w:line="227" w:lineRule="exact"/>
              <w:rPr>
                <w:sz w:val="20"/>
                <w:szCs w:val="20"/>
                <w:color w:val="auto"/>
              </w:rPr>
            </w:pPr>
            <w:r>
              <w:rPr>
                <w:rFonts w:ascii="Arial" w:cs="Arial" w:eastAsia="Arial" w:hAnsi="Arial"/>
                <w:sz w:val="20"/>
                <w:szCs w:val="20"/>
                <w:b w:val="1"/>
                <w:bCs w:val="1"/>
                <w:color w:val="auto"/>
              </w:rPr>
              <w:t>67,591</w:t>
            </w:r>
          </w:p>
        </w:tc>
        <w:tc>
          <w:tcPr>
            <w:tcW w:w="360" w:type="dxa"/>
            <w:vAlign w:val="bottom"/>
            <w:gridSpan w:val="2"/>
          </w:tcPr>
          <w:p>
            <w:pPr>
              <w:jc w:val="right"/>
              <w:ind w:right="100"/>
              <w:spacing w:after="0" w:line="227" w:lineRule="exact"/>
              <w:rPr>
                <w:sz w:val="20"/>
                <w:szCs w:val="20"/>
                <w:color w:val="auto"/>
              </w:rPr>
            </w:pPr>
            <w:r>
              <w:rPr>
                <w:rFonts w:ascii="Arial" w:cs="Arial" w:eastAsia="Arial" w:hAnsi="Arial"/>
                <w:sz w:val="20"/>
                <w:szCs w:val="20"/>
                <w:color w:val="auto"/>
              </w:rPr>
              <w:t>$</w:t>
            </w:r>
          </w:p>
        </w:tc>
        <w:tc>
          <w:tcPr>
            <w:tcW w:w="900" w:type="dxa"/>
            <w:vAlign w:val="bottom"/>
          </w:tcPr>
          <w:p>
            <w:pPr>
              <w:jc w:val="right"/>
              <w:spacing w:after="0" w:line="227" w:lineRule="exact"/>
              <w:rPr>
                <w:sz w:val="20"/>
                <w:szCs w:val="20"/>
                <w:color w:val="auto"/>
              </w:rPr>
            </w:pPr>
            <w:r>
              <w:rPr>
                <w:rFonts w:ascii="Arial" w:cs="Arial" w:eastAsia="Arial" w:hAnsi="Arial"/>
                <w:sz w:val="20"/>
                <w:szCs w:val="20"/>
                <w:color w:val="auto"/>
              </w:rPr>
              <w:t>(22,789)</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-43815</wp:posOffset>
            </wp:positionV>
            <wp:extent cx="154940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1549400" cy="50800"/>
                    </a:xfrm>
                    <a:prstGeom prst="rect">
                      <a:avLst/>
                    </a:prstGeom>
                    <a:noFill/>
                  </pic:spPr>
                </pic:pic>
              </a:graphicData>
            </a:graphic>
          </wp:anchor>
        </w:drawing>
      </w:r>
    </w:p>
    <w:p>
      <w:pPr>
        <w:spacing w:after="0" w:line="20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13" w:lineRule="exact"/>
        <w:rPr>
          <w:sz w:val="20"/>
          <w:szCs w:val="20"/>
          <w:color w:val="auto"/>
        </w:rPr>
      </w:pPr>
    </w:p>
    <w:p>
      <w:pPr>
        <w:ind w:left="10" w:right="200"/>
        <w:spacing w:after="0" w:line="299" w:lineRule="auto"/>
        <w:rPr>
          <w:sz w:val="20"/>
          <w:szCs w:val="20"/>
          <w:color w:val="auto"/>
        </w:rPr>
      </w:pPr>
      <w:r>
        <w:rPr>
          <w:rFonts w:ascii="Arial" w:cs="Arial" w:eastAsia="Arial" w:hAnsi="Arial"/>
          <w:sz w:val="18"/>
          <w:szCs w:val="18"/>
          <w:color w:val="auto"/>
        </w:rPr>
        <w:t>Net cash provided by operating activities increased $63.0 million to net cash provided of $287.2 million for the year ended December 31, 2025 as compared to $224.2 million for the prior year. The increase in net cash provided by operating activities in the year ended December 31, 2025 compared to the prior year was due mainly to a $43.2 million increase in gross profit, a $15.9 million decrease in cash paid for interest and a $5.0 million decrease in cash paid for income taxes.</w:t>
      </w:r>
    </w:p>
    <w:p>
      <w:pPr>
        <w:spacing w:after="0" w:line="126"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13" w:lineRule="exact"/>
        <w:rPr>
          <w:sz w:val="20"/>
          <w:szCs w:val="20"/>
          <w:color w:val="auto"/>
        </w:rPr>
      </w:pPr>
    </w:p>
    <w:p>
      <w:pPr>
        <w:jc w:val="both"/>
        <w:ind w:left="10" w:right="80"/>
        <w:spacing w:after="0" w:line="266" w:lineRule="auto"/>
        <w:rPr>
          <w:sz w:val="20"/>
          <w:szCs w:val="20"/>
          <w:color w:val="auto"/>
        </w:rPr>
      </w:pPr>
      <w:r>
        <w:rPr>
          <w:rFonts w:ascii="Arial" w:cs="Arial" w:eastAsia="Arial" w:hAnsi="Arial"/>
          <w:sz w:val="20"/>
          <w:szCs w:val="20"/>
          <w:color w:val="auto"/>
        </w:rPr>
        <w:t>Net cash used in investing activities decreased $43.9 million to net cash used of $135.1 million in the year ended December 31, 2025 as compared to $179.0 million for the prior year. The variance was mainly driven by a decrease in capital expenditures of $41.1 million in the year ended December 31, 2025 compared to the prior year.</w:t>
      </w:r>
    </w:p>
    <w:p>
      <w:pPr>
        <w:spacing w:after="0" w:line="152"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49" w:lineRule="exact"/>
        <w:rPr>
          <w:sz w:val="20"/>
          <w:szCs w:val="20"/>
          <w:color w:val="auto"/>
        </w:rPr>
      </w:pPr>
    </w:p>
    <w:p>
      <w:pPr>
        <w:ind w:left="10" w:right="40"/>
        <w:spacing w:after="0" w:line="261" w:lineRule="auto"/>
        <w:rPr>
          <w:sz w:val="20"/>
          <w:szCs w:val="20"/>
          <w:color w:val="auto"/>
        </w:rPr>
      </w:pPr>
      <w:r>
        <w:rPr>
          <w:rFonts w:ascii="Arial" w:cs="Arial" w:eastAsia="Arial" w:hAnsi="Arial"/>
          <w:sz w:val="20"/>
          <w:szCs w:val="20"/>
          <w:color w:val="auto"/>
        </w:rPr>
        <w:t>For the year ended December 31, 2025, net cash used in financing activities increased $50.0 million to net cash used of $100.5 million as compared to $50.6 million for the year ended December 31, 2024. The difference was mainly attributable to an $81.1 million increase in debt principal repayments in the year ended December 31, 2025 as compared to the prior year, partially offset by $27.7 million decrease in cash paid for debt issuance costs and debt discounts in the year ended December 31, 2025 as compared to the prior year.</w:t>
      </w:r>
    </w:p>
    <w:p>
      <w:pPr>
        <w:spacing w:after="0" w:line="15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CONTRACTUAL OBLIGATIONS AND COMMERCIAL COMMITMENTS</w:t>
      </w:r>
    </w:p>
    <w:p>
      <w:pPr>
        <w:spacing w:after="0" w:line="245"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following table describes our significant contractual and other cash obligations as of December 31, 2025:</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w w:val="89"/>
              </w:rPr>
              <w:t>Payments due by period</w:t>
            </w: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81"/>
        </w:trPr>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186"/>
              <w:spacing w:after="0" w:line="181" w:lineRule="exact"/>
              <w:rPr>
                <w:sz w:val="20"/>
                <w:szCs w:val="20"/>
                <w:color w:val="auto"/>
              </w:rPr>
            </w:pPr>
            <w:r>
              <w:rPr>
                <w:rFonts w:ascii="Arial" w:cs="Arial" w:eastAsia="Arial" w:hAnsi="Arial"/>
                <w:sz w:val="16"/>
                <w:szCs w:val="16"/>
                <w:b w:val="1"/>
                <w:bCs w:val="1"/>
                <w:color w:val="auto"/>
                <w:w w:val="96"/>
              </w:rPr>
              <w:t>Less than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146"/>
              <w:spacing w:after="0" w:line="181" w:lineRule="exact"/>
              <w:rPr>
                <w:sz w:val="20"/>
                <w:szCs w:val="20"/>
                <w:color w:val="auto"/>
              </w:rPr>
            </w:pPr>
            <w:r>
              <w:rPr>
                <w:rFonts w:ascii="Arial" w:cs="Arial" w:eastAsia="Arial" w:hAnsi="Arial"/>
                <w:sz w:val="16"/>
                <w:szCs w:val="16"/>
                <w:b w:val="1"/>
                <w:bCs w:val="1"/>
                <w:color w:val="auto"/>
                <w:w w:val="95"/>
              </w:rPr>
              <w:t>More than 5</w:t>
            </w:r>
          </w:p>
        </w:tc>
      </w:tr>
      <w:tr>
        <w:trPr>
          <w:trHeight w:val="177"/>
        </w:trPr>
        <w:tc>
          <w:tcPr>
            <w:tcW w:w="40" w:type="dxa"/>
            <w:vAlign w:val="bottom"/>
          </w:tcPr>
          <w:p>
            <w:pPr>
              <w:spacing w:after="0"/>
              <w:rPr>
                <w:sz w:val="15"/>
                <w:szCs w:val="15"/>
                <w:color w:val="auto"/>
              </w:rPr>
            </w:pPr>
          </w:p>
        </w:tc>
        <w:tc>
          <w:tcPr>
            <w:tcW w:w="3200" w:type="dxa"/>
            <w:vAlign w:val="bottom"/>
            <w:gridSpan w:val="2"/>
          </w:tcPr>
          <w:p>
            <w:pPr>
              <w:spacing w:after="0" w:line="178" w:lineRule="exact"/>
              <w:rPr>
                <w:sz w:val="20"/>
                <w:szCs w:val="20"/>
                <w:color w:val="auto"/>
              </w:rPr>
            </w:pPr>
            <w:r>
              <w:rPr>
                <w:rFonts w:ascii="Arial" w:cs="Arial" w:eastAsia="Arial" w:hAnsi="Arial"/>
                <w:sz w:val="16"/>
                <w:szCs w:val="16"/>
                <w:b w:val="1"/>
                <w:bCs w:val="1"/>
                <w:i w:val="1"/>
                <w:iCs w:val="1"/>
                <w:color w:val="auto"/>
              </w:rPr>
              <w:t>(thousands of U.S. dollars)</w:t>
            </w:r>
          </w:p>
        </w:tc>
        <w:tc>
          <w:tcPr>
            <w:tcW w:w="300" w:type="dxa"/>
            <w:vAlign w:val="bottom"/>
          </w:tcPr>
          <w:p>
            <w:pPr>
              <w:spacing w:after="0"/>
              <w:rPr>
                <w:sz w:val="15"/>
                <w:szCs w:val="15"/>
                <w:color w:val="auto"/>
              </w:rPr>
            </w:pPr>
          </w:p>
        </w:tc>
        <w:tc>
          <w:tcPr>
            <w:tcW w:w="1020" w:type="dxa"/>
            <w:vAlign w:val="bottom"/>
          </w:tcPr>
          <w:p>
            <w:pPr>
              <w:jc w:val="right"/>
              <w:ind w:right="383"/>
              <w:spacing w:after="0" w:line="178"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66"/>
              <w:spacing w:after="0" w:line="178" w:lineRule="exact"/>
              <w:rPr>
                <w:sz w:val="20"/>
                <w:szCs w:val="20"/>
                <w:color w:val="auto"/>
              </w:rPr>
            </w:pPr>
            <w:r>
              <w:rPr>
                <w:rFonts w:ascii="Arial" w:cs="Arial" w:eastAsia="Arial" w:hAnsi="Arial"/>
                <w:sz w:val="16"/>
                <w:szCs w:val="16"/>
                <w:b w:val="1"/>
                <w:bCs w:val="1"/>
                <w:color w:val="auto"/>
              </w:rPr>
              <w:t>1 Year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223"/>
              <w:spacing w:after="0" w:line="178" w:lineRule="exact"/>
              <w:rPr>
                <w:sz w:val="20"/>
                <w:szCs w:val="20"/>
                <w:color w:val="auto"/>
              </w:rPr>
            </w:pPr>
            <w:r>
              <w:rPr>
                <w:rFonts w:ascii="Arial" w:cs="Arial" w:eastAsia="Arial" w:hAnsi="Arial"/>
                <w:sz w:val="16"/>
                <w:szCs w:val="16"/>
                <w:b w:val="1"/>
                <w:bCs w:val="1"/>
                <w:color w:val="auto"/>
              </w:rPr>
              <w:t>2-3 Years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223"/>
              <w:spacing w:after="0" w:line="178" w:lineRule="exact"/>
              <w:rPr>
                <w:sz w:val="20"/>
                <w:szCs w:val="20"/>
                <w:color w:val="auto"/>
              </w:rPr>
            </w:pPr>
            <w:r>
              <w:rPr>
                <w:rFonts w:ascii="Arial" w:cs="Arial" w:eastAsia="Arial" w:hAnsi="Arial"/>
                <w:sz w:val="16"/>
                <w:szCs w:val="16"/>
                <w:b w:val="1"/>
                <w:bCs w:val="1"/>
                <w:color w:val="auto"/>
              </w:rPr>
              <w:t>4-5 Years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366"/>
              <w:spacing w:after="0" w:line="178" w:lineRule="exact"/>
              <w:rPr>
                <w:sz w:val="20"/>
                <w:szCs w:val="20"/>
                <w:color w:val="auto"/>
              </w:rPr>
            </w:pPr>
            <w:r>
              <w:rPr>
                <w:rFonts w:ascii="Arial" w:cs="Arial" w:eastAsia="Arial" w:hAnsi="Arial"/>
                <w:sz w:val="16"/>
                <w:szCs w:val="16"/>
                <w:b w:val="1"/>
                <w:bCs w:val="1"/>
                <w:color w:val="auto"/>
              </w:rPr>
              <w:t>Years</w:t>
            </w: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5"/>
        </w:trPr>
        <w:tc>
          <w:tcPr>
            <w:tcW w:w="40" w:type="dxa"/>
            <w:vAlign w:val="bottom"/>
            <w:shd w:val="clear" w:color="auto" w:fill="D2EEF5"/>
          </w:tcPr>
          <w:p>
            <w:pPr>
              <w:spacing w:after="0"/>
              <w:rPr>
                <w:sz w:val="24"/>
                <w:szCs w:val="24"/>
                <w:color w:val="auto"/>
              </w:rPr>
            </w:pPr>
          </w:p>
        </w:tc>
        <w:tc>
          <w:tcPr>
            <w:tcW w:w="320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 xml:space="preserve">Long-term debt </w:t>
            </w:r>
            <w:r>
              <w:rPr>
                <w:rFonts w:ascii="Arial" w:cs="Arial" w:eastAsia="Arial" w:hAnsi="Arial"/>
                <w:sz w:val="13"/>
                <w:szCs w:val="13"/>
                <w:color w:val="auto"/>
              </w:rPr>
              <w:t>(a)</w:t>
            </w:r>
          </w:p>
        </w:tc>
        <w:tc>
          <w:tcPr>
            <w:tcW w:w="30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1020" w:type="dxa"/>
            <w:vAlign w:val="bottom"/>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2,942,508</w:t>
            </w:r>
          </w:p>
        </w:tc>
        <w:tc>
          <w:tcPr>
            <w:tcW w:w="34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157,015</w:t>
            </w:r>
          </w:p>
        </w:tc>
        <w:tc>
          <w:tcPr>
            <w:tcW w:w="420" w:type="dxa"/>
            <w:vAlign w:val="bottom"/>
            <w:gridSpan w:val="3"/>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302,589</w:t>
            </w:r>
          </w:p>
        </w:tc>
        <w:tc>
          <w:tcPr>
            <w:tcW w:w="36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307,248</w:t>
            </w:r>
          </w:p>
        </w:tc>
        <w:tc>
          <w:tcPr>
            <w:tcW w:w="32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D2EEF5"/>
          </w:tcPr>
          <w:p>
            <w:pPr>
              <w:jc w:val="right"/>
              <w:ind w:right="6"/>
              <w:spacing w:after="0"/>
              <w:rPr>
                <w:sz w:val="20"/>
                <w:szCs w:val="20"/>
                <w:color w:val="auto"/>
              </w:rPr>
            </w:pPr>
            <w:r>
              <w:rPr>
                <w:rFonts w:ascii="Arial" w:cs="Arial" w:eastAsia="Arial" w:hAnsi="Arial"/>
                <w:sz w:val="20"/>
                <w:szCs w:val="20"/>
                <w:color w:val="auto"/>
              </w:rPr>
              <w:t>2,175,656</w:t>
            </w:r>
          </w:p>
        </w:tc>
      </w:tr>
      <w:tr>
        <w:trPr>
          <w:trHeight w:val="261"/>
        </w:trPr>
        <w:tc>
          <w:tcPr>
            <w:tcW w:w="40" w:type="dxa"/>
            <w:vAlign w:val="bottom"/>
          </w:tcPr>
          <w:p>
            <w:pPr>
              <w:spacing w:after="0"/>
              <w:rPr>
                <w:sz w:val="22"/>
                <w:szCs w:val="22"/>
                <w:color w:val="auto"/>
              </w:rPr>
            </w:pPr>
          </w:p>
        </w:tc>
        <w:tc>
          <w:tcPr>
            <w:tcW w:w="3200" w:type="dxa"/>
            <w:vAlign w:val="bottom"/>
            <w:gridSpan w:val="2"/>
          </w:tcPr>
          <w:p>
            <w:pPr>
              <w:spacing w:after="0"/>
              <w:rPr>
                <w:sz w:val="20"/>
                <w:szCs w:val="20"/>
                <w:color w:val="auto"/>
              </w:rPr>
            </w:pPr>
            <w:r>
              <w:rPr>
                <w:rFonts w:ascii="Arial" w:cs="Arial" w:eastAsia="Arial" w:hAnsi="Arial"/>
                <w:sz w:val="20"/>
                <w:szCs w:val="20"/>
                <w:color w:val="auto"/>
              </w:rPr>
              <w:t>Lease obligations: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5"/>
        </w:trPr>
        <w:tc>
          <w:tcPr>
            <w:tcW w:w="40" w:type="dxa"/>
            <w:vAlign w:val="bottom"/>
            <w:shd w:val="clear" w:color="auto" w:fill="D2EEF5"/>
          </w:tcPr>
          <w:p>
            <w:pPr>
              <w:spacing w:after="0"/>
              <w:rPr>
                <w:sz w:val="24"/>
                <w:szCs w:val="24"/>
                <w:color w:val="auto"/>
              </w:rPr>
            </w:pPr>
          </w:p>
        </w:tc>
        <w:tc>
          <w:tcPr>
            <w:tcW w:w="3200" w:type="dxa"/>
            <w:vAlign w:val="bottom"/>
            <w:gridSpan w:val="2"/>
            <w:shd w:val="clear" w:color="auto" w:fill="D2EEF5"/>
          </w:tcPr>
          <w:p>
            <w:pPr>
              <w:ind w:left="480"/>
              <w:spacing w:after="0"/>
              <w:rPr>
                <w:sz w:val="20"/>
                <w:szCs w:val="20"/>
                <w:color w:val="auto"/>
              </w:rPr>
            </w:pPr>
            <w:r>
              <w:rPr>
                <w:rFonts w:ascii="Arial" w:cs="Arial" w:eastAsia="Arial" w:hAnsi="Arial"/>
                <w:sz w:val="20"/>
                <w:szCs w:val="20"/>
                <w:color w:val="auto"/>
              </w:rPr>
              <w:t xml:space="preserve">Finance </w:t>
            </w:r>
            <w:r>
              <w:rPr>
                <w:rFonts w:ascii="Arial" w:cs="Arial" w:eastAsia="Arial" w:hAnsi="Arial"/>
                <w:sz w:val="13"/>
                <w:szCs w:val="13"/>
                <w:color w:val="auto"/>
              </w:rPr>
              <w:t>(b)</w:t>
            </w:r>
          </w:p>
        </w:tc>
        <w:tc>
          <w:tcPr>
            <w:tcW w:w="300" w:type="dxa"/>
            <w:vAlign w:val="bottom"/>
            <w:shd w:val="clear" w:color="auto" w:fill="D2EEF5"/>
          </w:tcPr>
          <w:p>
            <w:pPr>
              <w:spacing w:after="0"/>
              <w:rPr>
                <w:sz w:val="24"/>
                <w:szCs w:val="24"/>
                <w:color w:val="auto"/>
              </w:rPr>
            </w:pPr>
          </w:p>
        </w:tc>
        <w:tc>
          <w:tcPr>
            <w:tcW w:w="1020" w:type="dxa"/>
            <w:vAlign w:val="bottom"/>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158,298</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10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9,689</w:t>
            </w:r>
          </w:p>
        </w:tc>
        <w:tc>
          <w:tcPr>
            <w:tcW w:w="6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20,231</w:t>
            </w:r>
          </w:p>
        </w:tc>
        <w:tc>
          <w:tcPr>
            <w:tcW w:w="12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19,567</w:t>
            </w:r>
          </w:p>
        </w:tc>
        <w:tc>
          <w:tcPr>
            <w:tcW w:w="120" w:type="dxa"/>
            <w:vAlign w:val="bottom"/>
            <w:shd w:val="clear" w:color="auto" w:fill="D2EEF5"/>
          </w:tcPr>
          <w:p>
            <w:pPr>
              <w:spacing w:after="0"/>
              <w:rPr>
                <w:sz w:val="24"/>
                <w:szCs w:val="24"/>
                <w:color w:val="auto"/>
              </w:rPr>
            </w:pPr>
          </w:p>
        </w:tc>
        <w:tc>
          <w:tcPr>
            <w:tcW w:w="200" w:type="dxa"/>
            <w:vAlign w:val="bottom"/>
            <w:shd w:val="clear" w:color="auto" w:fill="D2EEF5"/>
          </w:tcPr>
          <w:p>
            <w:pPr>
              <w:spacing w:after="0"/>
              <w:rPr>
                <w:sz w:val="24"/>
                <w:szCs w:val="24"/>
                <w:color w:val="auto"/>
              </w:rPr>
            </w:pPr>
          </w:p>
        </w:tc>
        <w:tc>
          <w:tcPr>
            <w:tcW w:w="1120" w:type="dxa"/>
            <w:vAlign w:val="bottom"/>
            <w:shd w:val="clear" w:color="auto" w:fill="D2EEF5"/>
          </w:tcPr>
          <w:p>
            <w:pPr>
              <w:jc w:val="right"/>
              <w:ind w:right="6"/>
              <w:spacing w:after="0"/>
              <w:rPr>
                <w:sz w:val="20"/>
                <w:szCs w:val="20"/>
                <w:color w:val="auto"/>
              </w:rPr>
            </w:pPr>
            <w:r>
              <w:rPr>
                <w:rFonts w:ascii="Arial" w:cs="Arial" w:eastAsia="Arial" w:hAnsi="Arial"/>
                <w:sz w:val="20"/>
                <w:szCs w:val="20"/>
                <w:color w:val="auto"/>
              </w:rPr>
              <w:t>108,811</w:t>
            </w:r>
          </w:p>
        </w:tc>
      </w:tr>
      <w:tr>
        <w:trPr>
          <w:trHeight w:val="278"/>
        </w:trPr>
        <w:tc>
          <w:tcPr>
            <w:tcW w:w="40" w:type="dxa"/>
            <w:vAlign w:val="bottom"/>
          </w:tcPr>
          <w:p>
            <w:pPr>
              <w:spacing w:after="0"/>
              <w:rPr>
                <w:sz w:val="24"/>
                <w:szCs w:val="24"/>
                <w:color w:val="auto"/>
              </w:rPr>
            </w:pPr>
          </w:p>
        </w:tc>
        <w:tc>
          <w:tcPr>
            <w:tcW w:w="3200" w:type="dxa"/>
            <w:vAlign w:val="bottom"/>
            <w:gridSpan w:val="2"/>
          </w:tcPr>
          <w:p>
            <w:pPr>
              <w:ind w:left="480"/>
              <w:spacing w:after="0"/>
              <w:rPr>
                <w:sz w:val="20"/>
                <w:szCs w:val="20"/>
                <w:color w:val="auto"/>
              </w:rPr>
            </w:pPr>
            <w:r>
              <w:rPr>
                <w:rFonts w:ascii="Arial" w:cs="Arial" w:eastAsia="Arial" w:hAnsi="Arial"/>
                <w:sz w:val="20"/>
                <w:szCs w:val="20"/>
                <w:color w:val="auto"/>
              </w:rPr>
              <w:t xml:space="preserve">Operating </w:t>
            </w:r>
            <w:r>
              <w:rPr>
                <w:rFonts w:ascii="Arial" w:cs="Arial" w:eastAsia="Arial" w:hAnsi="Arial"/>
                <w:sz w:val="13"/>
                <w:szCs w:val="13"/>
                <w:color w:val="auto"/>
              </w:rPr>
              <w:t>(c)</w:t>
            </w:r>
          </w:p>
        </w:tc>
        <w:tc>
          <w:tcPr>
            <w:tcW w:w="30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51,634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8,134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12,947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8,484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6"/>
              <w:spacing w:after="0"/>
              <w:rPr>
                <w:sz w:val="20"/>
                <w:szCs w:val="20"/>
                <w:color w:val="auto"/>
              </w:rPr>
            </w:pPr>
            <w:r>
              <w:rPr>
                <w:rFonts w:ascii="Arial" w:cs="Arial" w:eastAsia="Arial" w:hAnsi="Arial"/>
                <w:sz w:val="20"/>
                <w:szCs w:val="20"/>
                <w:color w:val="auto"/>
              </w:rPr>
              <w:t>22,069</w:t>
            </w: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320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20"/>
                <w:szCs w:val="20"/>
                <w:color w:val="auto"/>
              </w:rPr>
              <w:t xml:space="preserve">Supply and service obligations </w:t>
            </w:r>
            <w:r>
              <w:rPr>
                <w:rFonts w:ascii="Arial" w:cs="Arial" w:eastAsia="Arial" w:hAnsi="Arial"/>
                <w:sz w:val="13"/>
                <w:szCs w:val="13"/>
                <w:color w:val="auto"/>
              </w:rPr>
              <w:t>(d)</w:t>
            </w:r>
          </w:p>
        </w:tc>
        <w:tc>
          <w:tcPr>
            <w:tcW w:w="30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2,500,034</w:t>
            </w: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118,524</w:t>
            </w:r>
          </w:p>
        </w:tc>
        <w:tc>
          <w:tcPr>
            <w:tcW w:w="60" w:type="dxa"/>
            <w:vAlign w:val="bottom"/>
            <w:tcBorders>
              <w:bottom w:val="single" w:sz="8" w:color="auto"/>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240" w:type="dxa"/>
            <w:vAlign w:val="bottom"/>
            <w:tcBorders>
              <w:bottom w:val="single" w:sz="8" w:color="auto"/>
            </w:tcBorders>
            <w:shd w:val="clear" w:color="auto" w:fill="D2EEF5"/>
          </w:tcPr>
          <w:p>
            <w:pPr>
              <w:spacing w:after="0"/>
              <w:rPr>
                <w:sz w:val="24"/>
                <w:szCs w:val="24"/>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157,839</w:t>
            </w:r>
          </w:p>
        </w:tc>
        <w:tc>
          <w:tcPr>
            <w:tcW w:w="120" w:type="dxa"/>
            <w:vAlign w:val="bottom"/>
            <w:tcBorders>
              <w:bottom w:val="single" w:sz="8" w:color="D2EEF5"/>
            </w:tcBorders>
            <w:shd w:val="clear" w:color="auto" w:fill="D2EEF5"/>
          </w:tcPr>
          <w:p>
            <w:pPr>
              <w:spacing w:after="0"/>
              <w:rPr>
                <w:sz w:val="24"/>
                <w:szCs w:val="24"/>
                <w:color w:val="auto"/>
              </w:rPr>
            </w:pPr>
          </w:p>
        </w:tc>
        <w:tc>
          <w:tcPr>
            <w:tcW w:w="240" w:type="dxa"/>
            <w:vAlign w:val="bottom"/>
            <w:tcBorders>
              <w:bottom w:val="single" w:sz="8" w:color="auto"/>
            </w:tcBorders>
            <w:shd w:val="clear" w:color="auto" w:fill="D2EEF5"/>
          </w:tcPr>
          <w:p>
            <w:pPr>
              <w:spacing w:after="0"/>
              <w:rPr>
                <w:sz w:val="24"/>
                <w:szCs w:val="24"/>
                <w:color w:val="auto"/>
              </w:rPr>
            </w:pPr>
          </w:p>
        </w:tc>
        <w:tc>
          <w:tcPr>
            <w:tcW w:w="10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163,319</w:t>
            </w:r>
          </w:p>
        </w:tc>
        <w:tc>
          <w:tcPr>
            <w:tcW w:w="120" w:type="dxa"/>
            <w:vAlign w:val="bottom"/>
            <w:tcBorders>
              <w:bottom w:val="single" w:sz="8" w:color="D2EEF5"/>
            </w:tcBorders>
            <w:shd w:val="clear" w:color="auto" w:fill="D2EEF5"/>
          </w:tcPr>
          <w:p>
            <w:pPr>
              <w:spacing w:after="0"/>
              <w:rPr>
                <w:sz w:val="24"/>
                <w:szCs w:val="24"/>
                <w:color w:val="auto"/>
              </w:rPr>
            </w:pPr>
          </w:p>
        </w:tc>
        <w:tc>
          <w:tcPr>
            <w:tcW w:w="200" w:type="dxa"/>
            <w:vAlign w:val="bottom"/>
            <w:tcBorders>
              <w:bottom w:val="single" w:sz="8" w:color="auto"/>
            </w:tcBorders>
            <w:shd w:val="clear" w:color="auto" w:fill="D2EEF5"/>
          </w:tcPr>
          <w:p>
            <w:pPr>
              <w:spacing w:after="0"/>
              <w:rPr>
                <w:sz w:val="24"/>
                <w:szCs w:val="24"/>
                <w:color w:val="auto"/>
              </w:rPr>
            </w:pPr>
          </w:p>
        </w:tc>
        <w:tc>
          <w:tcPr>
            <w:tcW w:w="1120" w:type="dxa"/>
            <w:vAlign w:val="bottom"/>
            <w:tcBorders>
              <w:bottom w:val="single" w:sz="8" w:color="auto"/>
            </w:tcBorders>
            <w:shd w:val="clear" w:color="auto" w:fill="D2EEF5"/>
          </w:tcPr>
          <w:p>
            <w:pPr>
              <w:jc w:val="right"/>
              <w:ind w:right="6"/>
              <w:spacing w:after="0"/>
              <w:rPr>
                <w:sz w:val="20"/>
                <w:szCs w:val="20"/>
                <w:color w:val="auto"/>
              </w:rPr>
            </w:pPr>
            <w:r>
              <w:rPr>
                <w:rFonts w:ascii="Arial" w:cs="Arial" w:eastAsia="Arial" w:hAnsi="Arial"/>
                <w:sz w:val="20"/>
                <w:szCs w:val="20"/>
                <w:color w:val="auto"/>
              </w:rPr>
              <w:t>2,060,352</w:t>
            </w:r>
          </w:p>
        </w:tc>
      </w:tr>
      <w:tr>
        <w:trPr>
          <w:trHeight w:val="227"/>
        </w:trPr>
        <w:tc>
          <w:tcPr>
            <w:tcW w:w="40" w:type="dxa"/>
            <w:vAlign w:val="bottom"/>
          </w:tcPr>
          <w:p>
            <w:pPr>
              <w:spacing w:after="0"/>
              <w:rPr>
                <w:sz w:val="19"/>
                <w:szCs w:val="19"/>
                <w:color w:val="auto"/>
              </w:rPr>
            </w:pPr>
          </w:p>
        </w:tc>
        <w:tc>
          <w:tcPr>
            <w:tcW w:w="3200" w:type="dxa"/>
            <w:vAlign w:val="bottom"/>
            <w:gridSpan w:val="2"/>
          </w:tcPr>
          <w:p>
            <w:pPr>
              <w:ind w:left="480"/>
              <w:spacing w:after="0" w:line="227" w:lineRule="exact"/>
              <w:rPr>
                <w:sz w:val="20"/>
                <w:szCs w:val="20"/>
                <w:color w:val="auto"/>
              </w:rPr>
            </w:pPr>
            <w:r>
              <w:rPr>
                <w:rFonts w:ascii="Arial" w:cs="Arial" w:eastAsia="Arial" w:hAnsi="Arial"/>
                <w:sz w:val="20"/>
                <w:szCs w:val="20"/>
                <w:b w:val="1"/>
                <w:bCs w:val="1"/>
                <w:color w:val="auto"/>
              </w:rPr>
              <w:t>Total</w:t>
            </w:r>
          </w:p>
        </w:tc>
        <w:tc>
          <w:tcPr>
            <w:tcW w:w="300" w:type="dxa"/>
            <w:vAlign w:val="bottom"/>
            <w:tcBorders>
              <w:bottom w:val="single" w:sz="8" w:color="auto"/>
            </w:tcBorders>
          </w:tcPr>
          <w:p>
            <w:pPr>
              <w:jc w:val="right"/>
              <w:ind w:right="40"/>
              <w:spacing w:after="0" w:line="227" w:lineRule="exact"/>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ind w:right="3"/>
              <w:spacing w:after="0" w:line="227" w:lineRule="exact"/>
              <w:rPr>
                <w:sz w:val="20"/>
                <w:szCs w:val="20"/>
                <w:color w:val="auto"/>
              </w:rPr>
            </w:pPr>
            <w:r>
              <w:rPr>
                <w:rFonts w:ascii="Arial" w:cs="Arial" w:eastAsia="Arial" w:hAnsi="Arial"/>
                <w:sz w:val="20"/>
                <w:szCs w:val="20"/>
                <w:b w:val="1"/>
                <w:bCs w:val="1"/>
                <w:color w:val="auto"/>
              </w:rPr>
              <w:t>5,652,474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293,362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493,606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498,618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auto"/>
            </w:tcBorders>
          </w:tcPr>
          <w:p>
            <w:pPr>
              <w:jc w:val="right"/>
              <w:ind w:right="6"/>
              <w:spacing w:after="0" w:line="227" w:lineRule="exact"/>
              <w:rPr>
                <w:sz w:val="20"/>
                <w:szCs w:val="20"/>
                <w:color w:val="auto"/>
              </w:rPr>
            </w:pPr>
            <w:r>
              <w:rPr>
                <w:rFonts w:ascii="Arial" w:cs="Arial" w:eastAsia="Arial" w:hAnsi="Arial"/>
                <w:sz w:val="20"/>
                <w:szCs w:val="20"/>
                <w:b w:val="1"/>
                <w:bCs w:val="1"/>
                <w:color w:val="auto"/>
              </w:rPr>
              <w:t>4,366,888</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-43815</wp:posOffset>
            </wp:positionV>
            <wp:extent cx="447357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4473575" cy="50800"/>
                    </a:xfrm>
                    <a:prstGeom prst="rect">
                      <a:avLst/>
                    </a:prstGeom>
                    <a:noFill/>
                  </pic:spPr>
                </pic:pic>
              </a:graphicData>
            </a:graphic>
          </wp:anchor>
        </w:drawing>
      </w:r>
    </w:p>
    <w:p>
      <w:pPr>
        <w:spacing w:after="0" w:line="87" w:lineRule="exact"/>
        <w:rPr>
          <w:sz w:val="20"/>
          <w:szCs w:val="20"/>
          <w:color w:val="auto"/>
        </w:rPr>
      </w:pPr>
    </w:p>
    <w:p>
      <w:pPr>
        <w:ind w:left="450" w:right="40" w:hanging="450"/>
        <w:spacing w:after="0" w:line="250" w:lineRule="auto"/>
        <w:tabs>
          <w:tab w:leader="none" w:pos="45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Represents principal and interest payments on the Senior Secured Credit Facilities and Secured Notes. We have calculated the interest payments on the Senior Secured Credit Facilities using an assumed range of 3.10% to 3.84% based on anticipated forward movements in SOFR and the fixed rate of 7.375% for the Secured Notes. In addition, interest payments include the impact of existing interest rate swaps described in Note 20, “Financial Instruments and Financial Risk” in the notes to consolidated financial statements.</w:t>
      </w:r>
    </w:p>
    <w:p>
      <w:pPr>
        <w:spacing w:after="0" w:line="2" w:lineRule="exact"/>
        <w:rPr>
          <w:rFonts w:ascii="Arial" w:cs="Arial" w:eastAsia="Arial" w:hAnsi="Arial"/>
          <w:sz w:val="20"/>
          <w:szCs w:val="20"/>
          <w:color w:val="auto"/>
        </w:rPr>
      </w:pPr>
    </w:p>
    <w:p>
      <w:pPr>
        <w:ind w:left="450" w:hanging="450"/>
        <w:spacing w:after="0"/>
        <w:tabs>
          <w:tab w:leader="none" w:pos="45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Consists of payments under our finance leases for various facilities and equipment.</w:t>
      </w:r>
    </w:p>
    <w:p>
      <w:pPr>
        <w:spacing w:after="0" w:line="10" w:lineRule="exact"/>
        <w:rPr>
          <w:rFonts w:ascii="Arial" w:cs="Arial" w:eastAsia="Arial" w:hAnsi="Arial"/>
          <w:sz w:val="20"/>
          <w:szCs w:val="20"/>
          <w:color w:val="auto"/>
        </w:rPr>
      </w:pPr>
    </w:p>
    <w:p>
      <w:pPr>
        <w:ind w:left="450" w:right="660" w:hanging="450"/>
        <w:spacing w:after="0" w:line="283" w:lineRule="auto"/>
        <w:tabs>
          <w:tab w:leader="none" w:pos="45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Represents minimum lease payments under our operating leases for several of our facilities and other property and equipment.</w:t>
      </w:r>
    </w:p>
    <w:p>
      <w:pPr>
        <w:sectPr>
          <w:pgSz w:w="11880" w:h="15480" w:orient="portrait"/>
          <w:cols w:equalWidth="0" w:num="1">
            <w:col w:w="10270"/>
          </w:cols>
          <w:pgMar w:left="810" w:top="40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0270"/>
          </w:cols>
          <w:pgMar w:left="810" w:top="409" w:right="800" w:bottom="0" w:gutter="0" w:footer="0" w:header="0"/>
          <w:type w:val="continuous"/>
        </w:sectPr>
      </w:pPr>
    </w:p>
    <w:bookmarkStart w:id="65" w:name="page66"/>
    <w:bookmarkEnd w:id="65"/>
    <w:p>
      <w:pPr>
        <w:ind w:left="450" w:right="40" w:hanging="450"/>
        <w:spacing w:after="0" w:line="286" w:lineRule="auto"/>
        <w:tabs>
          <w:tab w:leader="none" w:pos="4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our best estimate of our obligations under various supply and service agreements, primarily Co-60 and capacity expansions, that are enforceable and legally binding on us. This also includes our best estimate of our obligations to purchase EO gas under commitments that are enforceable and legally binding on us. We have excluded contracts to purchase energy and other supplies, which generally have terms of one to two years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spacing w:after="0" w:line="140" w:lineRule="exact"/>
        <w:rPr>
          <w:sz w:val="20"/>
          <w:szCs w:val="20"/>
          <w:color w:val="auto"/>
        </w:rPr>
      </w:pPr>
    </w:p>
    <w:p>
      <w:pPr>
        <w:ind w:left="10"/>
        <w:spacing w:after="0" w:line="255" w:lineRule="auto"/>
        <w:rPr>
          <w:sz w:val="20"/>
          <w:szCs w:val="20"/>
          <w:color w:val="auto"/>
        </w:rPr>
      </w:pPr>
      <w:r>
        <w:rPr>
          <w:rFonts w:ascii="Arial" w:cs="Arial" w:eastAsia="Arial" w:hAnsi="Arial"/>
          <w:sz w:val="20"/>
          <w:szCs w:val="20"/>
          <w:color w:val="auto"/>
        </w:rPr>
        <w:t>At December 31, 2025 and 2024, we had $54.5 million and $58.5 million, respectively, of standby letters of credit, surety bonds and other bank guarantees outstanding, primarily in favor of local and state licensing 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2025 and 2024, $50.3 million and $49.1 million, respectively, of the standby letters of credit and surety bonds referenced above were outstanding in favor of the various local and state licensing authorities in the event we defaulted on our decommissioning obligation.</w:t>
      </w:r>
    </w:p>
    <w:p>
      <w:pPr>
        <w:spacing w:after="0" w:line="20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17" w:lineRule="exact"/>
        <w:rPr>
          <w:sz w:val="20"/>
          <w:szCs w:val="20"/>
          <w:color w:val="auto"/>
        </w:rPr>
      </w:pPr>
    </w:p>
    <w:p>
      <w:pPr>
        <w:ind w:left="10" w:right="80"/>
        <w:spacing w:after="0" w:line="279" w:lineRule="auto"/>
        <w:rPr>
          <w:sz w:val="20"/>
          <w:szCs w:val="20"/>
          <w:color w:val="auto"/>
        </w:rPr>
      </w:pPr>
      <w:r>
        <w:rPr>
          <w:rFonts w:ascii="Arial" w:cs="Arial" w:eastAsia="Arial" w:hAnsi="Arial"/>
          <w:sz w:val="19"/>
          <w:szCs w:val="19"/>
          <w:color w:val="auto"/>
        </w:rPr>
        <w:t>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Note 1, “Significant Accounting Policies” to our consolidated financial statements.</w:t>
      </w:r>
    </w:p>
    <w:p>
      <w:pPr>
        <w:spacing w:after="0" w:line="144" w:lineRule="exact"/>
        <w:rPr>
          <w:sz w:val="20"/>
          <w:szCs w:val="20"/>
          <w:color w:val="auto"/>
        </w:rPr>
      </w:pPr>
    </w:p>
    <w:p>
      <w:pPr>
        <w:ind w:left="10" w:right="20"/>
        <w:spacing w:after="0" w:line="273" w:lineRule="auto"/>
        <w:rPr>
          <w:sz w:val="20"/>
          <w:szCs w:val="20"/>
          <w:color w:val="auto"/>
        </w:rPr>
      </w:pPr>
      <w:r>
        <w:rPr>
          <w:rFonts w:ascii="Arial" w:cs="Arial" w:eastAsia="Arial" w:hAnsi="Arial"/>
          <w:sz w:val="19"/>
          <w:szCs w:val="19"/>
          <w:color w:val="auto"/>
        </w:rPr>
        <w:t>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46" w:lineRule="exact"/>
        <w:rPr>
          <w:sz w:val="20"/>
          <w:szCs w:val="20"/>
          <w:color w:val="auto"/>
        </w:rPr>
      </w:pPr>
    </w:p>
    <w:p>
      <w:pPr>
        <w:ind w:left="10" w:right="40"/>
        <w:spacing w:after="0" w:line="259" w:lineRule="auto"/>
        <w:rPr>
          <w:sz w:val="20"/>
          <w:szCs w:val="20"/>
          <w:color w:val="auto"/>
        </w:rPr>
      </w:pPr>
      <w:r>
        <w:rPr>
          <w:rFonts w:ascii="Arial" w:cs="Arial" w:eastAsia="Arial" w:hAnsi="Arial"/>
          <w:sz w:val="20"/>
          <w:szCs w:val="20"/>
          <w:b w:val="1"/>
          <w:bCs w:val="1"/>
          <w:i w:val="1"/>
          <w:iCs w:val="1"/>
          <w:color w:val="auto"/>
        </w:rPr>
        <w:t>Revenue Recognition</w:t>
      </w:r>
      <w:r>
        <w:rPr>
          <w:rFonts w:ascii="Arial" w:cs="Arial" w:eastAsia="Arial" w:hAnsi="Arial"/>
          <w:sz w:val="20"/>
          <w:szCs w:val="20"/>
          <w:color w:val="auto"/>
        </w:rPr>
        <w:t>. Revenue recognition is deemed to be critical because it significantly influences profit metrics and,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certain instances as described below, involves complex judgments under GAAP. The majority of our sales agreements contain performance obligations satisfied at a point in time when control of promised goods or services have transferred to our customers. Revenues recognized over time are generally accounted for using an input measure to determine progress completed as of the end of the period.</w:t>
      </w:r>
    </w:p>
    <w:p>
      <w:pPr>
        <w:spacing w:after="0" w:line="162" w:lineRule="exact"/>
        <w:rPr>
          <w:sz w:val="20"/>
          <w:szCs w:val="20"/>
          <w:color w:val="auto"/>
        </w:rPr>
      </w:pPr>
    </w:p>
    <w:p>
      <w:pPr>
        <w:ind w:left="10" w:right="480"/>
        <w:spacing w:after="0" w:line="283" w:lineRule="auto"/>
        <w:rPr>
          <w:sz w:val="20"/>
          <w:szCs w:val="20"/>
          <w:color w:val="auto"/>
        </w:rPr>
      </w:pPr>
      <w:r>
        <w:rPr>
          <w:rFonts w:ascii="Arial" w:cs="Arial" w:eastAsia="Arial" w:hAnsi="Arial"/>
          <w:sz w:val="20"/>
          <w:szCs w:val="20"/>
          <w:color w:val="auto"/>
        </w:rPr>
        <w:t>Refunds, returns, warranties and other related obligations are not material to any of our business units and we do not incur material incremental costs to secure customer contracts.</w:t>
      </w:r>
    </w:p>
    <w:p>
      <w:pPr>
        <w:spacing w:after="0" w:line="178" w:lineRule="exact"/>
        <w:rPr>
          <w:sz w:val="20"/>
          <w:szCs w:val="20"/>
          <w:color w:val="auto"/>
        </w:rPr>
      </w:pPr>
    </w:p>
    <w:p>
      <w:pPr>
        <w:ind w:left="10" w:right="280"/>
        <w:spacing w:after="0" w:line="294" w:lineRule="auto"/>
        <w:rPr>
          <w:sz w:val="20"/>
          <w:szCs w:val="20"/>
          <w:color w:val="auto"/>
        </w:rPr>
      </w:pPr>
      <w:r>
        <w:rPr>
          <w:rFonts w:ascii="Arial" w:cs="Arial" w:eastAsia="Arial" w:hAnsi="Arial"/>
          <w:sz w:val="18"/>
          <w:szCs w:val="18"/>
          <w:color w:val="auto"/>
        </w:rPr>
        <w:t>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customers’ purchase orders. Given the relatively short turnaround times, performance obligations are generally satisfied at a point-in-time upon the completion of sterilization or irradiation processing and the approval of our quality assurance process, at which time the service is complete.</w:t>
      </w:r>
    </w:p>
    <w:p>
      <w:pPr>
        <w:spacing w:after="0" w:line="132" w:lineRule="exact"/>
        <w:rPr>
          <w:sz w:val="20"/>
          <w:szCs w:val="20"/>
          <w:color w:val="auto"/>
        </w:rPr>
      </w:pPr>
    </w:p>
    <w:p>
      <w:pPr>
        <w:ind w:left="10" w:right="100"/>
        <w:spacing w:after="0" w:line="258" w:lineRule="auto"/>
        <w:rPr>
          <w:sz w:val="20"/>
          <w:szCs w:val="20"/>
          <w:color w:val="auto"/>
        </w:rPr>
      </w:pPr>
      <w:r>
        <w:rPr>
          <w:rFonts w:ascii="Arial" w:cs="Arial" w:eastAsia="Arial" w:hAnsi="Arial"/>
          <w:sz w:val="20"/>
          <w:szCs w:val="20"/>
          <w:color w:val="auto"/>
        </w:rPr>
        <w:t>The Nordion segment is a provider of Co-60 and gamma irradiation systems, which are key components to the gamma sterilization process. Revenue from the sale of Co-60 radiation sources is recognized at a point-in-time upon satisfaction of our performance obligations for delivery/installation and disposal of existing sources. Revenue from the sale of gamma irradiation systems in our Nordion segment is recognized over time using an input measure of costs incurred and is immaterial to the overall business.</w:t>
      </w:r>
    </w:p>
    <w:p>
      <w:pPr>
        <w:spacing w:after="0" w:line="164" w:lineRule="exact"/>
        <w:rPr>
          <w:sz w:val="20"/>
          <w:szCs w:val="20"/>
          <w:color w:val="auto"/>
        </w:rPr>
      </w:pPr>
    </w:p>
    <w:p>
      <w:pPr>
        <w:ind w:left="10" w:right="100"/>
        <w:spacing w:after="0" w:line="290" w:lineRule="auto"/>
        <w:rPr>
          <w:sz w:val="20"/>
          <w:szCs w:val="20"/>
          <w:color w:val="auto"/>
        </w:rPr>
      </w:pPr>
      <w:r>
        <w:rPr>
          <w:rFonts w:ascii="Arial" w:cs="Arial" w:eastAsia="Arial" w:hAnsi="Arial"/>
          <w:sz w:val="18"/>
          <w:szCs w:val="18"/>
          <w:color w:val="auto"/>
        </w:rPr>
        <w:t>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generally using an input measure of time incurred to determine progress completed at the end of the period. Revenue recognized over time in excess of the</w:t>
      </w:r>
    </w:p>
    <w:p>
      <w:pPr>
        <w:sectPr>
          <w:pgSz w:w="11880" w:h="15480" w:orient="portrait"/>
          <w:cols w:equalWidth="0" w:num="1">
            <w:col w:w="10250"/>
          </w:cols>
          <w:pgMar w:left="810" w:top="412" w:right="82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10250"/>
          </w:cols>
          <w:pgMar w:left="810" w:top="412" w:right="820" w:bottom="0" w:gutter="0" w:footer="0" w:header="0"/>
          <w:type w:val="continuous"/>
        </w:sectPr>
      </w:pPr>
    </w:p>
    <w:bookmarkStart w:id="66" w:name="page67"/>
    <w:bookmarkEnd w:id="66"/>
    <w:p>
      <w:pPr>
        <w:ind w:right="40"/>
        <w:spacing w:after="0" w:line="261" w:lineRule="auto"/>
        <w:rPr>
          <w:sz w:val="20"/>
          <w:szCs w:val="20"/>
          <w:color w:val="auto"/>
        </w:rPr>
      </w:pPr>
      <w:r>
        <w:rPr>
          <w:rFonts w:ascii="Arial" w:cs="Arial" w:eastAsia="Arial" w:hAnsi="Arial"/>
          <w:sz w:val="20"/>
          <w:szCs w:val="20"/>
          <w:color w:val="auto"/>
        </w:rPr>
        <w:t>amount billed to the customer is recorded as a customer contract asset. When we receive consideration from a customer prior to transferring goods or services under the terms of a sales contract, we record deferred revenue, which represents a contract liability. We utilize our customer relationship management system to assess time incurred and the extent of project completion at the end of the period.</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We do not capitalize sales commissions because substantially all of our sales commission programs have an amortization period of one year or less. Furthermore, costs to fulfill a contract are not material.</w:t>
      </w:r>
    </w:p>
    <w:p>
      <w:pPr>
        <w:spacing w:after="0" w:line="138"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color w:val="auto"/>
        </w:rPr>
        <w:t>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32" w:lineRule="exact"/>
        <w:rPr>
          <w:sz w:val="20"/>
          <w:szCs w:val="20"/>
          <w:color w:val="auto"/>
        </w:rPr>
      </w:pPr>
    </w:p>
    <w:p>
      <w:pPr>
        <w:jc w:val="both"/>
        <w:ind w:right="40"/>
        <w:spacing w:after="0" w:line="266" w:lineRule="auto"/>
        <w:rPr>
          <w:sz w:val="20"/>
          <w:szCs w:val="20"/>
          <w:color w:val="auto"/>
        </w:rPr>
      </w:pPr>
      <w:r>
        <w:rPr>
          <w:rFonts w:ascii="Arial" w:cs="Arial" w:eastAsia="Arial" w:hAnsi="Arial"/>
          <w:sz w:val="20"/>
          <w:szCs w:val="20"/>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52" w:lineRule="exact"/>
        <w:rPr>
          <w:sz w:val="20"/>
          <w:szCs w:val="20"/>
          <w:color w:val="auto"/>
        </w:rPr>
      </w:pPr>
    </w:p>
    <w:p>
      <w:pPr>
        <w:spacing w:after="0" w:line="270" w:lineRule="auto"/>
        <w:rPr>
          <w:sz w:val="20"/>
          <w:szCs w:val="20"/>
          <w:color w:val="auto"/>
        </w:rPr>
      </w:pPr>
      <w:r>
        <w:rPr>
          <w:rFonts w:ascii="Arial" w:cs="Arial" w:eastAsia="Arial" w:hAnsi="Arial"/>
          <w:sz w:val="19"/>
          <w:szCs w:val="19"/>
          <w:b w:val="1"/>
          <w:bCs w:val="1"/>
          <w:i w:val="1"/>
          <w:iCs w:val="1"/>
          <w:color w:val="auto"/>
        </w:rPr>
        <w:t>Goodwill</w:t>
      </w:r>
      <w:r>
        <w:rPr>
          <w:rFonts w:ascii="Arial" w:cs="Arial" w:eastAsia="Arial" w:hAnsi="Arial"/>
          <w:sz w:val="19"/>
          <w:szCs w:val="19"/>
          <w:color w:val="auto"/>
        </w:rPr>
        <w:t>. We consider the impairment analysis of goodwill to be critical because of its quantitative significance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and our segments. The impairment analysis also requires the use of forward-looking assumptions and estimates. Assets and liabilities of a business acquired are accounted for at their estimated fair values as of the acquisition date. Any excess of 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We do not amortize goodwill, but we evaluate it annually for impairment. Therefore, the allocation of the purchase price to goodwill has a significant impact on future operating results.</w:t>
      </w:r>
    </w:p>
    <w:p>
      <w:pPr>
        <w:spacing w:after="0" w:line="157" w:lineRule="exact"/>
        <w:rPr>
          <w:sz w:val="20"/>
          <w:szCs w:val="20"/>
          <w:color w:val="auto"/>
        </w:rPr>
      </w:pPr>
    </w:p>
    <w:p>
      <w:pPr>
        <w:ind w:right="200"/>
        <w:spacing w:after="0" w:line="299" w:lineRule="auto"/>
        <w:rPr>
          <w:sz w:val="20"/>
          <w:szCs w:val="20"/>
          <w:color w:val="auto"/>
        </w:rPr>
      </w:pPr>
      <w:r>
        <w:rPr>
          <w:rFonts w:ascii="Arial" w:cs="Arial" w:eastAsia="Arial" w:hAnsi="Arial"/>
          <w:sz w:val="18"/>
          <w:szCs w:val="18"/>
          <w:color w:val="auto"/>
        </w:rPr>
        <w:t>Goodwill is tested for impairment annually as of October 1. If circumstances change during interim periods between annual tests that indicate that the carrying amount of goodwill may not be recoverable, the Company tests the asset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2025, goodwill totaled $1,103.2 million, or 33.8% of our total assets.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Goodwill is assigned to our segments at December 31, 2025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180" w:type="dxa"/>
            <w:vAlign w:val="bottom"/>
          </w:tcPr>
          <w:p>
            <w:pPr>
              <w:spacing w:after="0"/>
              <w:rPr>
                <w:sz w:val="16"/>
                <w:szCs w:val="16"/>
                <w:color w:val="auto"/>
              </w:rPr>
            </w:pPr>
          </w:p>
        </w:tc>
        <w:tc>
          <w:tcPr>
            <w:tcW w:w="1020" w:type="dxa"/>
            <w:vAlign w:val="bottom"/>
          </w:tcPr>
          <w:p>
            <w:pPr>
              <w:jc w:val="right"/>
              <w:ind w:right="150"/>
              <w:spacing w:after="0"/>
              <w:rPr>
                <w:sz w:val="20"/>
                <w:szCs w:val="20"/>
                <w:color w:val="auto"/>
              </w:rPr>
            </w:pPr>
            <w:r>
              <w:rPr>
                <w:rFonts w:ascii="Arial" w:cs="Arial" w:eastAsia="Arial" w:hAnsi="Arial"/>
                <w:sz w:val="16"/>
                <w:szCs w:val="16"/>
                <w:b w:val="1"/>
                <w:bCs w:val="1"/>
                <w:color w:val="auto"/>
                <w:w w:val="88"/>
              </w:rPr>
              <w:t>Sterigenics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30"/>
              <w:spacing w:after="0"/>
              <w:rPr>
                <w:sz w:val="20"/>
                <w:szCs w:val="20"/>
                <w:color w:val="auto"/>
              </w:rPr>
            </w:pPr>
            <w:r>
              <w:rPr>
                <w:rFonts w:ascii="Arial" w:cs="Arial" w:eastAsia="Arial" w:hAnsi="Arial"/>
                <w:sz w:val="16"/>
                <w:szCs w:val="16"/>
                <w:b w:val="1"/>
                <w:bCs w:val="1"/>
                <w:color w:val="auto"/>
              </w:rPr>
              <w:t>Nordion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90"/>
              <w:spacing w:after="0"/>
              <w:rPr>
                <w:sz w:val="20"/>
                <w:szCs w:val="20"/>
                <w:color w:val="auto"/>
              </w:rPr>
            </w:pPr>
            <w:r>
              <w:rPr>
                <w:rFonts w:ascii="Arial" w:cs="Arial" w:eastAsia="Arial" w:hAnsi="Arial"/>
                <w:sz w:val="16"/>
                <w:szCs w:val="16"/>
                <w:b w:val="1"/>
                <w:bCs w:val="1"/>
                <w:color w:val="auto"/>
                <w:w w:val="88"/>
              </w:rPr>
              <w:t>Nelson Labs</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332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EF5"/>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0"/>
        </w:trPr>
        <w:tc>
          <w:tcPr>
            <w:tcW w:w="40" w:type="dxa"/>
            <w:vAlign w:val="bottom"/>
            <w:tcBorders>
              <w:bottom w:val="single" w:sz="8" w:color="D2EEF5"/>
            </w:tcBorders>
            <w:shd w:val="clear" w:color="auto" w:fill="D2EEF5"/>
          </w:tcPr>
          <w:p>
            <w:pPr>
              <w:spacing w:after="0"/>
              <w:rPr>
                <w:sz w:val="23"/>
                <w:szCs w:val="23"/>
                <w:color w:val="auto"/>
              </w:rPr>
            </w:pPr>
          </w:p>
        </w:tc>
        <w:tc>
          <w:tcPr>
            <w:tcW w:w="506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20"/>
                <w:szCs w:val="20"/>
                <w:b w:val="1"/>
                <w:bCs w:val="1"/>
                <w:color w:val="auto"/>
              </w:rPr>
              <w:t>Goodwill at December 31, 2025</w:t>
            </w: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shd w:val="clear" w:color="auto" w:fill="D2EEF5"/>
          </w:tcPr>
          <w:p>
            <w:pPr>
              <w:jc w:val="right"/>
              <w:ind w:right="10"/>
              <w:spacing w:after="0"/>
              <w:rPr>
                <w:sz w:val="20"/>
                <w:szCs w:val="20"/>
                <w:color w:val="auto"/>
              </w:rPr>
            </w:pPr>
            <w:r>
              <w:rPr>
                <w:rFonts w:ascii="Arial" w:cs="Arial" w:eastAsia="Arial" w:hAnsi="Arial"/>
                <w:sz w:val="20"/>
                <w:szCs w:val="20"/>
                <w:b w:val="1"/>
                <w:bCs w:val="1"/>
                <w:color w:val="auto"/>
              </w:rPr>
              <w:t>658,919</w:t>
            </w:r>
          </w:p>
        </w:tc>
        <w:tc>
          <w:tcPr>
            <w:tcW w:w="10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267,771</w:t>
            </w:r>
          </w:p>
        </w:tc>
        <w:tc>
          <w:tcPr>
            <w:tcW w:w="10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176,542</w:t>
            </w:r>
          </w:p>
        </w:tc>
        <w:tc>
          <w:tcPr>
            <w:tcW w:w="100" w:type="dxa"/>
            <w:vAlign w:val="bottom"/>
            <w:tcBorders>
              <w:bottom w:val="single" w:sz="8" w:color="D2EEF5"/>
            </w:tcBorders>
            <w:shd w:val="clear" w:color="auto" w:fill="D2EEF5"/>
          </w:tcPr>
          <w:p>
            <w:pPr>
              <w:spacing w:after="0"/>
              <w:rPr>
                <w:sz w:val="23"/>
                <w:szCs w:val="23"/>
                <w:color w:val="auto"/>
              </w:rPr>
            </w:pPr>
          </w:p>
        </w:tc>
        <w:tc>
          <w:tcPr>
            <w:tcW w:w="12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w w:val="98"/>
              </w:rPr>
              <w:t>$  1,103,232</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tcBorders>
          </w:tcPr>
          <w:p>
            <w:pPr>
              <w:spacing w:after="0" w:line="20" w:lineRule="exact"/>
              <w:rPr>
                <w:sz w:val="1"/>
                <w:szCs w:val="1"/>
                <w:color w:val="auto"/>
              </w:rPr>
            </w:pPr>
          </w:p>
        </w:tc>
        <w:tc>
          <w:tcPr>
            <w:tcW w:w="3320" w:type="dxa"/>
            <w:vAlign w:val="bottom"/>
            <w:tcBorders>
              <w:top w:val="single" w:sz="8" w:color="D2EEF5"/>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1020" w:type="dxa"/>
            <w:vAlign w:val="bottom"/>
            <w:tcBorders>
              <w:top w:val="single" w:sz="8" w:color="D2EEF5"/>
              <w:bottom w:val="single" w:sz="8" w:color="auto"/>
            </w:tcBorders>
          </w:tcPr>
          <w:p>
            <w:pPr>
              <w:spacing w:after="0" w:line="20" w:lineRule="exact"/>
              <w:rPr>
                <w:sz w:val="1"/>
                <w:szCs w:val="1"/>
                <w:color w:val="auto"/>
              </w:rPr>
            </w:pPr>
          </w:p>
        </w:tc>
        <w:tc>
          <w:tcPr>
            <w:tcW w:w="100" w:type="dxa"/>
            <w:vAlign w:val="bottom"/>
            <w:tcBorders>
              <w:top w:val="single" w:sz="8" w:color="D2EEF5"/>
            </w:tcBorders>
          </w:tcPr>
          <w:p>
            <w:pPr>
              <w:spacing w:after="0" w:line="20" w:lineRule="exact"/>
              <w:rPr>
                <w:sz w:val="1"/>
                <w:szCs w:val="1"/>
                <w:color w:val="auto"/>
              </w:rPr>
            </w:pPr>
          </w:p>
        </w:tc>
        <w:tc>
          <w:tcPr>
            <w:tcW w:w="220" w:type="dxa"/>
            <w:vAlign w:val="bottom"/>
            <w:tcBorders>
              <w:top w:val="single" w:sz="8" w:color="D2EEF5"/>
              <w:bottom w:val="single" w:sz="8" w:color="auto"/>
            </w:tcBorders>
          </w:tcPr>
          <w:p>
            <w:pPr>
              <w:spacing w:after="0" w:line="20" w:lineRule="exact"/>
              <w:rPr>
                <w:sz w:val="1"/>
                <w:szCs w:val="1"/>
                <w:color w:val="auto"/>
              </w:rPr>
            </w:pPr>
          </w:p>
        </w:tc>
        <w:tc>
          <w:tcPr>
            <w:tcW w:w="980" w:type="dxa"/>
            <w:vAlign w:val="bottom"/>
            <w:tcBorders>
              <w:top w:val="single" w:sz="8" w:color="D2EEF5"/>
              <w:bottom w:val="single" w:sz="8" w:color="auto"/>
            </w:tcBorders>
          </w:tcPr>
          <w:p>
            <w:pPr>
              <w:spacing w:after="0" w:line="20" w:lineRule="exact"/>
              <w:rPr>
                <w:sz w:val="1"/>
                <w:szCs w:val="1"/>
                <w:color w:val="auto"/>
              </w:rPr>
            </w:pPr>
          </w:p>
        </w:tc>
        <w:tc>
          <w:tcPr>
            <w:tcW w:w="10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1040" w:type="dxa"/>
            <w:vAlign w:val="bottom"/>
            <w:tcBorders>
              <w:top w:val="single" w:sz="8" w:color="D2EEF5"/>
              <w:bottom w:val="single" w:sz="8" w:color="auto"/>
            </w:tcBorders>
          </w:tcPr>
          <w:p>
            <w:pPr>
              <w:spacing w:after="0" w:line="20" w:lineRule="exact"/>
              <w:rPr>
                <w:sz w:val="1"/>
                <w:szCs w:val="1"/>
                <w:color w:val="auto"/>
              </w:rPr>
            </w:pPr>
          </w:p>
        </w:tc>
        <w:tc>
          <w:tcPr>
            <w:tcW w:w="100" w:type="dxa"/>
            <w:vAlign w:val="bottom"/>
            <w:tcBorders>
              <w:top w:val="single" w:sz="8" w:color="D2EEF5"/>
            </w:tcBorders>
          </w:tcPr>
          <w:p>
            <w:pPr>
              <w:spacing w:after="0" w:line="20" w:lineRule="exact"/>
              <w:rPr>
                <w:sz w:val="1"/>
                <w:szCs w:val="1"/>
                <w:color w:val="auto"/>
              </w:rPr>
            </w:pPr>
          </w:p>
        </w:tc>
        <w:tc>
          <w:tcPr>
            <w:tcW w:w="1200" w:type="dxa"/>
            <w:vAlign w:val="bottom"/>
            <w:tcBorders>
              <w:top w:val="single" w:sz="8" w:color="D2EE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-43815</wp:posOffset>
            </wp:positionV>
            <wp:extent cx="327342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3273425" cy="50800"/>
                    </a:xfrm>
                    <a:prstGeom prst="rect">
                      <a:avLst/>
                    </a:prstGeom>
                    <a:noFill/>
                  </pic:spPr>
                </pic:pic>
              </a:graphicData>
            </a:graphic>
          </wp:anchor>
        </w:drawing>
      </w:r>
    </w:p>
    <w:p>
      <w:pPr>
        <w:spacing w:after="0" w:line="187"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We performed a quantitative assessment of all reporting units (Sterigenics, Nordion and Nelson Labs) as of October 1, 2025. The fair value of each reporting unit was calculated using a discounted cash flow analysis which was dependent on subjective market participant assumptions determined by management. Assumptions used in the analyses included discount rates, revenue growth rates and projected operating cash flows. Estimates of future cash flows are based upon relevant data at a point-in-time, are subject to change, and could vary from actual results. Cash flows are based on recent historical results and are consistent with the Company’s near-term financial forecasts and long-term strategic plans. The estimated fair value of Sterigenics, Nordion and Nelson Labs each exceeded its carrying amount (including goodwill) by an adequate margin to support a positive assertion that goodwill is not impaired as of October 1, 2025. There have been no other significant events or circumstances that occurred since the annual assessment date of October 1 that would change the conclusions reached above. We provide additional information about our goodwill in Note 7, “Goodwill and Other Intangible Assets” to our consolidated financial statements.</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are deemed critical due to their quantitative significance and, in certain instances as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involve complex judgments under GAAP. We use the liability method of accounting for income taxes whereby we recognize deferred tax assets and liabilities for the future tax consequences of temporary differences between the tax bases of assets and liabilities and their reported amounts in the consolidated financial statements. Measurements of deferred taxes requires the use of judgment with respect to the realization of tax basis. We periodically review our deferred tax assets for recoverability and establish a valuation allowance based on historical taxable income, projected future taxable income, expected timing of reversals of existing temporary timing differences and the implementation of tax planning strategies. Deferred tax assets will be reduced by a valuation allowance if, based on management’s estimate, it is more likely than not that a portion of</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10240"/>
          </w:cols>
          <w:pgMar w:left="820" w:top="412" w:right="820" w:bottom="0" w:gutter="0" w:footer="0" w:header="0"/>
          <w:type w:val="continuous"/>
        </w:sectPr>
      </w:pPr>
    </w:p>
    <w:bookmarkStart w:id="67" w:name="page68"/>
    <w:bookmarkEnd w:id="67"/>
    <w:p>
      <w:pPr>
        <w:ind w:right="60"/>
        <w:spacing w:after="0" w:line="286" w:lineRule="auto"/>
        <w:rPr>
          <w:sz w:val="20"/>
          <w:szCs w:val="20"/>
          <w:color w:val="auto"/>
        </w:rPr>
      </w:pPr>
      <w:r>
        <w:rPr>
          <w:rFonts w:ascii="Arial" w:cs="Arial" w:eastAsia="Arial" w:hAnsi="Arial"/>
          <w:sz w:val="18"/>
          <w:szCs w:val="18"/>
          <w:color w:val="auto"/>
        </w:rPr>
        <w:t>the deferred tax assets will not be realized in a future period. The estimates used in the recognition of deferred tax assets are subject to revision in future periods based on new facts and circumstances. At December 31, 2025 and 2024, we maintained a valuation allowance of $172.3 million and $160.6 million, respectively, against our deferred tax assets, primarily attributable to the excess interest expense on our long-term debt in the United States, as well as state and foreign net operating loss carryforwards.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 Changes in our judgment related to the measurement of deferred tax assets and liabilities could materially impact our results of operations.</w:t>
      </w:r>
    </w:p>
    <w:p>
      <w:pPr>
        <w:spacing w:after="0" w:line="140"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We determine whether it is more likely than not that a tax position will be sustained upon examination, including resolution of related appeals or litigation processes, based on the technical merits of the position. In evaluating whether a tax position meets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 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Changes in our judgment related to the assessment of uncertain tax positions could materially impact our results of operations.</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We are subject to taxation from federal, state,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Note 10, “Income Taxes” to our consolidated financial statements.</w:t>
      </w:r>
    </w:p>
    <w:p>
      <w:pPr>
        <w:spacing w:after="0" w:line="161" w:lineRule="exact"/>
        <w:rPr>
          <w:sz w:val="20"/>
          <w:szCs w:val="20"/>
          <w:color w:val="auto"/>
        </w:rPr>
      </w:pPr>
    </w:p>
    <w:p>
      <w:pPr>
        <w:ind w:right="200"/>
        <w:spacing w:after="0" w:line="286" w:lineRule="auto"/>
        <w:rPr>
          <w:sz w:val="20"/>
          <w:szCs w:val="20"/>
          <w:color w:val="auto"/>
        </w:rPr>
      </w:pPr>
      <w:r>
        <w:rPr>
          <w:rFonts w:ascii="Arial" w:cs="Arial" w:eastAsia="Arial" w:hAnsi="Arial"/>
          <w:sz w:val="18"/>
          <w:szCs w:val="18"/>
          <w:b w:val="1"/>
          <w:bCs w:val="1"/>
          <w:i w:val="1"/>
          <w:iCs w:val="1"/>
          <w:color w:val="auto"/>
        </w:rPr>
        <w:t>Commitments and Contingencies</w:t>
      </w:r>
      <w:r>
        <w:rPr>
          <w:rFonts w:ascii="Arial" w:cs="Arial" w:eastAsia="Arial" w:hAnsi="Arial"/>
          <w:sz w:val="18"/>
          <w:szCs w:val="18"/>
          <w:color w:val="auto"/>
        </w:rPr>
        <w:t>. Commitments and Contingencies are deemed critical due to their potential for quantitative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significance and the requirement for complex judgments and estimate considerations under GAAP. 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mass tort),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w:t>
      </w:r>
    </w:p>
    <w:p>
      <w:pPr>
        <w:spacing w:after="0" w:line="143"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We record a liability for such contingencies to the extent we conclude that their occurrence is both probable and estimable. If a potentially material loss contingency is not probable, but is reasonably possible, or is probable but cannot be estimated, then the nature of the contingent liability is disclosed within our consolidated financial statements, together with an estimate of the range of possible loss if the range is determinable and material. We consider many factors in making these assessments, including the professional judgment of experienced members of management and our legal counsel. For legal proceedings and claims described within our consolidated financial statements, we have made estimates as to the likelihood of unfavorable outcomes and the amounts of such potential losses, if a range is determinable. While it is not possible to determine the ultimate disposition of each of these matters, the ultimate resolution of pending regulatory and legal matters in future periods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 We record gain contingencies when realized and expected recoveries under applicable insurance</w:t>
      </w:r>
    </w:p>
    <w:p>
      <w:pPr>
        <w:spacing w:after="0" w:line="2" w:lineRule="exact"/>
        <w:rPr>
          <w:sz w:val="20"/>
          <w:szCs w:val="20"/>
          <w:color w:val="auto"/>
        </w:rPr>
      </w:pPr>
    </w:p>
    <w:p>
      <w:pPr>
        <w:ind w:right="80"/>
        <w:spacing w:after="0" w:line="304" w:lineRule="auto"/>
        <w:rPr>
          <w:sz w:val="20"/>
          <w:szCs w:val="20"/>
          <w:color w:val="auto"/>
        </w:rPr>
      </w:pPr>
      <w:r>
        <w:rPr>
          <w:rFonts w:ascii="Arial" w:cs="Arial" w:eastAsia="Arial" w:hAnsi="Arial"/>
          <w:sz w:val="20"/>
          <w:szCs w:val="20"/>
          <w:color w:val="auto"/>
        </w:rPr>
        <w:t>contracts when we are assured of recovery. Refer to Note 19, “Commitments and Contingencies,” to our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On April 3, 2025, the Company reached an agreement to settle approximately 97 pending and threatened EO claims in Illinois.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Under the terms of the agreement, the Company paid $30.9 million to settle the claims.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On July 23, 2025 the Company reached an agreement to settle approximately 129 pending and threatened EO claims in Illinois.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Under the terms of the agreement, the Company paid $34.0 million to settle the claims.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10240"/>
          </w:cols>
          <w:pgMar w:left="820" w:top="412" w:right="82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NEW ACCOUNTING PRONOUNCEMENTS</w:t>
      </w:r>
    </w:p>
    <w:p>
      <w:pPr>
        <w:spacing w:after="0" w:line="217" w:lineRule="exact"/>
        <w:rPr>
          <w:sz w:val="20"/>
          <w:szCs w:val="20"/>
          <w:color w:val="auto"/>
        </w:rPr>
      </w:pPr>
    </w:p>
    <w:p>
      <w:pPr>
        <w:ind w:right="100"/>
        <w:spacing w:after="0" w:line="283" w:lineRule="auto"/>
        <w:rPr>
          <w:sz w:val="20"/>
          <w:szCs w:val="20"/>
          <w:color w:val="auto"/>
        </w:rPr>
      </w:pPr>
      <w:r>
        <w:rPr>
          <w:rFonts w:ascii="Arial" w:cs="Arial" w:eastAsia="Arial" w:hAnsi="Arial"/>
          <w:sz w:val="20"/>
          <w:szCs w:val="20"/>
          <w:color w:val="auto"/>
        </w:rPr>
        <w:t>For a description of recent accounting pronouncements applicable to our business, see Note 2, “Recent Accounting Standards”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17" w:lineRule="exact"/>
        <w:rPr>
          <w:sz w:val="20"/>
          <w:szCs w:val="20"/>
          <w:color w:val="auto"/>
        </w:rPr>
      </w:pPr>
    </w:p>
    <w:p>
      <w:pPr>
        <w:ind w:right="300"/>
        <w:spacing w:after="0" w:line="283" w:lineRule="auto"/>
        <w:rPr>
          <w:sz w:val="20"/>
          <w:szCs w:val="20"/>
          <w:color w:val="auto"/>
        </w:rPr>
      </w:pPr>
      <w:r>
        <w:rPr>
          <w:rFonts w:ascii="Arial" w:cs="Arial" w:eastAsia="Arial" w:hAnsi="Arial"/>
          <w:sz w:val="20"/>
          <w:szCs w:val="20"/>
          <w:color w:val="auto"/>
        </w:rPr>
        <w:t>We are exposed to market risks in the ordinary course of business, primarily changes in commodity prices, interest rates and foreign currency exchange rates and regulatory risk.</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Commodity Price Risk</w:t>
      </w:r>
    </w:p>
    <w:p>
      <w:pPr>
        <w:spacing w:after="0" w:line="218" w:lineRule="exact"/>
        <w:rPr>
          <w:sz w:val="20"/>
          <w:szCs w:val="20"/>
          <w:color w:val="auto"/>
        </w:rPr>
      </w:pPr>
    </w:p>
    <w:p>
      <w:pPr>
        <w:ind w:right="80"/>
        <w:spacing w:after="0" w:line="266" w:lineRule="auto"/>
        <w:rPr>
          <w:sz w:val="20"/>
          <w:szCs w:val="20"/>
          <w:color w:val="auto"/>
        </w:rPr>
      </w:pPr>
      <w:r>
        <w:rPr>
          <w:rFonts w:ascii="Arial" w:cs="Arial" w:eastAsia="Arial" w:hAnsi="Arial"/>
          <w:sz w:val="20"/>
          <w:szCs w:val="20"/>
          <w:color w:val="auto"/>
        </w:rPr>
        <w:t>We purchase our supply of EO gas from various suppliers around the world, but in the United States there is a sole supplier for EO gas used for applications relevant to our business. We are exposed to market risk based on fluctuations in the price of EO gas.</w:t>
      </w:r>
    </w:p>
    <w:p>
      <w:pPr>
        <w:spacing w:after="0" w:line="155"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We actively seek to manage the risk of fluctuating prices through long-term supply and service contracts. Most of our Sterigenics customer contracts contain provisions that permit us to pass through all or a portion of our supply price increases to our customers, though some of our contracts do not contain these provisions. Even for contracts that do contain these provisions, there is often at least a brief lag between when we incur increased costs for supplies and when we can pass through these costs to our customers. In addition, even when we are contractually permitted to pass on price increases, we may decide not to do so to preserve our sales volumes or for other reasons.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218" w:lineRule="exact"/>
        <w:rPr>
          <w:sz w:val="20"/>
          <w:szCs w:val="20"/>
          <w:color w:val="auto"/>
        </w:rPr>
      </w:pPr>
    </w:p>
    <w:p>
      <w:pPr>
        <w:ind w:right="280"/>
        <w:spacing w:after="0" w:line="266" w:lineRule="auto"/>
        <w:rPr>
          <w:sz w:val="20"/>
          <w:szCs w:val="20"/>
          <w:color w:val="auto"/>
        </w:rPr>
      </w:pPr>
      <w:r>
        <w:rPr>
          <w:rFonts w:ascii="Arial" w:cs="Arial" w:eastAsia="Arial" w:hAnsi="Arial"/>
          <w:sz w:val="20"/>
          <w:szCs w:val="20"/>
          <w:color w:val="auto"/>
        </w:rPr>
        <w:t>We are subject to interest rate risk on borrowings that bear interest at floating rates. From time to time, the Company utilizes interest rate derivatives to reduce the variability of cash flows in the interest payments associated with our variable rate borrowings.</w:t>
      </w:r>
    </w:p>
    <w:p>
      <w:pPr>
        <w:spacing w:after="0" w:line="155" w:lineRule="exact"/>
        <w:rPr>
          <w:sz w:val="20"/>
          <w:szCs w:val="20"/>
          <w:color w:val="auto"/>
        </w:rPr>
      </w:pPr>
    </w:p>
    <w:p>
      <w:pPr>
        <w:ind w:right="200"/>
        <w:spacing w:after="0" w:line="258" w:lineRule="auto"/>
        <w:rPr>
          <w:sz w:val="20"/>
          <w:szCs w:val="20"/>
          <w:color w:val="auto"/>
        </w:rPr>
      </w:pPr>
      <w:r>
        <w:rPr>
          <w:rFonts w:ascii="Arial" w:cs="Arial" w:eastAsia="Arial" w:hAnsi="Arial"/>
          <w:sz w:val="20"/>
          <w:szCs w:val="20"/>
          <w:color w:val="auto"/>
        </w:rPr>
        <w:t>In March 2025, we entered into an interest rate swap agreement with a notional amount of $400.0 million. The interest rate swap became effective on August 31, 2025 and expires on August 31, 2027. We have designated the interest swap as a cash flow hedge designed to hedge the variability of cash flows attributable to changes in the SOFR benchmark interest rate of our Term Loans (or any successor thereto). We receive interest at the one-month Term SOFR rate and pay a fixed interest rate under the terms of the swap agreement.</w:t>
      </w:r>
    </w:p>
    <w:p>
      <w:pPr>
        <w:spacing w:after="0" w:line="164"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In March 2023, we entered into an interest rate swap agreement with a notional amount of $400.0 million. The interest rate swap’s effective date began on August 23, 2023 and expired on August 23, 2025. We designated the interest rate swap as a cash flow hedge designed to hedge the variability of cash flows attributable to changes in the SOFR benchmark interest rate of our Term Loans. We receive interest at the one-month Term SOFR rate and pay a fixed interest rate under the terms of the swap agreement.</w:t>
      </w:r>
    </w:p>
    <w:p>
      <w:pPr>
        <w:spacing w:after="0" w:line="164"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Based on our indebtedness outstanding as of December 31, 2025, the interest rate under our Term Loans that was in effect on December 31, 2025, and after applying the effects of interest rate caps and the swap referenced above, a 1.0% increase in the interest rate under our outstanding debt obligations as of December 31, 2025, would increase interest expense by approximately $10.2 million per year.</w:t>
      </w:r>
    </w:p>
    <w:p>
      <w:pPr>
        <w:spacing w:after="0" w:line="160" w:lineRule="exact"/>
        <w:rPr>
          <w:sz w:val="20"/>
          <w:szCs w:val="20"/>
          <w:color w:val="auto"/>
        </w:rPr>
      </w:pPr>
    </w:p>
    <w:p>
      <w:pPr>
        <w:ind w:right="100"/>
        <w:spacing w:after="0" w:line="283" w:lineRule="auto"/>
        <w:rPr>
          <w:sz w:val="20"/>
          <w:szCs w:val="20"/>
          <w:color w:val="auto"/>
        </w:rPr>
      </w:pPr>
      <w:r>
        <w:rPr>
          <w:rFonts w:ascii="Arial" w:cs="Arial" w:eastAsia="Arial" w:hAnsi="Arial"/>
          <w:sz w:val="20"/>
          <w:szCs w:val="20"/>
          <w:color w:val="auto"/>
        </w:rPr>
        <w:t>See Note 20, “Financial Instruments and Financial Risk” to our consolidated financial statements for a summary of the activity of the interest rate caps for the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Exchange Rate Risk</w:t>
      </w:r>
    </w:p>
    <w:p>
      <w:pPr>
        <w:spacing w:after="0" w:line="218"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assets, liabilities, revenues, expenses and other figures presented in our consolidated financial statements, even if their value has not changed in their local currencies.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w:t>
      </w:r>
    </w:p>
    <w:p>
      <w:pPr>
        <w:sectPr>
          <w:pgSz w:w="11880" w:h="15480" w:orient="portrait"/>
          <w:cols w:equalWidth="0" w:num="1">
            <w:col w:w="10220"/>
          </w:cols>
          <w:pgMar w:left="820" w:top="405" w:right="84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10220"/>
          </w:cols>
          <w:pgMar w:left="820" w:top="405" w:right="840" w:bottom="0" w:gutter="0" w:footer="0" w:header="0"/>
          <w:type w:val="continuous"/>
        </w:sectPr>
      </w:pPr>
    </w:p>
    <w:bookmarkStart w:id="69" w:name="page70"/>
    <w:bookmarkEnd w:id="69"/>
    <w:p>
      <w:pPr>
        <w:ind w:right="100"/>
        <w:spacing w:after="0" w:line="299" w:lineRule="auto"/>
        <w:rPr>
          <w:sz w:val="20"/>
          <w:szCs w:val="20"/>
          <w:color w:val="auto"/>
        </w:rPr>
      </w:pPr>
      <w:r>
        <w:rPr>
          <w:rFonts w:ascii="Arial" w:cs="Arial" w:eastAsia="Arial" w:hAnsi="Arial"/>
          <w:sz w:val="18"/>
          <w:szCs w:val="18"/>
          <w:color w:val="auto"/>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loss (gain).</w:t>
      </w:r>
    </w:p>
    <w:p>
      <w:pPr>
        <w:spacing w:after="0" w:line="129" w:lineRule="exact"/>
        <w:rPr>
          <w:sz w:val="20"/>
          <w:szCs w:val="20"/>
          <w:color w:val="auto"/>
        </w:rPr>
      </w:pPr>
    </w:p>
    <w:p>
      <w:pPr>
        <w:ind w:right="120"/>
        <w:spacing w:after="0" w:line="266" w:lineRule="auto"/>
        <w:rPr>
          <w:sz w:val="20"/>
          <w:szCs w:val="20"/>
          <w:color w:val="auto"/>
        </w:rPr>
      </w:pPr>
      <w:r>
        <w:rPr>
          <w:rFonts w:ascii="Arial" w:cs="Arial" w:eastAsia="Arial" w:hAnsi="Arial"/>
          <w:sz w:val="20"/>
          <w:szCs w:val="20"/>
          <w:color w:val="auto"/>
        </w:rPr>
        <w:t>The Company also enters into foreign currency forward contracts to manage foreign currency exchange rate risk of our intercompany loans in certain of our international subsidiaries and non-functional currency assets and liabilities. These foreign currency forward contracts generally expire on a monthly basis.</w:t>
      </w:r>
    </w:p>
    <w:p>
      <w:pPr>
        <w:spacing w:after="0" w:line="155" w:lineRule="exact"/>
        <w:rPr>
          <w:sz w:val="20"/>
          <w:szCs w:val="20"/>
          <w:color w:val="auto"/>
        </w:rPr>
      </w:pPr>
    </w:p>
    <w:p>
      <w:pPr>
        <w:jc w:val="both"/>
        <w:ind w:right="160"/>
        <w:spacing w:after="0" w:line="299" w:lineRule="auto"/>
        <w:rPr>
          <w:sz w:val="20"/>
          <w:szCs w:val="20"/>
          <w:color w:val="auto"/>
        </w:rPr>
      </w:pPr>
      <w:r>
        <w:rPr>
          <w:rFonts w:ascii="Arial" w:cs="Arial" w:eastAsia="Arial" w:hAnsi="Arial"/>
          <w:sz w:val="18"/>
          <w:szCs w:val="18"/>
          <w:color w:val="auto"/>
        </w:rPr>
        <w:t>Approximately 45.9% of our revenues and 47.6% of our consolidated total assets as of December 31, 2025 were derived from operations outside the United States. Holding other variables constant (such as interest rates and debt levels), if the U.S. dollar had appreciated by 10% against the foreign currencies used by our operations in the year ended December 31, 2025, revenues would have been reduced by approximately $53.4 million and gross profit by approximately $29.2 million.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Regulatory Risk</w:t>
      </w:r>
    </w:p>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We are subject to extensive regulatory requirements and routine regulatory audits, and we must receive permits, licenses, and/or regulatory clearance or approval for numerous aspects of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any of which could impact our ability to provide our services. Our failure to comply with the regulatory requirements of these agencies may subject us to administratively or judicially imposed sanctions. These sanctions could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w:t>
      </w:r>
    </w:p>
    <w:p>
      <w:pPr>
        <w:sectPr>
          <w:pgSz w:w="11880" w:h="15480" w:orient="portrait"/>
          <w:cols w:equalWidth="0" w:num="1">
            <w:col w:w="10240"/>
          </w:cols>
          <w:pgMar w:left="820" w:top="41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240"/>
          </w:cols>
          <w:pgMar w:left="820" w:top="412" w:right="820" w:bottom="0" w:gutter="0" w:footer="0" w:header="0"/>
          <w:type w:val="continuous"/>
        </w:sectPr>
      </w:pPr>
    </w:p>
    <w:bookmarkStart w:id="70" w:name="page71"/>
    <w:bookmarkEnd w:id="70"/>
    <w:p>
      <w:pPr>
        <w:ind w:right="5020"/>
        <w:spacing w:after="0" w:line="528" w:lineRule="auto"/>
        <w:rPr>
          <w:sz w:val="20"/>
          <w:szCs w:val="20"/>
          <w:color w:val="auto"/>
        </w:rPr>
      </w:pPr>
      <w:r>
        <w:rPr>
          <w:rFonts w:ascii="Arial" w:cs="Arial" w:eastAsia="Arial" w:hAnsi="Arial"/>
          <w:sz w:val="20"/>
          <w:szCs w:val="20"/>
          <w:b w:val="1"/>
          <w:bCs w:val="1"/>
          <w:color w:val="auto"/>
        </w:rPr>
        <w:t>Item 8. Financial Statements and Supplementary Data INDEX TO CONSOLIDATED FINANCIAL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6620" w:type="dxa"/>
            <w:vAlign w:val="bottom"/>
            <w:gridSpan w:val="9"/>
            <w:shd w:val="clear" w:color="auto" w:fill="D2EEF5"/>
          </w:tcPr>
          <w:p>
            <w:pPr>
              <w:ind w:left="40"/>
              <w:spacing w:after="0"/>
              <w:rPr>
                <w:sz w:val="20"/>
                <w:szCs w:val="20"/>
                <w:color w:val="auto"/>
              </w:rPr>
            </w:pPr>
            <w:r>
              <w:rPr>
                <w:rFonts w:ascii="Arial" w:cs="Arial" w:eastAsia="Arial" w:hAnsi="Arial"/>
                <w:sz w:val="20"/>
                <w:szCs w:val="20"/>
                <w:b w:val="1"/>
                <w:bCs w:val="1"/>
                <w:color w:val="auto"/>
              </w:rPr>
              <w:t>Consolidated Financial Statements of Sotera Health Company</w:t>
            </w:r>
          </w:p>
        </w:tc>
        <w:tc>
          <w:tcPr>
            <w:tcW w:w="318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20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r>
      <w:tr>
        <w:trPr>
          <w:trHeight w:val="208"/>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7"/>
          </w:tcPr>
          <w:p>
            <w:pPr>
              <w:spacing w:after="0" w:line="207" w:lineRule="exact"/>
              <w:rPr>
                <w:sz w:val="20"/>
                <w:szCs w:val="20"/>
                <w:color w:val="auto"/>
              </w:rPr>
            </w:pPr>
            <w:r>
              <w:rPr>
                <w:rFonts w:ascii="Arial" w:cs="Arial" w:eastAsia="Arial" w:hAnsi="Arial"/>
                <w:sz w:val="20"/>
                <w:szCs w:val="20"/>
                <w:color w:val="1C2790"/>
                <w:w w:val="92"/>
              </w:rPr>
              <w:t>Report of Independent Registered Public Accounting Firm (PCAOB ID: 42)</w:t>
            </w:r>
          </w:p>
        </w:tc>
        <w:tc>
          <w:tcPr>
            <w:tcW w:w="3440" w:type="dxa"/>
            <w:vAlign w:val="bottom"/>
            <w:gridSpan w:val="3"/>
          </w:tcPr>
          <w:p>
            <w:pPr>
              <w:jc w:val="center"/>
              <w:ind w:left="3140"/>
              <w:spacing w:after="0" w:line="207" w:lineRule="exact"/>
              <w:rPr>
                <w:sz w:val="20"/>
                <w:szCs w:val="20"/>
                <w:color w:val="auto"/>
              </w:rPr>
            </w:pPr>
            <w:r>
              <w:rPr>
                <w:rFonts w:ascii="Arial" w:cs="Arial" w:eastAsia="Arial" w:hAnsi="Arial"/>
                <w:sz w:val="20"/>
                <w:szCs w:val="20"/>
                <w:color w:val="1C2790"/>
                <w:w w:val="89"/>
              </w:rPr>
              <w:t>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57"/>
        </w:trPr>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320" w:type="dxa"/>
            <w:vAlign w:val="bottom"/>
            <w:tcBorders>
              <w:top w:val="single" w:sz="8" w:color="1C2790"/>
            </w:tcBorders>
          </w:tcPr>
          <w:p>
            <w:pPr>
              <w:spacing w:after="0"/>
              <w:rPr>
                <w:sz w:val="4"/>
                <w:szCs w:val="4"/>
                <w:color w:val="auto"/>
              </w:rPr>
            </w:pPr>
          </w:p>
        </w:tc>
        <w:tc>
          <w:tcPr>
            <w:tcW w:w="460" w:type="dxa"/>
            <w:vAlign w:val="bottom"/>
            <w:tcBorders>
              <w:top w:val="single" w:sz="8" w:color="1C2790"/>
            </w:tcBorders>
          </w:tcPr>
          <w:p>
            <w:pPr>
              <w:spacing w:after="0"/>
              <w:rPr>
                <w:sz w:val="4"/>
                <w:szCs w:val="4"/>
                <w:color w:val="auto"/>
              </w:rPr>
            </w:pPr>
          </w:p>
        </w:tc>
        <w:tc>
          <w:tcPr>
            <w:tcW w:w="400" w:type="dxa"/>
            <w:vAlign w:val="bottom"/>
            <w:tcBorders>
              <w:top w:val="single" w:sz="8" w:color="1C2790"/>
            </w:tcBorders>
          </w:tcPr>
          <w:p>
            <w:pPr>
              <w:spacing w:after="0"/>
              <w:rPr>
                <w:sz w:val="4"/>
                <w:szCs w:val="4"/>
                <w:color w:val="auto"/>
              </w:rPr>
            </w:pPr>
          </w:p>
        </w:tc>
        <w:tc>
          <w:tcPr>
            <w:tcW w:w="320" w:type="dxa"/>
            <w:vAlign w:val="bottom"/>
            <w:tcBorders>
              <w:top w:val="single" w:sz="8" w:color="1C2790"/>
            </w:tcBorders>
          </w:tcPr>
          <w:p>
            <w:pPr>
              <w:spacing w:after="0"/>
              <w:rPr>
                <w:sz w:val="4"/>
                <w:szCs w:val="4"/>
                <w:color w:val="auto"/>
              </w:rPr>
            </w:pPr>
          </w:p>
        </w:tc>
        <w:tc>
          <w:tcPr>
            <w:tcW w:w="440" w:type="dxa"/>
            <w:vAlign w:val="bottom"/>
            <w:tcBorders>
              <w:top w:val="single" w:sz="8" w:color="1C2790"/>
            </w:tcBorders>
          </w:tcPr>
          <w:p>
            <w:pPr>
              <w:spacing w:after="0"/>
              <w:rPr>
                <w:sz w:val="4"/>
                <w:szCs w:val="4"/>
                <w:color w:val="auto"/>
              </w:rPr>
            </w:pPr>
          </w:p>
        </w:tc>
        <w:tc>
          <w:tcPr>
            <w:tcW w:w="2000" w:type="dxa"/>
            <w:vAlign w:val="bottom"/>
            <w:tcBorders>
              <w:top w:val="single" w:sz="8" w:color="1C2790"/>
            </w:tcBorders>
          </w:tcPr>
          <w:p>
            <w:pPr>
              <w:spacing w:after="0"/>
              <w:rPr>
                <w:sz w:val="4"/>
                <w:szCs w:val="4"/>
                <w:color w:val="auto"/>
              </w:rPr>
            </w:pPr>
          </w:p>
        </w:tc>
        <w:tc>
          <w:tcPr>
            <w:tcW w:w="160" w:type="dxa"/>
            <w:vAlign w:val="bottom"/>
            <w:tcBorders>
              <w:top w:val="single" w:sz="8" w:color="1C2790"/>
            </w:tcBorders>
          </w:tcPr>
          <w:p>
            <w:pPr>
              <w:spacing w:after="0"/>
              <w:rPr>
                <w:sz w:val="4"/>
                <w:szCs w:val="4"/>
                <w:color w:val="auto"/>
              </w:rPr>
            </w:pPr>
          </w:p>
        </w:tc>
        <w:tc>
          <w:tcPr>
            <w:tcW w:w="3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8"/>
        </w:trPr>
        <w:tc>
          <w:tcPr>
            <w:tcW w:w="5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6100" w:type="dxa"/>
            <w:vAlign w:val="bottom"/>
            <w:gridSpan w:val="7"/>
            <w:shd w:val="clear" w:color="auto" w:fill="D2EEF5"/>
          </w:tcPr>
          <w:p>
            <w:pPr>
              <w:spacing w:after="0" w:line="207" w:lineRule="exact"/>
              <w:rPr>
                <w:sz w:val="20"/>
                <w:szCs w:val="20"/>
                <w:color w:val="auto"/>
              </w:rPr>
            </w:pPr>
            <w:r>
              <w:rPr>
                <w:rFonts w:ascii="Arial" w:cs="Arial" w:eastAsia="Arial" w:hAnsi="Arial"/>
                <w:sz w:val="20"/>
                <w:szCs w:val="20"/>
                <w:color w:val="1C2790"/>
              </w:rPr>
              <w:t>Consolidated Balance Sheets</w:t>
            </w:r>
          </w:p>
        </w:tc>
        <w:tc>
          <w:tcPr>
            <w:tcW w:w="3440" w:type="dxa"/>
            <w:vAlign w:val="bottom"/>
            <w:gridSpan w:val="3"/>
            <w:shd w:val="clear" w:color="auto" w:fill="D2EEF5"/>
          </w:tcPr>
          <w:p>
            <w:pPr>
              <w:jc w:val="center"/>
              <w:ind w:left="3140"/>
              <w:spacing w:after="0" w:line="207" w:lineRule="exact"/>
              <w:rPr>
                <w:sz w:val="20"/>
                <w:szCs w:val="20"/>
                <w:color w:val="auto"/>
              </w:rPr>
            </w:pPr>
            <w:r>
              <w:rPr>
                <w:rFonts w:ascii="Arial" w:cs="Arial" w:eastAsia="Arial" w:hAnsi="Arial"/>
                <w:sz w:val="20"/>
                <w:szCs w:val="20"/>
                <w:color w:val="1C2790"/>
                <w:w w:val="89"/>
              </w:rPr>
              <w:t>66</w:t>
            </w:r>
          </w:p>
        </w:tc>
        <w:tc>
          <w:tcPr>
            <w:tcW w:w="4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r>
      <w:tr>
        <w:trPr>
          <w:trHeight w:val="57"/>
        </w:trPr>
        <w:tc>
          <w:tcPr>
            <w:tcW w:w="500" w:type="dxa"/>
            <w:vAlign w:val="bottom"/>
            <w:tcBorders>
              <w:top w:val="single" w:sz="8" w:color="D2EEF5"/>
            </w:tcBorders>
            <w:shd w:val="clear" w:color="auto" w:fill="D2EEF5"/>
          </w:tcPr>
          <w:p>
            <w:pPr>
              <w:spacing w:after="0"/>
              <w:rPr>
                <w:sz w:val="4"/>
                <w:szCs w:val="4"/>
                <w:color w:val="auto"/>
              </w:rPr>
            </w:pPr>
          </w:p>
        </w:tc>
        <w:tc>
          <w:tcPr>
            <w:tcW w:w="20" w:type="dxa"/>
            <w:vAlign w:val="bottom"/>
            <w:tcBorders>
              <w:top w:val="single" w:sz="8" w:color="D2EEF5"/>
            </w:tcBorders>
            <w:shd w:val="clear" w:color="auto" w:fill="D2EEF5"/>
          </w:tcPr>
          <w:p>
            <w:pPr>
              <w:spacing w:after="0"/>
              <w:rPr>
                <w:sz w:val="4"/>
                <w:szCs w:val="4"/>
                <w:color w:val="auto"/>
              </w:rPr>
            </w:pPr>
          </w:p>
        </w:tc>
        <w:tc>
          <w:tcPr>
            <w:tcW w:w="2320" w:type="dxa"/>
            <w:vAlign w:val="bottom"/>
            <w:tcBorders>
              <w:top w:val="single" w:sz="8" w:color="1C2790"/>
            </w:tcBorders>
            <w:shd w:val="clear" w:color="auto" w:fill="D2EEF5"/>
          </w:tcPr>
          <w:p>
            <w:pPr>
              <w:spacing w:after="0"/>
              <w:rPr>
                <w:sz w:val="4"/>
                <w:szCs w:val="4"/>
                <w:color w:val="auto"/>
              </w:rPr>
            </w:pPr>
          </w:p>
        </w:tc>
        <w:tc>
          <w:tcPr>
            <w:tcW w:w="460" w:type="dxa"/>
            <w:vAlign w:val="bottom"/>
            <w:tcBorders>
              <w:top w:val="single" w:sz="8" w:color="D2EEF5"/>
            </w:tcBorders>
            <w:shd w:val="clear" w:color="auto" w:fill="D2EEF5"/>
          </w:tcPr>
          <w:p>
            <w:pPr>
              <w:spacing w:after="0"/>
              <w:rPr>
                <w:sz w:val="4"/>
                <w:szCs w:val="4"/>
                <w:color w:val="auto"/>
              </w:rPr>
            </w:pPr>
          </w:p>
        </w:tc>
        <w:tc>
          <w:tcPr>
            <w:tcW w:w="400" w:type="dxa"/>
            <w:vAlign w:val="bottom"/>
            <w:tcBorders>
              <w:top w:val="single" w:sz="8" w:color="D2EEF5"/>
            </w:tcBorders>
            <w:shd w:val="clear" w:color="auto" w:fill="D2EEF5"/>
          </w:tcPr>
          <w:p>
            <w:pPr>
              <w:spacing w:after="0"/>
              <w:rPr>
                <w:sz w:val="4"/>
                <w:szCs w:val="4"/>
                <w:color w:val="auto"/>
              </w:rPr>
            </w:pPr>
          </w:p>
        </w:tc>
        <w:tc>
          <w:tcPr>
            <w:tcW w:w="320" w:type="dxa"/>
            <w:vAlign w:val="bottom"/>
            <w:tcBorders>
              <w:top w:val="single" w:sz="8" w:color="D2EEF5"/>
            </w:tcBorders>
            <w:shd w:val="clear" w:color="auto" w:fill="D2EEF5"/>
          </w:tcPr>
          <w:p>
            <w:pPr>
              <w:spacing w:after="0"/>
              <w:rPr>
                <w:sz w:val="4"/>
                <w:szCs w:val="4"/>
                <w:color w:val="auto"/>
              </w:rPr>
            </w:pPr>
          </w:p>
        </w:tc>
        <w:tc>
          <w:tcPr>
            <w:tcW w:w="440" w:type="dxa"/>
            <w:vAlign w:val="bottom"/>
            <w:tcBorders>
              <w:top w:val="single" w:sz="8" w:color="D2EEF5"/>
            </w:tcBorders>
            <w:shd w:val="clear" w:color="auto" w:fill="D2EEF5"/>
          </w:tcPr>
          <w:p>
            <w:pPr>
              <w:spacing w:after="0"/>
              <w:rPr>
                <w:sz w:val="4"/>
                <w:szCs w:val="4"/>
                <w:color w:val="auto"/>
              </w:rPr>
            </w:pPr>
          </w:p>
        </w:tc>
        <w:tc>
          <w:tcPr>
            <w:tcW w:w="2000" w:type="dxa"/>
            <w:vAlign w:val="bottom"/>
            <w:tcBorders>
              <w:top w:val="single" w:sz="8" w:color="D2EEF5"/>
            </w:tcBorders>
            <w:shd w:val="clear" w:color="auto" w:fill="D2EEF5"/>
          </w:tcPr>
          <w:p>
            <w:pPr>
              <w:spacing w:after="0"/>
              <w:rPr>
                <w:sz w:val="4"/>
                <w:szCs w:val="4"/>
                <w:color w:val="auto"/>
              </w:rPr>
            </w:pPr>
          </w:p>
        </w:tc>
        <w:tc>
          <w:tcPr>
            <w:tcW w:w="160" w:type="dxa"/>
            <w:vAlign w:val="bottom"/>
            <w:tcBorders>
              <w:top w:val="single" w:sz="8" w:color="D2EEF5"/>
            </w:tcBorders>
            <w:shd w:val="clear" w:color="auto" w:fill="D2EEF5"/>
          </w:tcPr>
          <w:p>
            <w:pPr>
              <w:spacing w:after="0"/>
              <w:rPr>
                <w:sz w:val="4"/>
                <w:szCs w:val="4"/>
                <w:color w:val="auto"/>
              </w:rPr>
            </w:pPr>
          </w:p>
        </w:tc>
        <w:tc>
          <w:tcPr>
            <w:tcW w:w="3180" w:type="dxa"/>
            <w:vAlign w:val="bottom"/>
            <w:tcBorders>
              <w:top w:val="single" w:sz="8" w:color="D2EEF5"/>
            </w:tcBorders>
            <w:shd w:val="clear" w:color="auto" w:fill="D2EEF5"/>
          </w:tcPr>
          <w:p>
            <w:pPr>
              <w:spacing w:after="0"/>
              <w:rPr>
                <w:sz w:val="4"/>
                <w:szCs w:val="4"/>
                <w:color w:val="auto"/>
              </w:rPr>
            </w:pPr>
          </w:p>
        </w:tc>
        <w:tc>
          <w:tcPr>
            <w:tcW w:w="60" w:type="dxa"/>
            <w:vAlign w:val="bottom"/>
            <w:tcBorders>
              <w:top w:val="single" w:sz="8" w:color="D2EEF5"/>
            </w:tcBorders>
            <w:shd w:val="clear" w:color="auto" w:fill="D2EEF5"/>
          </w:tcPr>
          <w:p>
            <w:pPr>
              <w:spacing w:after="0"/>
              <w:rPr>
                <w:sz w:val="4"/>
                <w:szCs w:val="4"/>
                <w:color w:val="auto"/>
              </w:rPr>
            </w:pPr>
          </w:p>
        </w:tc>
        <w:tc>
          <w:tcPr>
            <w:tcW w:w="20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160" w:type="dxa"/>
            <w:vAlign w:val="bottom"/>
            <w:tcBorders>
              <w:top w:val="single" w:sz="8" w:color="D2EEF5"/>
            </w:tcBorders>
            <w:shd w:val="clear" w:color="auto" w:fill="D2EEF5"/>
          </w:tcPr>
          <w:p>
            <w:pPr>
              <w:spacing w:after="0"/>
              <w:rPr>
                <w:sz w:val="4"/>
                <w:szCs w:val="4"/>
                <w:color w:val="auto"/>
              </w:rPr>
            </w:pPr>
          </w:p>
        </w:tc>
      </w:tr>
      <w:tr>
        <w:trPr>
          <w:trHeight w:val="208"/>
        </w:trPr>
        <w:tc>
          <w:tcPr>
            <w:tcW w:w="500" w:type="dxa"/>
            <w:vAlign w:val="bottom"/>
          </w:tcPr>
          <w:p>
            <w:pPr>
              <w:spacing w:after="0"/>
              <w:rPr>
                <w:sz w:val="18"/>
                <w:szCs w:val="18"/>
                <w:color w:val="auto"/>
              </w:rPr>
            </w:pPr>
          </w:p>
        </w:tc>
        <w:tc>
          <w:tcPr>
            <w:tcW w:w="6120" w:type="dxa"/>
            <w:vAlign w:val="bottom"/>
            <w:gridSpan w:val="8"/>
          </w:tcPr>
          <w:p>
            <w:pPr>
              <w:spacing w:after="0" w:line="207" w:lineRule="exact"/>
              <w:rPr>
                <w:sz w:val="20"/>
                <w:szCs w:val="20"/>
                <w:color w:val="auto"/>
              </w:rPr>
            </w:pPr>
            <w:r>
              <w:rPr>
                <w:rFonts w:ascii="Arial" w:cs="Arial" w:eastAsia="Arial" w:hAnsi="Arial"/>
                <w:sz w:val="20"/>
                <w:szCs w:val="20"/>
                <w:color w:val="1C2790"/>
                <w:w w:val="91"/>
              </w:rPr>
              <w:t>Consolidated Statements of Operations and Comprehensive Income (Loss)</w:t>
            </w:r>
          </w:p>
        </w:tc>
        <w:tc>
          <w:tcPr>
            <w:tcW w:w="3440" w:type="dxa"/>
            <w:vAlign w:val="bottom"/>
            <w:gridSpan w:val="3"/>
          </w:tcPr>
          <w:p>
            <w:pPr>
              <w:jc w:val="center"/>
              <w:ind w:left="3140"/>
              <w:spacing w:after="0" w:line="207" w:lineRule="exact"/>
              <w:rPr>
                <w:sz w:val="20"/>
                <w:szCs w:val="20"/>
                <w:color w:val="auto"/>
              </w:rPr>
            </w:pPr>
            <w:r>
              <w:rPr>
                <w:rFonts w:ascii="Arial" w:cs="Arial" w:eastAsia="Arial" w:hAnsi="Arial"/>
                <w:sz w:val="20"/>
                <w:szCs w:val="20"/>
                <w:color w:val="1C2790"/>
                <w:w w:val="89"/>
              </w:rPr>
              <w:t>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57"/>
        </w:trPr>
        <w:tc>
          <w:tcPr>
            <w:tcW w:w="500" w:type="dxa"/>
            <w:vAlign w:val="bottom"/>
          </w:tcPr>
          <w:p>
            <w:pPr>
              <w:spacing w:after="0"/>
              <w:rPr>
                <w:sz w:val="4"/>
                <w:szCs w:val="4"/>
                <w:color w:val="auto"/>
              </w:rPr>
            </w:pPr>
          </w:p>
        </w:tc>
        <w:tc>
          <w:tcPr>
            <w:tcW w:w="20" w:type="dxa"/>
            <w:vAlign w:val="bottom"/>
            <w:tcBorders>
              <w:top w:val="single" w:sz="8" w:color="1C2790"/>
            </w:tcBorders>
          </w:tcPr>
          <w:p>
            <w:pPr>
              <w:spacing w:after="0"/>
              <w:rPr>
                <w:sz w:val="4"/>
                <w:szCs w:val="4"/>
                <w:color w:val="auto"/>
              </w:rPr>
            </w:pPr>
          </w:p>
        </w:tc>
        <w:tc>
          <w:tcPr>
            <w:tcW w:w="2320" w:type="dxa"/>
            <w:vAlign w:val="bottom"/>
            <w:tcBorders>
              <w:top w:val="single" w:sz="8" w:color="1C2790"/>
            </w:tcBorders>
          </w:tcPr>
          <w:p>
            <w:pPr>
              <w:spacing w:after="0"/>
              <w:rPr>
                <w:sz w:val="4"/>
                <w:szCs w:val="4"/>
                <w:color w:val="auto"/>
              </w:rPr>
            </w:pPr>
          </w:p>
        </w:tc>
        <w:tc>
          <w:tcPr>
            <w:tcW w:w="460" w:type="dxa"/>
            <w:vAlign w:val="bottom"/>
            <w:tcBorders>
              <w:top w:val="single" w:sz="8" w:color="1C2790"/>
            </w:tcBorders>
          </w:tcPr>
          <w:p>
            <w:pPr>
              <w:spacing w:after="0"/>
              <w:rPr>
                <w:sz w:val="4"/>
                <w:szCs w:val="4"/>
                <w:color w:val="auto"/>
              </w:rPr>
            </w:pPr>
          </w:p>
        </w:tc>
        <w:tc>
          <w:tcPr>
            <w:tcW w:w="400" w:type="dxa"/>
            <w:vAlign w:val="bottom"/>
            <w:tcBorders>
              <w:top w:val="single" w:sz="8" w:color="1C2790"/>
            </w:tcBorders>
          </w:tcPr>
          <w:p>
            <w:pPr>
              <w:spacing w:after="0"/>
              <w:rPr>
                <w:sz w:val="4"/>
                <w:szCs w:val="4"/>
                <w:color w:val="auto"/>
              </w:rPr>
            </w:pPr>
          </w:p>
        </w:tc>
        <w:tc>
          <w:tcPr>
            <w:tcW w:w="320" w:type="dxa"/>
            <w:vAlign w:val="bottom"/>
            <w:tcBorders>
              <w:top w:val="single" w:sz="8" w:color="1C2790"/>
            </w:tcBorders>
          </w:tcPr>
          <w:p>
            <w:pPr>
              <w:spacing w:after="0"/>
              <w:rPr>
                <w:sz w:val="4"/>
                <w:szCs w:val="4"/>
                <w:color w:val="auto"/>
              </w:rPr>
            </w:pPr>
          </w:p>
        </w:tc>
        <w:tc>
          <w:tcPr>
            <w:tcW w:w="440" w:type="dxa"/>
            <w:vAlign w:val="bottom"/>
            <w:tcBorders>
              <w:top w:val="single" w:sz="8" w:color="1C2790"/>
            </w:tcBorders>
          </w:tcPr>
          <w:p>
            <w:pPr>
              <w:spacing w:after="0"/>
              <w:rPr>
                <w:sz w:val="4"/>
                <w:szCs w:val="4"/>
                <w:color w:val="auto"/>
              </w:rPr>
            </w:pPr>
          </w:p>
        </w:tc>
        <w:tc>
          <w:tcPr>
            <w:tcW w:w="2000" w:type="dxa"/>
            <w:vAlign w:val="bottom"/>
            <w:tcBorders>
              <w:top w:val="single" w:sz="8" w:color="1C2790"/>
            </w:tcBorders>
          </w:tcPr>
          <w:p>
            <w:pPr>
              <w:spacing w:after="0"/>
              <w:rPr>
                <w:sz w:val="4"/>
                <w:szCs w:val="4"/>
                <w:color w:val="auto"/>
              </w:rPr>
            </w:pPr>
          </w:p>
        </w:tc>
        <w:tc>
          <w:tcPr>
            <w:tcW w:w="1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8"/>
        </w:trPr>
        <w:tc>
          <w:tcPr>
            <w:tcW w:w="5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6100" w:type="dxa"/>
            <w:vAlign w:val="bottom"/>
            <w:gridSpan w:val="7"/>
            <w:shd w:val="clear" w:color="auto" w:fill="D2EEF5"/>
          </w:tcPr>
          <w:p>
            <w:pPr>
              <w:spacing w:after="0" w:line="207" w:lineRule="exact"/>
              <w:rPr>
                <w:sz w:val="20"/>
                <w:szCs w:val="20"/>
                <w:color w:val="auto"/>
              </w:rPr>
            </w:pPr>
            <w:r>
              <w:rPr>
                <w:rFonts w:ascii="Arial" w:cs="Arial" w:eastAsia="Arial" w:hAnsi="Arial"/>
                <w:sz w:val="20"/>
                <w:szCs w:val="20"/>
                <w:color w:val="1C2790"/>
              </w:rPr>
              <w:t>Consolidated Statements of Cash Flows</w:t>
            </w:r>
          </w:p>
        </w:tc>
        <w:tc>
          <w:tcPr>
            <w:tcW w:w="3440" w:type="dxa"/>
            <w:vAlign w:val="bottom"/>
            <w:gridSpan w:val="3"/>
            <w:shd w:val="clear" w:color="auto" w:fill="D2EEF5"/>
          </w:tcPr>
          <w:p>
            <w:pPr>
              <w:jc w:val="center"/>
              <w:ind w:left="3140"/>
              <w:spacing w:after="0" w:line="207" w:lineRule="exact"/>
              <w:rPr>
                <w:sz w:val="20"/>
                <w:szCs w:val="20"/>
                <w:color w:val="auto"/>
              </w:rPr>
            </w:pPr>
            <w:r>
              <w:rPr>
                <w:rFonts w:ascii="Arial" w:cs="Arial" w:eastAsia="Arial" w:hAnsi="Arial"/>
                <w:sz w:val="20"/>
                <w:szCs w:val="20"/>
                <w:color w:val="1C2790"/>
                <w:w w:val="89"/>
              </w:rPr>
              <w:t>68</w:t>
            </w:r>
          </w:p>
        </w:tc>
        <w:tc>
          <w:tcPr>
            <w:tcW w:w="4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r>
      <w:tr>
        <w:trPr>
          <w:trHeight w:val="57"/>
        </w:trPr>
        <w:tc>
          <w:tcPr>
            <w:tcW w:w="500" w:type="dxa"/>
            <w:vAlign w:val="bottom"/>
            <w:tcBorders>
              <w:top w:val="single" w:sz="8" w:color="D2EEF5"/>
            </w:tcBorders>
            <w:shd w:val="clear" w:color="auto" w:fill="D2EEF5"/>
          </w:tcPr>
          <w:p>
            <w:pPr>
              <w:spacing w:after="0"/>
              <w:rPr>
                <w:sz w:val="4"/>
                <w:szCs w:val="4"/>
                <w:color w:val="auto"/>
              </w:rPr>
            </w:pPr>
          </w:p>
        </w:tc>
        <w:tc>
          <w:tcPr>
            <w:tcW w:w="20" w:type="dxa"/>
            <w:vAlign w:val="bottom"/>
            <w:tcBorders>
              <w:top w:val="single" w:sz="8" w:color="D2EEF5"/>
            </w:tcBorders>
            <w:shd w:val="clear" w:color="auto" w:fill="D2EEF5"/>
          </w:tcPr>
          <w:p>
            <w:pPr>
              <w:spacing w:after="0"/>
              <w:rPr>
                <w:sz w:val="4"/>
                <w:szCs w:val="4"/>
                <w:color w:val="auto"/>
              </w:rPr>
            </w:pPr>
          </w:p>
        </w:tc>
        <w:tc>
          <w:tcPr>
            <w:tcW w:w="2320" w:type="dxa"/>
            <w:vAlign w:val="bottom"/>
            <w:tcBorders>
              <w:top w:val="single" w:sz="8" w:color="1C2790"/>
            </w:tcBorders>
            <w:shd w:val="clear" w:color="auto" w:fill="D2EEF5"/>
          </w:tcPr>
          <w:p>
            <w:pPr>
              <w:spacing w:after="0"/>
              <w:rPr>
                <w:sz w:val="4"/>
                <w:szCs w:val="4"/>
                <w:color w:val="auto"/>
              </w:rPr>
            </w:pPr>
          </w:p>
        </w:tc>
        <w:tc>
          <w:tcPr>
            <w:tcW w:w="460" w:type="dxa"/>
            <w:vAlign w:val="bottom"/>
            <w:tcBorders>
              <w:top w:val="single" w:sz="8" w:color="1C2790"/>
            </w:tcBorders>
            <w:shd w:val="clear" w:color="auto" w:fill="D2EEF5"/>
          </w:tcPr>
          <w:p>
            <w:pPr>
              <w:spacing w:after="0"/>
              <w:rPr>
                <w:sz w:val="4"/>
                <w:szCs w:val="4"/>
                <w:color w:val="auto"/>
              </w:rPr>
            </w:pPr>
          </w:p>
        </w:tc>
        <w:tc>
          <w:tcPr>
            <w:tcW w:w="400" w:type="dxa"/>
            <w:vAlign w:val="bottom"/>
            <w:tcBorders>
              <w:top w:val="single" w:sz="8" w:color="1C2790"/>
            </w:tcBorders>
            <w:shd w:val="clear" w:color="auto" w:fill="D2EEF5"/>
          </w:tcPr>
          <w:p>
            <w:pPr>
              <w:spacing w:after="0"/>
              <w:rPr>
                <w:sz w:val="4"/>
                <w:szCs w:val="4"/>
                <w:color w:val="auto"/>
              </w:rPr>
            </w:pPr>
          </w:p>
        </w:tc>
        <w:tc>
          <w:tcPr>
            <w:tcW w:w="320" w:type="dxa"/>
            <w:vAlign w:val="bottom"/>
            <w:tcBorders>
              <w:top w:val="single" w:sz="8" w:color="D2EEF5"/>
            </w:tcBorders>
            <w:shd w:val="clear" w:color="auto" w:fill="D2EEF5"/>
          </w:tcPr>
          <w:p>
            <w:pPr>
              <w:spacing w:after="0"/>
              <w:rPr>
                <w:sz w:val="4"/>
                <w:szCs w:val="4"/>
                <w:color w:val="auto"/>
              </w:rPr>
            </w:pPr>
          </w:p>
        </w:tc>
        <w:tc>
          <w:tcPr>
            <w:tcW w:w="440" w:type="dxa"/>
            <w:vAlign w:val="bottom"/>
            <w:tcBorders>
              <w:top w:val="single" w:sz="8" w:color="D2EEF5"/>
            </w:tcBorders>
            <w:shd w:val="clear" w:color="auto" w:fill="D2EEF5"/>
          </w:tcPr>
          <w:p>
            <w:pPr>
              <w:spacing w:after="0"/>
              <w:rPr>
                <w:sz w:val="4"/>
                <w:szCs w:val="4"/>
                <w:color w:val="auto"/>
              </w:rPr>
            </w:pPr>
          </w:p>
        </w:tc>
        <w:tc>
          <w:tcPr>
            <w:tcW w:w="2000" w:type="dxa"/>
            <w:vAlign w:val="bottom"/>
            <w:tcBorders>
              <w:top w:val="single" w:sz="8" w:color="D2EEF5"/>
            </w:tcBorders>
            <w:shd w:val="clear" w:color="auto" w:fill="D2EEF5"/>
          </w:tcPr>
          <w:p>
            <w:pPr>
              <w:spacing w:after="0"/>
              <w:rPr>
                <w:sz w:val="4"/>
                <w:szCs w:val="4"/>
                <w:color w:val="auto"/>
              </w:rPr>
            </w:pPr>
          </w:p>
        </w:tc>
        <w:tc>
          <w:tcPr>
            <w:tcW w:w="160" w:type="dxa"/>
            <w:vAlign w:val="bottom"/>
            <w:tcBorders>
              <w:top w:val="single" w:sz="8" w:color="D2EEF5"/>
            </w:tcBorders>
            <w:shd w:val="clear" w:color="auto" w:fill="D2EEF5"/>
          </w:tcPr>
          <w:p>
            <w:pPr>
              <w:spacing w:after="0"/>
              <w:rPr>
                <w:sz w:val="4"/>
                <w:szCs w:val="4"/>
                <w:color w:val="auto"/>
              </w:rPr>
            </w:pPr>
          </w:p>
        </w:tc>
        <w:tc>
          <w:tcPr>
            <w:tcW w:w="3180" w:type="dxa"/>
            <w:vAlign w:val="bottom"/>
            <w:tcBorders>
              <w:top w:val="single" w:sz="8" w:color="D2EEF5"/>
            </w:tcBorders>
            <w:shd w:val="clear" w:color="auto" w:fill="D2EEF5"/>
          </w:tcPr>
          <w:p>
            <w:pPr>
              <w:spacing w:after="0"/>
              <w:rPr>
                <w:sz w:val="4"/>
                <w:szCs w:val="4"/>
                <w:color w:val="auto"/>
              </w:rPr>
            </w:pPr>
          </w:p>
        </w:tc>
        <w:tc>
          <w:tcPr>
            <w:tcW w:w="60" w:type="dxa"/>
            <w:vAlign w:val="bottom"/>
            <w:tcBorders>
              <w:top w:val="single" w:sz="8" w:color="D2EEF5"/>
            </w:tcBorders>
            <w:shd w:val="clear" w:color="auto" w:fill="D2EEF5"/>
          </w:tcPr>
          <w:p>
            <w:pPr>
              <w:spacing w:after="0"/>
              <w:rPr>
                <w:sz w:val="4"/>
                <w:szCs w:val="4"/>
                <w:color w:val="auto"/>
              </w:rPr>
            </w:pPr>
          </w:p>
        </w:tc>
        <w:tc>
          <w:tcPr>
            <w:tcW w:w="20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160" w:type="dxa"/>
            <w:vAlign w:val="bottom"/>
            <w:tcBorders>
              <w:top w:val="single" w:sz="8" w:color="D2EEF5"/>
            </w:tcBorders>
            <w:shd w:val="clear" w:color="auto" w:fill="D2EEF5"/>
          </w:tcPr>
          <w:p>
            <w:pPr>
              <w:spacing w:after="0"/>
              <w:rPr>
                <w:sz w:val="4"/>
                <w:szCs w:val="4"/>
                <w:color w:val="auto"/>
              </w:rPr>
            </w:pPr>
          </w:p>
        </w:tc>
      </w:tr>
      <w:tr>
        <w:trPr>
          <w:trHeight w:val="208"/>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3"/>
          </w:tcPr>
          <w:p>
            <w:pPr>
              <w:spacing w:after="0" w:line="207" w:lineRule="exact"/>
              <w:rPr>
                <w:sz w:val="20"/>
                <w:szCs w:val="20"/>
                <w:color w:val="auto"/>
              </w:rPr>
            </w:pPr>
            <w:r>
              <w:rPr>
                <w:rFonts w:ascii="Arial" w:cs="Arial" w:eastAsia="Arial" w:hAnsi="Arial"/>
                <w:sz w:val="20"/>
                <w:szCs w:val="20"/>
                <w:color w:val="1C2790"/>
              </w:rPr>
              <w:t>Consolidated Statements of Equity</w:t>
            </w:r>
          </w:p>
        </w:tc>
        <w:tc>
          <w:tcPr>
            <w:tcW w:w="2920" w:type="dxa"/>
            <w:vAlign w:val="bottom"/>
            <w:gridSpan w:val="4"/>
          </w:tcPr>
          <w:p>
            <w:pPr>
              <w:spacing w:after="0"/>
              <w:rPr>
                <w:sz w:val="18"/>
                <w:szCs w:val="18"/>
                <w:color w:val="auto"/>
              </w:rPr>
            </w:pPr>
          </w:p>
        </w:tc>
        <w:tc>
          <w:tcPr>
            <w:tcW w:w="3440" w:type="dxa"/>
            <w:vAlign w:val="bottom"/>
            <w:gridSpan w:val="3"/>
          </w:tcPr>
          <w:p>
            <w:pPr>
              <w:jc w:val="center"/>
              <w:ind w:left="3140"/>
              <w:spacing w:after="0" w:line="207" w:lineRule="exact"/>
              <w:rPr>
                <w:sz w:val="20"/>
                <w:szCs w:val="20"/>
                <w:color w:val="auto"/>
              </w:rPr>
            </w:pPr>
            <w:r>
              <w:rPr>
                <w:rFonts w:ascii="Arial" w:cs="Arial" w:eastAsia="Arial" w:hAnsi="Arial"/>
                <w:sz w:val="20"/>
                <w:szCs w:val="20"/>
                <w:color w:val="1C2790"/>
                <w:w w:val="89"/>
              </w:rPr>
              <w:t>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57"/>
        </w:trPr>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320" w:type="dxa"/>
            <w:vAlign w:val="bottom"/>
            <w:tcBorders>
              <w:top w:val="single" w:sz="8" w:color="1C2790"/>
            </w:tcBorders>
          </w:tcPr>
          <w:p>
            <w:pPr>
              <w:spacing w:after="0"/>
              <w:rPr>
                <w:sz w:val="4"/>
                <w:szCs w:val="4"/>
                <w:color w:val="auto"/>
              </w:rPr>
            </w:pPr>
          </w:p>
        </w:tc>
        <w:tc>
          <w:tcPr>
            <w:tcW w:w="460" w:type="dxa"/>
            <w:vAlign w:val="bottom"/>
            <w:tcBorders>
              <w:top w:val="single" w:sz="8" w:color="1C2790"/>
            </w:tcBorders>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8"/>
        </w:trPr>
        <w:tc>
          <w:tcPr>
            <w:tcW w:w="5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3500" w:type="dxa"/>
            <w:vAlign w:val="bottom"/>
            <w:gridSpan w:val="4"/>
            <w:shd w:val="clear" w:color="auto" w:fill="D2EEF5"/>
          </w:tcPr>
          <w:p>
            <w:pPr>
              <w:spacing w:after="0" w:line="207" w:lineRule="exact"/>
              <w:rPr>
                <w:sz w:val="20"/>
                <w:szCs w:val="20"/>
                <w:color w:val="auto"/>
              </w:rPr>
            </w:pPr>
            <w:r>
              <w:rPr>
                <w:rFonts w:ascii="Arial" w:cs="Arial" w:eastAsia="Arial" w:hAnsi="Arial"/>
                <w:sz w:val="20"/>
                <w:szCs w:val="20"/>
                <w:color w:val="1C2790"/>
                <w:w w:val="89"/>
              </w:rPr>
              <w:t>Notes to Consolidated Financial Statements</w:t>
            </w:r>
          </w:p>
        </w:tc>
        <w:tc>
          <w:tcPr>
            <w:tcW w:w="2600" w:type="dxa"/>
            <w:vAlign w:val="bottom"/>
            <w:gridSpan w:val="3"/>
            <w:shd w:val="clear" w:color="auto" w:fill="D2EEF5"/>
          </w:tcPr>
          <w:p>
            <w:pPr>
              <w:spacing w:after="0"/>
              <w:rPr>
                <w:sz w:val="18"/>
                <w:szCs w:val="18"/>
                <w:color w:val="auto"/>
              </w:rPr>
            </w:pPr>
          </w:p>
        </w:tc>
        <w:tc>
          <w:tcPr>
            <w:tcW w:w="3440" w:type="dxa"/>
            <w:vAlign w:val="bottom"/>
            <w:gridSpan w:val="3"/>
            <w:shd w:val="clear" w:color="auto" w:fill="D2EEF5"/>
          </w:tcPr>
          <w:p>
            <w:pPr>
              <w:jc w:val="center"/>
              <w:ind w:left="3140"/>
              <w:spacing w:after="0" w:line="207" w:lineRule="exact"/>
              <w:rPr>
                <w:sz w:val="20"/>
                <w:szCs w:val="20"/>
                <w:color w:val="auto"/>
              </w:rPr>
            </w:pPr>
            <w:r>
              <w:rPr>
                <w:rFonts w:ascii="Arial" w:cs="Arial" w:eastAsia="Arial" w:hAnsi="Arial"/>
                <w:sz w:val="20"/>
                <w:szCs w:val="20"/>
                <w:color w:val="1C2790"/>
                <w:w w:val="89"/>
              </w:rPr>
              <w:t>70</w:t>
            </w:r>
          </w:p>
        </w:tc>
        <w:tc>
          <w:tcPr>
            <w:tcW w:w="4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r>
      <w:tr>
        <w:trPr>
          <w:trHeight w:val="57"/>
        </w:trPr>
        <w:tc>
          <w:tcPr>
            <w:tcW w:w="500" w:type="dxa"/>
            <w:vAlign w:val="bottom"/>
            <w:tcBorders>
              <w:top w:val="single" w:sz="8" w:color="D2EEF5"/>
            </w:tcBorders>
            <w:shd w:val="clear" w:color="auto" w:fill="D2EEF5"/>
          </w:tcPr>
          <w:p>
            <w:pPr>
              <w:spacing w:after="0"/>
              <w:rPr>
                <w:sz w:val="4"/>
                <w:szCs w:val="4"/>
                <w:color w:val="auto"/>
              </w:rPr>
            </w:pPr>
          </w:p>
        </w:tc>
        <w:tc>
          <w:tcPr>
            <w:tcW w:w="20" w:type="dxa"/>
            <w:vAlign w:val="bottom"/>
            <w:tcBorders>
              <w:top w:val="single" w:sz="8" w:color="D2EEF5"/>
            </w:tcBorders>
            <w:shd w:val="clear" w:color="auto" w:fill="D2EEF5"/>
          </w:tcPr>
          <w:p>
            <w:pPr>
              <w:spacing w:after="0"/>
              <w:rPr>
                <w:sz w:val="4"/>
                <w:szCs w:val="4"/>
                <w:color w:val="auto"/>
              </w:rPr>
            </w:pPr>
          </w:p>
        </w:tc>
        <w:tc>
          <w:tcPr>
            <w:tcW w:w="2320" w:type="dxa"/>
            <w:vAlign w:val="bottom"/>
            <w:tcBorders>
              <w:top w:val="single" w:sz="8" w:color="1C2790"/>
            </w:tcBorders>
            <w:shd w:val="clear" w:color="auto" w:fill="D2EEF5"/>
          </w:tcPr>
          <w:p>
            <w:pPr>
              <w:spacing w:after="0"/>
              <w:rPr>
                <w:sz w:val="4"/>
                <w:szCs w:val="4"/>
                <w:color w:val="auto"/>
              </w:rPr>
            </w:pPr>
          </w:p>
        </w:tc>
        <w:tc>
          <w:tcPr>
            <w:tcW w:w="460" w:type="dxa"/>
            <w:vAlign w:val="bottom"/>
            <w:tcBorders>
              <w:top w:val="single" w:sz="8" w:color="1C2790"/>
            </w:tcBorders>
            <w:shd w:val="clear" w:color="auto" w:fill="D2EEF5"/>
          </w:tcPr>
          <w:p>
            <w:pPr>
              <w:spacing w:after="0"/>
              <w:rPr>
                <w:sz w:val="4"/>
                <w:szCs w:val="4"/>
                <w:color w:val="auto"/>
              </w:rPr>
            </w:pPr>
          </w:p>
        </w:tc>
        <w:tc>
          <w:tcPr>
            <w:tcW w:w="400" w:type="dxa"/>
            <w:vAlign w:val="bottom"/>
            <w:tcBorders>
              <w:top w:val="single" w:sz="8" w:color="1C2790"/>
            </w:tcBorders>
            <w:shd w:val="clear" w:color="auto" w:fill="D2EEF5"/>
          </w:tcPr>
          <w:p>
            <w:pPr>
              <w:spacing w:after="0"/>
              <w:rPr>
                <w:sz w:val="4"/>
                <w:szCs w:val="4"/>
                <w:color w:val="auto"/>
              </w:rPr>
            </w:pPr>
          </w:p>
        </w:tc>
        <w:tc>
          <w:tcPr>
            <w:tcW w:w="320" w:type="dxa"/>
            <w:vAlign w:val="bottom"/>
            <w:tcBorders>
              <w:top w:val="single" w:sz="8" w:color="1C2790"/>
            </w:tcBorders>
            <w:shd w:val="clear" w:color="auto" w:fill="D2EEF5"/>
          </w:tcPr>
          <w:p>
            <w:pPr>
              <w:spacing w:after="0"/>
              <w:rPr>
                <w:sz w:val="4"/>
                <w:szCs w:val="4"/>
                <w:color w:val="auto"/>
              </w:rPr>
            </w:pPr>
          </w:p>
        </w:tc>
        <w:tc>
          <w:tcPr>
            <w:tcW w:w="440" w:type="dxa"/>
            <w:vAlign w:val="bottom"/>
            <w:tcBorders>
              <w:top w:val="single" w:sz="8" w:color="D2EEF5"/>
            </w:tcBorders>
            <w:shd w:val="clear" w:color="auto" w:fill="D2EEF5"/>
          </w:tcPr>
          <w:p>
            <w:pPr>
              <w:spacing w:after="0"/>
              <w:rPr>
                <w:sz w:val="4"/>
                <w:szCs w:val="4"/>
                <w:color w:val="auto"/>
              </w:rPr>
            </w:pPr>
          </w:p>
        </w:tc>
        <w:tc>
          <w:tcPr>
            <w:tcW w:w="2000" w:type="dxa"/>
            <w:vAlign w:val="bottom"/>
            <w:tcBorders>
              <w:top w:val="single" w:sz="8" w:color="D2EEF5"/>
            </w:tcBorders>
            <w:shd w:val="clear" w:color="auto" w:fill="D2EEF5"/>
          </w:tcPr>
          <w:p>
            <w:pPr>
              <w:spacing w:after="0"/>
              <w:rPr>
                <w:sz w:val="4"/>
                <w:szCs w:val="4"/>
                <w:color w:val="auto"/>
              </w:rPr>
            </w:pPr>
          </w:p>
        </w:tc>
        <w:tc>
          <w:tcPr>
            <w:tcW w:w="160" w:type="dxa"/>
            <w:vAlign w:val="bottom"/>
            <w:tcBorders>
              <w:top w:val="single" w:sz="8" w:color="D2EEF5"/>
            </w:tcBorders>
            <w:shd w:val="clear" w:color="auto" w:fill="D2EEF5"/>
          </w:tcPr>
          <w:p>
            <w:pPr>
              <w:spacing w:after="0"/>
              <w:rPr>
                <w:sz w:val="4"/>
                <w:szCs w:val="4"/>
                <w:color w:val="auto"/>
              </w:rPr>
            </w:pPr>
          </w:p>
        </w:tc>
        <w:tc>
          <w:tcPr>
            <w:tcW w:w="3180" w:type="dxa"/>
            <w:vAlign w:val="bottom"/>
            <w:tcBorders>
              <w:top w:val="single" w:sz="8" w:color="D2EEF5"/>
            </w:tcBorders>
            <w:shd w:val="clear" w:color="auto" w:fill="D2EEF5"/>
          </w:tcPr>
          <w:p>
            <w:pPr>
              <w:spacing w:after="0"/>
              <w:rPr>
                <w:sz w:val="4"/>
                <w:szCs w:val="4"/>
                <w:color w:val="auto"/>
              </w:rPr>
            </w:pPr>
          </w:p>
        </w:tc>
        <w:tc>
          <w:tcPr>
            <w:tcW w:w="60" w:type="dxa"/>
            <w:vAlign w:val="bottom"/>
            <w:tcBorders>
              <w:top w:val="single" w:sz="8" w:color="D2EEF5"/>
            </w:tcBorders>
            <w:shd w:val="clear" w:color="auto" w:fill="D2EEF5"/>
          </w:tcPr>
          <w:p>
            <w:pPr>
              <w:spacing w:after="0"/>
              <w:rPr>
                <w:sz w:val="4"/>
                <w:szCs w:val="4"/>
                <w:color w:val="auto"/>
              </w:rPr>
            </w:pPr>
          </w:p>
        </w:tc>
        <w:tc>
          <w:tcPr>
            <w:tcW w:w="20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D2EEF5"/>
            </w:tcBorders>
            <w:shd w:val="clear" w:color="auto" w:fill="D2EEF5"/>
          </w:tcPr>
          <w:p>
            <w:pPr>
              <w:spacing w:after="0"/>
              <w:rPr>
                <w:sz w:val="4"/>
                <w:szCs w:val="4"/>
                <w:color w:val="auto"/>
              </w:rPr>
            </w:pPr>
          </w:p>
        </w:tc>
        <w:tc>
          <w:tcPr>
            <w:tcW w:w="160" w:type="dxa"/>
            <w:vAlign w:val="bottom"/>
            <w:tcBorders>
              <w:top w:val="single" w:sz="8" w:color="D2EEF5"/>
            </w:tcBorders>
            <w:shd w:val="clear" w:color="auto" w:fill="D2EEF5"/>
          </w:tcPr>
          <w:p>
            <w:pPr>
              <w:spacing w:after="0"/>
              <w:rPr>
                <w:sz w:val="4"/>
                <w:szCs w:val="4"/>
                <w:color w:val="auto"/>
              </w:rPr>
            </w:pPr>
          </w:p>
        </w:tc>
      </w:tr>
      <w:tr>
        <w:trPr>
          <w:trHeight w:val="275"/>
        </w:trPr>
        <w:tc>
          <w:tcPr>
            <w:tcW w:w="6620" w:type="dxa"/>
            <w:vAlign w:val="bottom"/>
            <w:gridSpan w:val="9"/>
          </w:tcPr>
          <w:p>
            <w:pPr>
              <w:ind w:left="40"/>
              <w:spacing w:after="0"/>
              <w:rPr>
                <w:sz w:val="20"/>
                <w:szCs w:val="20"/>
                <w:color w:val="auto"/>
              </w:rPr>
            </w:pPr>
            <w:r>
              <w:rPr>
                <w:rFonts w:ascii="Arial" w:cs="Arial" w:eastAsia="Arial" w:hAnsi="Arial"/>
                <w:sz w:val="20"/>
                <w:szCs w:val="20"/>
                <w:b w:val="1"/>
                <w:bCs w:val="1"/>
                <w:color w:val="auto"/>
              </w:rPr>
              <w:t>Supplementary Data</w:t>
            </w:r>
          </w:p>
        </w:tc>
        <w:tc>
          <w:tcPr>
            <w:tcW w:w="3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18"/>
        </w:trPr>
        <w:tc>
          <w:tcPr>
            <w:tcW w:w="500" w:type="dxa"/>
            <w:vAlign w:val="bottom"/>
            <w:shd w:val="clear" w:color="auto" w:fill="D2EEF5"/>
          </w:tcPr>
          <w:p>
            <w:pPr>
              <w:spacing w:after="0"/>
              <w:rPr>
                <w:sz w:val="18"/>
                <w:szCs w:val="18"/>
                <w:color w:val="auto"/>
              </w:rPr>
            </w:pPr>
          </w:p>
        </w:tc>
        <w:tc>
          <w:tcPr>
            <w:tcW w:w="6120" w:type="dxa"/>
            <w:vAlign w:val="bottom"/>
            <w:gridSpan w:val="8"/>
            <w:shd w:val="clear" w:color="auto" w:fill="D2EEF5"/>
          </w:tcPr>
          <w:p>
            <w:pPr>
              <w:spacing w:after="0" w:line="218" w:lineRule="exact"/>
              <w:rPr>
                <w:sz w:val="20"/>
                <w:szCs w:val="20"/>
                <w:color w:val="auto"/>
              </w:rPr>
            </w:pPr>
            <w:r>
              <w:rPr>
                <w:rFonts w:ascii="Arial" w:cs="Arial" w:eastAsia="Arial" w:hAnsi="Arial"/>
                <w:sz w:val="20"/>
                <w:szCs w:val="20"/>
                <w:color w:val="1C2790"/>
              </w:rPr>
              <w:t>Schedule II – Valuation and Qualifying Accounts</w:t>
            </w:r>
          </w:p>
        </w:tc>
        <w:tc>
          <w:tcPr>
            <w:tcW w:w="3480" w:type="dxa"/>
            <w:vAlign w:val="bottom"/>
            <w:gridSpan w:val="4"/>
            <w:shd w:val="clear" w:color="auto" w:fill="D2EEF5"/>
          </w:tcPr>
          <w:p>
            <w:pPr>
              <w:jc w:val="center"/>
              <w:ind w:left="3080"/>
              <w:spacing w:after="0" w:line="218" w:lineRule="exact"/>
              <w:rPr>
                <w:sz w:val="20"/>
                <w:szCs w:val="20"/>
                <w:color w:val="auto"/>
              </w:rPr>
            </w:pPr>
            <w:r>
              <w:rPr>
                <w:rFonts w:ascii="Arial" w:cs="Arial" w:eastAsia="Arial" w:hAnsi="Arial"/>
                <w:sz w:val="20"/>
                <w:szCs w:val="20"/>
                <w:color w:val="1C2790"/>
                <w:w w:val="89"/>
              </w:rPr>
              <w:t>110</w:t>
            </w:r>
          </w:p>
        </w:tc>
        <w:tc>
          <w:tcPr>
            <w:tcW w:w="160" w:type="dxa"/>
            <w:vAlign w:val="bottom"/>
            <w:shd w:val="clear" w:color="auto" w:fill="D2EEF5"/>
          </w:tcPr>
          <w:p>
            <w:pPr>
              <w:spacing w:after="0"/>
              <w:rPr>
                <w:sz w:val="18"/>
                <w:szCs w:val="18"/>
                <w:color w:val="auto"/>
              </w:rPr>
            </w:pPr>
          </w:p>
        </w:tc>
      </w:tr>
      <w:tr>
        <w:trPr>
          <w:trHeight w:val="57"/>
        </w:trPr>
        <w:tc>
          <w:tcPr>
            <w:tcW w:w="500" w:type="dxa"/>
            <w:vAlign w:val="bottom"/>
            <w:tcBorders>
              <w:top w:val="single" w:sz="8" w:color="D2EEF5"/>
            </w:tcBorders>
            <w:shd w:val="clear" w:color="auto" w:fill="D2EEF5"/>
          </w:tcPr>
          <w:p>
            <w:pPr>
              <w:spacing w:after="0"/>
              <w:rPr>
                <w:sz w:val="4"/>
                <w:szCs w:val="4"/>
                <w:color w:val="auto"/>
              </w:rPr>
            </w:pPr>
          </w:p>
        </w:tc>
        <w:tc>
          <w:tcPr>
            <w:tcW w:w="20" w:type="dxa"/>
            <w:vAlign w:val="bottom"/>
            <w:tcBorders>
              <w:top w:val="single" w:sz="8" w:color="1C2790"/>
            </w:tcBorders>
            <w:shd w:val="clear" w:color="auto" w:fill="D2EEF5"/>
          </w:tcPr>
          <w:p>
            <w:pPr>
              <w:spacing w:after="0"/>
              <w:rPr>
                <w:sz w:val="4"/>
                <w:szCs w:val="4"/>
                <w:color w:val="auto"/>
              </w:rPr>
            </w:pPr>
          </w:p>
        </w:tc>
        <w:tc>
          <w:tcPr>
            <w:tcW w:w="2320" w:type="dxa"/>
            <w:vAlign w:val="bottom"/>
            <w:tcBorders>
              <w:top w:val="single" w:sz="8" w:color="1C2790"/>
            </w:tcBorders>
            <w:shd w:val="clear" w:color="auto" w:fill="D2EEF5"/>
          </w:tcPr>
          <w:p>
            <w:pPr>
              <w:spacing w:after="0"/>
              <w:rPr>
                <w:sz w:val="4"/>
                <w:szCs w:val="4"/>
                <w:color w:val="auto"/>
              </w:rPr>
            </w:pPr>
          </w:p>
        </w:tc>
        <w:tc>
          <w:tcPr>
            <w:tcW w:w="460" w:type="dxa"/>
            <w:vAlign w:val="bottom"/>
            <w:tcBorders>
              <w:top w:val="single" w:sz="8" w:color="1C2790"/>
            </w:tcBorders>
            <w:shd w:val="clear" w:color="auto" w:fill="D2EEF5"/>
          </w:tcPr>
          <w:p>
            <w:pPr>
              <w:spacing w:after="0"/>
              <w:rPr>
                <w:sz w:val="4"/>
                <w:szCs w:val="4"/>
                <w:color w:val="auto"/>
              </w:rPr>
            </w:pPr>
          </w:p>
        </w:tc>
        <w:tc>
          <w:tcPr>
            <w:tcW w:w="400" w:type="dxa"/>
            <w:vAlign w:val="bottom"/>
            <w:tcBorders>
              <w:top w:val="single" w:sz="8" w:color="1C2790"/>
            </w:tcBorders>
            <w:shd w:val="clear" w:color="auto" w:fill="D2EEF5"/>
          </w:tcPr>
          <w:p>
            <w:pPr>
              <w:spacing w:after="0"/>
              <w:rPr>
                <w:sz w:val="4"/>
                <w:szCs w:val="4"/>
                <w:color w:val="auto"/>
              </w:rPr>
            </w:pPr>
          </w:p>
        </w:tc>
        <w:tc>
          <w:tcPr>
            <w:tcW w:w="320" w:type="dxa"/>
            <w:vAlign w:val="bottom"/>
            <w:tcBorders>
              <w:top w:val="single" w:sz="8" w:color="1C2790"/>
            </w:tcBorders>
            <w:shd w:val="clear" w:color="auto" w:fill="D2EEF5"/>
          </w:tcPr>
          <w:p>
            <w:pPr>
              <w:spacing w:after="0"/>
              <w:rPr>
                <w:sz w:val="4"/>
                <w:szCs w:val="4"/>
                <w:color w:val="auto"/>
              </w:rPr>
            </w:pPr>
          </w:p>
        </w:tc>
        <w:tc>
          <w:tcPr>
            <w:tcW w:w="440" w:type="dxa"/>
            <w:vAlign w:val="bottom"/>
            <w:tcBorders>
              <w:top w:val="single" w:sz="8" w:color="1C2790"/>
            </w:tcBorders>
            <w:shd w:val="clear" w:color="auto" w:fill="D2EEF5"/>
          </w:tcPr>
          <w:p>
            <w:pPr>
              <w:spacing w:after="0"/>
              <w:rPr>
                <w:sz w:val="4"/>
                <w:szCs w:val="4"/>
                <w:color w:val="auto"/>
              </w:rPr>
            </w:pPr>
          </w:p>
        </w:tc>
        <w:tc>
          <w:tcPr>
            <w:tcW w:w="2000" w:type="dxa"/>
            <w:vAlign w:val="bottom"/>
            <w:tcBorders>
              <w:top w:val="single" w:sz="8" w:color="D2EEF5"/>
            </w:tcBorders>
            <w:shd w:val="clear" w:color="auto" w:fill="D2EEF5"/>
          </w:tcPr>
          <w:p>
            <w:pPr>
              <w:spacing w:after="0"/>
              <w:rPr>
                <w:sz w:val="4"/>
                <w:szCs w:val="4"/>
                <w:color w:val="auto"/>
              </w:rPr>
            </w:pPr>
          </w:p>
        </w:tc>
        <w:tc>
          <w:tcPr>
            <w:tcW w:w="160" w:type="dxa"/>
            <w:vAlign w:val="bottom"/>
            <w:tcBorders>
              <w:top w:val="single" w:sz="8" w:color="D2EEF5"/>
            </w:tcBorders>
            <w:shd w:val="clear" w:color="auto" w:fill="D2EEF5"/>
          </w:tcPr>
          <w:p>
            <w:pPr>
              <w:spacing w:after="0"/>
              <w:rPr>
                <w:sz w:val="4"/>
                <w:szCs w:val="4"/>
                <w:color w:val="auto"/>
              </w:rPr>
            </w:pPr>
          </w:p>
        </w:tc>
        <w:tc>
          <w:tcPr>
            <w:tcW w:w="3180" w:type="dxa"/>
            <w:vAlign w:val="bottom"/>
            <w:tcBorders>
              <w:top w:val="single" w:sz="8" w:color="D2EEF5"/>
            </w:tcBorders>
            <w:shd w:val="clear" w:color="auto" w:fill="D2EEF5"/>
          </w:tcPr>
          <w:p>
            <w:pPr>
              <w:spacing w:after="0"/>
              <w:rPr>
                <w:sz w:val="4"/>
                <w:szCs w:val="4"/>
                <w:color w:val="auto"/>
              </w:rPr>
            </w:pPr>
          </w:p>
        </w:tc>
        <w:tc>
          <w:tcPr>
            <w:tcW w:w="60" w:type="dxa"/>
            <w:vAlign w:val="bottom"/>
            <w:tcBorders>
              <w:top w:val="single" w:sz="8" w:color="1C2790"/>
            </w:tcBorders>
            <w:shd w:val="clear" w:color="auto" w:fill="D2EEF5"/>
          </w:tcPr>
          <w:p>
            <w:pPr>
              <w:spacing w:after="0"/>
              <w:rPr>
                <w:sz w:val="4"/>
                <w:szCs w:val="4"/>
                <w:color w:val="auto"/>
              </w:rPr>
            </w:pPr>
          </w:p>
        </w:tc>
        <w:tc>
          <w:tcPr>
            <w:tcW w:w="200" w:type="dxa"/>
            <w:vAlign w:val="bottom"/>
            <w:tcBorders>
              <w:top w:val="single" w:sz="8" w:color="1C2790"/>
            </w:tcBorders>
            <w:shd w:val="clear" w:color="auto" w:fill="D2EEF5"/>
          </w:tcPr>
          <w:p>
            <w:pPr>
              <w:spacing w:after="0"/>
              <w:rPr>
                <w:sz w:val="4"/>
                <w:szCs w:val="4"/>
                <w:color w:val="auto"/>
              </w:rPr>
            </w:pPr>
          </w:p>
        </w:tc>
        <w:tc>
          <w:tcPr>
            <w:tcW w:w="40" w:type="dxa"/>
            <w:vAlign w:val="bottom"/>
            <w:tcBorders>
              <w:top w:val="single" w:sz="8" w:color="1C2790"/>
            </w:tcBorders>
            <w:shd w:val="clear" w:color="auto" w:fill="D2EEF5"/>
          </w:tcPr>
          <w:p>
            <w:pPr>
              <w:spacing w:after="0"/>
              <w:rPr>
                <w:sz w:val="4"/>
                <w:szCs w:val="4"/>
                <w:color w:val="auto"/>
              </w:rPr>
            </w:pPr>
          </w:p>
        </w:tc>
        <w:tc>
          <w:tcPr>
            <w:tcW w:w="160" w:type="dxa"/>
            <w:vAlign w:val="bottom"/>
            <w:tcBorders>
              <w:top w:val="single" w:sz="8" w:color="D2EEF5"/>
            </w:tcBorders>
            <w:shd w:val="clear" w:color="auto" w:fill="D2EEF5"/>
          </w:tcPr>
          <w:p>
            <w:pPr>
              <w:spacing w:after="0"/>
              <w:rPr>
                <w:sz w:val="4"/>
                <w:szCs w:val="4"/>
                <w:color w:val="auto"/>
              </w:rPr>
            </w:pPr>
          </w:p>
        </w:tc>
      </w:tr>
    </w:tbl>
    <w:p>
      <w:pPr>
        <w:spacing w:after="0" w:line="200" w:lineRule="exact"/>
        <w:rPr>
          <w:sz w:val="20"/>
          <w:szCs w:val="20"/>
          <w:color w:val="auto"/>
        </w:rPr>
      </w:pPr>
    </w:p>
    <w:p>
      <w:pPr>
        <w:sectPr>
          <w:pgSz w:w="11880" w:h="15480" w:orient="portrait"/>
          <w:cols w:equalWidth="0" w:num="1">
            <w:col w:w="10260"/>
          </w:cols>
          <w:pgMar w:left="820" w:top="40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10260"/>
          </w:cols>
          <w:pgMar w:left="820" w:top="405" w:right="800" w:bottom="0" w:gutter="0" w:footer="0" w:header="0"/>
          <w:type w:val="continuous"/>
        </w:sectPr>
      </w:pPr>
    </w:p>
    <w:bookmarkStart w:id="71" w:name="page72"/>
    <w:bookmarkEnd w:id="71"/>
    <w:p>
      <w:pPr>
        <w:ind w:right="3420"/>
        <w:spacing w:after="0" w:line="415"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Stockholders and the Board of Directors of Sotera Health Company</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52" w:lineRule="exact"/>
        <w:rPr>
          <w:sz w:val="20"/>
          <w:szCs w:val="20"/>
          <w:color w:val="auto"/>
        </w:rPr>
      </w:pPr>
    </w:p>
    <w:p>
      <w:pPr>
        <w:jc w:val="both"/>
        <w:ind w:right="20"/>
        <w:spacing w:after="0" w:line="253" w:lineRule="auto"/>
        <w:rPr>
          <w:sz w:val="20"/>
          <w:szCs w:val="20"/>
          <w:color w:val="auto"/>
        </w:rPr>
      </w:pPr>
      <w:r>
        <w:rPr>
          <w:rFonts w:ascii="Arial" w:cs="Arial" w:eastAsia="Arial" w:hAnsi="Arial"/>
          <w:sz w:val="19"/>
          <w:szCs w:val="19"/>
          <w:color w:val="auto"/>
        </w:rPr>
        <w:t>We have audited the accompanying consolidated balance sheets of Sotera Health Company (the Company) as of December 31, 2025 and 2024, the related consolidated statements of operations and comprehensive income (loss), equity and cash flows for each of the three years in the period ended December 31, 2025,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0"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24, 2026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25"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97"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auto"/>
        </w:rPr>
        <w:t>Valuation of Goodwill</w:t>
      </w:r>
    </w:p>
    <w:p>
      <w:pPr>
        <w:spacing w:after="0" w:line="209" w:lineRule="exact"/>
        <w:rPr>
          <w:sz w:val="20"/>
          <w:szCs w:val="20"/>
          <w:color w:val="auto"/>
        </w:rPr>
      </w:pPr>
    </w:p>
    <w:p>
      <w:pPr>
        <w:jc w:val="both"/>
        <w:ind w:left="2660" w:right="60" w:hanging="2624"/>
        <w:spacing w:after="0" w:line="255" w:lineRule="auto"/>
        <w:tabs>
          <w:tab w:leader="none" w:pos="2640" w:val="left"/>
        </w:tabs>
        <w:rPr>
          <w:sz w:val="20"/>
          <w:szCs w:val="20"/>
          <w:color w:val="auto"/>
        </w:rPr>
      </w:pPr>
      <w:r>
        <w:rPr>
          <w:rFonts w:ascii="Arial" w:cs="Arial" w:eastAsia="Arial" w:hAnsi="Arial"/>
          <w:sz w:val="20"/>
          <w:szCs w:val="20"/>
          <w:b w:val="1"/>
          <w:bCs w:val="1"/>
          <w:i w:val="1"/>
          <w:iCs w:val="1"/>
          <w:color w:val="auto"/>
        </w:rPr>
        <w:t>Description of the Matter</w:t>
      </w:r>
      <w:r>
        <w:rPr>
          <w:sz w:val="20"/>
          <w:szCs w:val="20"/>
          <w:color w:val="auto"/>
        </w:rPr>
        <w:tab/>
      </w:r>
      <w:r>
        <w:rPr>
          <w:rFonts w:ascii="Arial" w:cs="Arial" w:eastAsia="Arial" w:hAnsi="Arial"/>
          <w:sz w:val="20"/>
          <w:szCs w:val="20"/>
          <w:color w:val="auto"/>
        </w:rPr>
        <w:t>As disclosed in Note 7 to the consolidated financial statements, at December 31, 2025, the Company reported $1.1 billion of goodwill. As explained in Note 1 to the consolidated financial statements, goodwill is tested for impairment annually as of October 1. Management performed a quantitative impairment assessment for its annual evaluation of the reporting units in 2025. As part of the quantitative impairment test, management estimated the fair value of the reporting units using the discounted cash flow method, a form of the income approach.</w:t>
      </w:r>
    </w:p>
    <w:p>
      <w:pPr>
        <w:spacing w:after="0" w:line="173" w:lineRule="exact"/>
        <w:rPr>
          <w:sz w:val="20"/>
          <w:szCs w:val="20"/>
          <w:color w:val="auto"/>
        </w:rPr>
      </w:pPr>
    </w:p>
    <w:p>
      <w:pPr>
        <w:jc w:val="both"/>
        <w:ind w:left="2660" w:right="60"/>
        <w:spacing w:after="0" w:line="294" w:lineRule="auto"/>
        <w:rPr>
          <w:sz w:val="20"/>
          <w:szCs w:val="20"/>
          <w:color w:val="auto"/>
        </w:rPr>
      </w:pPr>
      <w:r>
        <w:rPr>
          <w:rFonts w:ascii="Arial" w:cs="Arial" w:eastAsia="Arial" w:hAnsi="Arial"/>
          <w:sz w:val="18"/>
          <w:szCs w:val="18"/>
          <w:color w:val="auto"/>
        </w:rPr>
        <w:t>The determination of the fair value of the reporting units is based on the use of the valuation methodology selected by management, which requires auditor judgment due to the consideration of various assumptions that could impact the valuation. Auditing the valuation methodology, including consideration of the underlying assumptions, involved extensive audit effort and required audit professionals with appropriate industry experience.</w:t>
      </w:r>
    </w:p>
    <w:p>
      <w:pPr>
        <w:sectPr>
          <w:pgSz w:w="11880" w:h="15480" w:orient="portrait"/>
          <w:cols w:equalWidth="0" w:num="1">
            <w:col w:w="10260"/>
          </w:cols>
          <w:pgMar w:left="820" w:top="40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0260"/>
          </w:cols>
          <w:pgMar w:left="820" w:top="405" w:right="800" w:bottom="0" w:gutter="0" w:footer="0" w:header="0"/>
          <w:type w:val="continuous"/>
        </w:sectPr>
      </w:pPr>
    </w:p>
    <w:bookmarkStart w:id="72" w:name="page73"/>
    <w:bookmarkEnd w:id="72"/>
    <w:p>
      <w:pPr>
        <w:ind w:left="40"/>
        <w:spacing w:after="0"/>
        <w:tabs>
          <w:tab w:leader="none" w:pos="2640" w:val="left"/>
        </w:tabs>
        <w:rPr>
          <w:sz w:val="20"/>
          <w:szCs w:val="20"/>
          <w:color w:val="auto"/>
        </w:rPr>
      </w:pPr>
      <w:r>
        <w:rPr>
          <w:rFonts w:ascii="Arial" w:cs="Arial" w:eastAsia="Arial" w:hAnsi="Arial"/>
          <w:sz w:val="20"/>
          <w:szCs w:val="20"/>
          <w:b w:val="1"/>
          <w:bCs w:val="1"/>
          <w:i w:val="1"/>
          <w:iCs w:val="1"/>
          <w:color w:val="auto"/>
        </w:rPr>
        <w:t>How We Addressed the Matter</w:t>
      </w:r>
      <w:r>
        <w:rPr>
          <w:sz w:val="20"/>
          <w:szCs w:val="20"/>
          <w:color w:val="auto"/>
        </w:rPr>
        <w:tab/>
      </w:r>
      <w:r>
        <w:rPr>
          <w:rFonts w:ascii="Arial" w:cs="Arial" w:eastAsia="Arial" w:hAnsi="Arial"/>
          <w:sz w:val="18"/>
          <w:szCs w:val="18"/>
          <w:color w:val="auto"/>
        </w:rPr>
        <w:t>We obtained an understanding, evaluated the design and tested the operating effectiveness of</w:t>
      </w:r>
    </w:p>
    <w:p>
      <w:pPr>
        <w:ind w:left="40"/>
        <w:spacing w:after="0"/>
        <w:tabs>
          <w:tab w:leader="none" w:pos="2640" w:val="left"/>
        </w:tabs>
        <w:rPr>
          <w:sz w:val="20"/>
          <w:szCs w:val="20"/>
          <w:color w:val="auto"/>
        </w:rPr>
      </w:pPr>
      <w:r>
        <w:rPr>
          <w:rFonts w:ascii="Arial" w:cs="Arial" w:eastAsia="Arial" w:hAnsi="Arial"/>
          <w:sz w:val="20"/>
          <w:szCs w:val="20"/>
          <w:b w:val="1"/>
          <w:bCs w:val="1"/>
          <w:i w:val="1"/>
          <w:iCs w:val="1"/>
          <w:color w:val="auto"/>
        </w:rPr>
        <w:t>in Our Audit</w:t>
      </w:r>
      <w:r>
        <w:rPr>
          <w:sz w:val="20"/>
          <w:szCs w:val="20"/>
          <w:color w:val="auto"/>
        </w:rPr>
        <w:tab/>
      </w:r>
      <w:r>
        <w:rPr>
          <w:rFonts w:ascii="Arial" w:cs="Arial" w:eastAsia="Arial" w:hAnsi="Arial"/>
          <w:sz w:val="18"/>
          <w:szCs w:val="18"/>
          <w:color w:val="auto"/>
        </w:rPr>
        <w:t>controls over the Company’s goodwill impairment evaluation process.</w:t>
      </w:r>
    </w:p>
    <w:p>
      <w:pPr>
        <w:spacing w:after="0" w:line="229" w:lineRule="exact"/>
        <w:rPr>
          <w:sz w:val="20"/>
          <w:szCs w:val="20"/>
          <w:color w:val="auto"/>
        </w:rPr>
      </w:pPr>
    </w:p>
    <w:p>
      <w:pPr>
        <w:jc w:val="both"/>
        <w:ind w:left="2660"/>
        <w:spacing w:after="0" w:line="287" w:lineRule="auto"/>
        <w:rPr>
          <w:sz w:val="20"/>
          <w:szCs w:val="20"/>
          <w:color w:val="auto"/>
        </w:rPr>
      </w:pPr>
      <w:r>
        <w:rPr>
          <w:rFonts w:ascii="Arial" w:cs="Arial" w:eastAsia="Arial" w:hAnsi="Arial"/>
          <w:sz w:val="19"/>
          <w:szCs w:val="19"/>
          <w:color w:val="auto"/>
        </w:rPr>
        <w:t>Our audit procedures to test management’s annual impairment evaluation of the reporting units included, among others, assessing the valuation methodology, assessing the historical accuracy of management’s estimates and performing sensitivity analyses.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2019.</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Cleveland, Ohio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2026</w:t>
      </w:r>
    </w:p>
    <w:p>
      <w:pPr>
        <w:sectPr>
          <w:pgSz w:w="11880" w:h="15480" w:orient="portrait"/>
          <w:cols w:equalWidth="0" w:num="1">
            <w:col w:w="10200"/>
          </w:cols>
          <w:pgMar w:left="820" w:top="45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10200"/>
          </w:cols>
          <w:pgMar w:left="820" w:top="456" w:right="860" w:bottom="0" w:gutter="0" w:footer="0" w:header="0"/>
          <w:type w:val="continuous"/>
        </w:sectPr>
      </w:pPr>
    </w:p>
    <w:bookmarkStart w:id="73" w:name="page74"/>
    <w:bookmarkEnd w:id="73"/>
    <w:p>
      <w:pPr>
        <w:ind w:left="4080"/>
        <w:spacing w:after="0"/>
        <w:rPr>
          <w:sz w:val="20"/>
          <w:szCs w:val="20"/>
          <w:color w:val="auto"/>
        </w:rPr>
      </w:pPr>
      <w:r>
        <w:rPr>
          <w:rFonts w:ascii="Arial" w:cs="Arial" w:eastAsia="Arial" w:hAnsi="Arial"/>
          <w:sz w:val="20"/>
          <w:szCs w:val="20"/>
          <w:b w:val="1"/>
          <w:bCs w:val="1"/>
          <w:color w:val="auto"/>
        </w:rPr>
        <w:t>Sotera Health Company</w:t>
      </w:r>
    </w:p>
    <w:p>
      <w:pPr>
        <w:spacing w:after="0" w:line="13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 except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46"/>
        </w:trPr>
        <w:tc>
          <w:tcPr>
            <w:tcW w:w="7740" w:type="dxa"/>
            <w:vAlign w:val="bottom"/>
            <w:tcBorders>
              <w:bottom w:val="single" w:sz="8" w:color="D2EEF5"/>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D2EEF5"/>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D2EEF5"/>
            </w:tcBorders>
            <w:shd w:val="clear" w:color="auto" w:fill="D2EEF5"/>
          </w:tcPr>
          <w:p>
            <w:pPr>
              <w:spacing w:after="0"/>
              <w:rPr>
                <w:sz w:val="18"/>
                <w:szCs w:val="18"/>
                <w:color w:val="auto"/>
              </w:rPr>
            </w:pPr>
          </w:p>
        </w:tc>
        <w:tc>
          <w:tcPr>
            <w:tcW w:w="920" w:type="dxa"/>
            <w:vAlign w:val="bottom"/>
            <w:tcBorders>
              <w:bottom w:val="single" w:sz="8" w:color="D2EEF5"/>
            </w:tcBorders>
            <w:shd w:val="clear" w:color="auto" w:fill="D2EEF5"/>
          </w:tcPr>
          <w:p>
            <w:pPr>
              <w:spacing w:after="0"/>
              <w:rPr>
                <w:sz w:val="18"/>
                <w:szCs w:val="18"/>
                <w:color w:val="auto"/>
              </w:rPr>
            </w:pPr>
          </w:p>
        </w:tc>
        <w:tc>
          <w:tcPr>
            <w:tcW w:w="120" w:type="dxa"/>
            <w:vAlign w:val="bottom"/>
            <w:tcBorders>
              <w:bottom w:val="single" w:sz="8" w:color="D2EEF5"/>
            </w:tcBorders>
            <w:shd w:val="clear" w:color="auto" w:fill="D2EEF5"/>
          </w:tcPr>
          <w:p>
            <w:pPr>
              <w:spacing w:after="0"/>
              <w:rPr>
                <w:sz w:val="18"/>
                <w:szCs w:val="18"/>
                <w:color w:val="auto"/>
              </w:rPr>
            </w:pPr>
          </w:p>
        </w:tc>
        <w:tc>
          <w:tcPr>
            <w:tcW w:w="280" w:type="dxa"/>
            <w:vAlign w:val="bottom"/>
            <w:tcBorders>
              <w:bottom w:val="single" w:sz="8" w:color="D2EEF5"/>
            </w:tcBorders>
            <w:shd w:val="clear" w:color="auto" w:fill="D2EEF5"/>
          </w:tcPr>
          <w:p>
            <w:pPr>
              <w:spacing w:after="0"/>
              <w:rPr>
                <w:sz w:val="18"/>
                <w:szCs w:val="18"/>
                <w:color w:val="auto"/>
              </w:rPr>
            </w:pPr>
          </w:p>
        </w:tc>
        <w:tc>
          <w:tcPr>
            <w:tcW w:w="920" w:type="dxa"/>
            <w:vAlign w:val="bottom"/>
            <w:tcBorders>
              <w:bottom w:val="single" w:sz="8" w:color="D2EEF5"/>
            </w:tcBorders>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D2EEF5"/>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344,621</w:t>
            </w:r>
          </w:p>
        </w:tc>
        <w:tc>
          <w:tcPr>
            <w:tcW w:w="400" w:type="dxa"/>
            <w:vAlign w:val="bottom"/>
            <w:gridSpan w:val="2"/>
            <w:shd w:val="clear" w:color="auto" w:fill="D2EEF5"/>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277,242</w:t>
            </w:r>
          </w:p>
        </w:tc>
        <w:tc>
          <w:tcPr>
            <w:tcW w:w="0" w:type="dxa"/>
            <w:vAlign w:val="bottom"/>
          </w:tcPr>
          <w:p>
            <w:pPr>
              <w:spacing w:after="0"/>
              <w:rPr>
                <w:sz w:val="1"/>
                <w:szCs w:val="1"/>
                <w:color w:val="auto"/>
              </w:rPr>
            </w:pPr>
          </w:p>
        </w:tc>
      </w:tr>
      <w:tr>
        <w:trPr>
          <w:trHeight w:val="232"/>
        </w:trPr>
        <w:tc>
          <w:tcPr>
            <w:tcW w:w="7740" w:type="dxa"/>
            <w:vAlign w:val="bottom"/>
          </w:tcPr>
          <w:p>
            <w:pPr>
              <w:ind w:left="400"/>
              <w:spacing w:after="0"/>
              <w:rPr>
                <w:sz w:val="20"/>
                <w:szCs w:val="20"/>
                <w:color w:val="auto"/>
              </w:rPr>
            </w:pPr>
            <w:r>
              <w:rPr>
                <w:rFonts w:ascii="Arial" w:cs="Arial" w:eastAsia="Arial" w:hAnsi="Arial"/>
                <w:sz w:val="16"/>
                <w:szCs w:val="16"/>
                <w:color w:val="auto"/>
              </w:rPr>
              <w:t>Restricted cash short-term</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1,835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159"/>
        </w:trPr>
        <w:tc>
          <w:tcPr>
            <w:tcW w:w="7740" w:type="dxa"/>
            <w:vAlign w:val="bottom"/>
            <w:shd w:val="clear" w:color="auto" w:fill="D2EEF5"/>
          </w:tcPr>
          <w:p>
            <w:pPr>
              <w:ind w:left="400"/>
              <w:spacing w:after="0" w:line="159" w:lineRule="exact"/>
              <w:rPr>
                <w:sz w:val="20"/>
                <w:szCs w:val="20"/>
                <w:color w:val="auto"/>
              </w:rPr>
            </w:pPr>
            <w:r>
              <w:rPr>
                <w:rFonts w:ascii="Arial" w:cs="Arial" w:eastAsia="Arial" w:hAnsi="Arial"/>
                <w:sz w:val="16"/>
                <w:szCs w:val="16"/>
                <w:color w:val="auto"/>
                <w:w w:val="92"/>
              </w:rPr>
              <w:t>Accounts receivable, net of allowance for uncollectible accounts of $2,968 and $2,532 as of December 31, 2025</w:t>
            </w:r>
          </w:p>
        </w:tc>
        <w:tc>
          <w:tcPr>
            <w:tcW w:w="280" w:type="dxa"/>
            <w:vAlign w:val="bottom"/>
            <w:shd w:val="clear" w:color="auto" w:fill="D2EEF5"/>
          </w:tcPr>
          <w:p>
            <w:pPr>
              <w:spacing w:after="0"/>
              <w:rPr>
                <w:sz w:val="13"/>
                <w:szCs w:val="13"/>
                <w:color w:val="auto"/>
              </w:rPr>
            </w:pPr>
          </w:p>
        </w:tc>
        <w:tc>
          <w:tcPr>
            <w:tcW w:w="920" w:type="dxa"/>
            <w:vAlign w:val="bottom"/>
            <w:vMerge w:val="restart"/>
            <w:shd w:val="clear" w:color="auto" w:fill="D2EEF5"/>
          </w:tcPr>
          <w:p>
            <w:pPr>
              <w:jc w:val="right"/>
              <w:spacing w:after="0"/>
              <w:rPr>
                <w:sz w:val="20"/>
                <w:szCs w:val="20"/>
                <w:color w:val="auto"/>
              </w:rPr>
            </w:pPr>
            <w:r>
              <w:rPr>
                <w:rFonts w:ascii="Arial" w:cs="Arial" w:eastAsia="Arial" w:hAnsi="Arial"/>
                <w:sz w:val="16"/>
                <w:szCs w:val="16"/>
                <w:b w:val="1"/>
                <w:bCs w:val="1"/>
                <w:color w:val="auto"/>
              </w:rPr>
              <w:t>139,329</w:t>
            </w:r>
          </w:p>
        </w:tc>
        <w:tc>
          <w:tcPr>
            <w:tcW w:w="120" w:type="dxa"/>
            <w:vAlign w:val="bottom"/>
            <w:shd w:val="clear" w:color="auto" w:fill="D2EEF5"/>
          </w:tcPr>
          <w:p>
            <w:pPr>
              <w:spacing w:after="0"/>
              <w:rPr>
                <w:sz w:val="13"/>
                <w:szCs w:val="13"/>
                <w:color w:val="auto"/>
              </w:rPr>
            </w:pPr>
          </w:p>
        </w:tc>
        <w:tc>
          <w:tcPr>
            <w:tcW w:w="280" w:type="dxa"/>
            <w:vAlign w:val="bottom"/>
            <w:shd w:val="clear" w:color="auto" w:fill="D2EEF5"/>
          </w:tcPr>
          <w:p>
            <w:pPr>
              <w:spacing w:after="0"/>
              <w:rPr>
                <w:sz w:val="13"/>
                <w:szCs w:val="13"/>
                <w:color w:val="auto"/>
              </w:rPr>
            </w:pPr>
          </w:p>
        </w:tc>
        <w:tc>
          <w:tcPr>
            <w:tcW w:w="920" w:type="dxa"/>
            <w:vAlign w:val="bottom"/>
            <w:vMerge w:val="restart"/>
            <w:shd w:val="clear" w:color="auto" w:fill="D2EEF5"/>
          </w:tcPr>
          <w:p>
            <w:pPr>
              <w:jc w:val="right"/>
              <w:spacing w:after="0"/>
              <w:rPr>
                <w:sz w:val="20"/>
                <w:szCs w:val="20"/>
                <w:color w:val="auto"/>
              </w:rPr>
            </w:pPr>
            <w:r>
              <w:rPr>
                <w:rFonts w:ascii="Arial" w:cs="Arial" w:eastAsia="Arial" w:hAnsi="Arial"/>
                <w:sz w:val="16"/>
                <w:szCs w:val="16"/>
                <w:color w:val="auto"/>
              </w:rPr>
              <w:t>140,327</w:t>
            </w:r>
          </w:p>
        </w:tc>
        <w:tc>
          <w:tcPr>
            <w:tcW w:w="0" w:type="dxa"/>
            <w:vAlign w:val="bottom"/>
          </w:tcPr>
          <w:p>
            <w:pPr>
              <w:spacing w:after="0"/>
              <w:rPr>
                <w:sz w:val="1"/>
                <w:szCs w:val="1"/>
                <w:color w:val="auto"/>
              </w:rPr>
            </w:pPr>
          </w:p>
        </w:tc>
      </w:tr>
      <w:tr>
        <w:trPr>
          <w:trHeight w:val="225"/>
        </w:trPr>
        <w:tc>
          <w:tcPr>
            <w:tcW w:w="7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and 2024, respectively</w:t>
            </w:r>
          </w:p>
        </w:tc>
        <w:tc>
          <w:tcPr>
            <w:tcW w:w="280" w:type="dxa"/>
            <w:vAlign w:val="bottom"/>
            <w:shd w:val="clear" w:color="auto" w:fill="D2EEF5"/>
          </w:tcPr>
          <w:p>
            <w:pPr>
              <w:spacing w:after="0"/>
              <w:rPr>
                <w:sz w:val="19"/>
                <w:szCs w:val="19"/>
                <w:color w:val="auto"/>
              </w:rPr>
            </w:pPr>
          </w:p>
        </w:tc>
        <w:tc>
          <w:tcPr>
            <w:tcW w:w="920" w:type="dxa"/>
            <w:vAlign w:val="bottom"/>
            <w:vMerge w:val="continue"/>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920" w:type="dxa"/>
            <w:vAlign w:val="bottom"/>
            <w:vMerge w:val="continue"/>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40" w:type="dxa"/>
            <w:vAlign w:val="bottom"/>
          </w:tcPr>
          <w:p>
            <w:pPr>
              <w:ind w:left="40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54,375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49,158</w:t>
            </w:r>
          </w:p>
        </w:tc>
        <w:tc>
          <w:tcPr>
            <w:tcW w:w="0" w:type="dxa"/>
            <w:vAlign w:val="bottom"/>
          </w:tcPr>
          <w:p>
            <w:pPr>
              <w:spacing w:after="0"/>
              <w:rPr>
                <w:sz w:val="1"/>
                <w:szCs w:val="1"/>
                <w:color w:val="auto"/>
              </w:rPr>
            </w:pPr>
          </w:p>
        </w:tc>
      </w:tr>
      <w:tr>
        <w:trPr>
          <w:trHeight w:val="248"/>
        </w:trPr>
        <w:tc>
          <w:tcPr>
            <w:tcW w:w="7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65,250</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51,031</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D2EEF5"/>
            </w:tcBorders>
          </w:tcPr>
          <w:p>
            <w:pPr>
              <w:ind w:left="400"/>
              <w:spacing w:after="0"/>
              <w:rPr>
                <w:sz w:val="20"/>
                <w:szCs w:val="20"/>
                <w:color w:val="auto"/>
              </w:rPr>
            </w:pPr>
            <w:r>
              <w:rPr>
                <w:rFonts w:ascii="Arial" w:cs="Arial" w:eastAsia="Arial" w:hAnsi="Arial"/>
                <w:sz w:val="16"/>
                <w:szCs w:val="16"/>
                <w:color w:val="auto"/>
              </w:rPr>
              <w:t>Income taxes receivable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8,000</w:t>
            </w:r>
          </w:p>
        </w:tc>
        <w:tc>
          <w:tcPr>
            <w:tcW w:w="120" w:type="dxa"/>
            <w:vAlign w:val="bottom"/>
            <w:tcBorders>
              <w:bottom w:val="single" w:sz="8" w:color="D2EEF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6,656</w:t>
            </w:r>
          </w:p>
        </w:tc>
        <w:tc>
          <w:tcPr>
            <w:tcW w:w="0" w:type="dxa"/>
            <w:vAlign w:val="bottom"/>
          </w:tcPr>
          <w:p>
            <w:pPr>
              <w:spacing w:after="0"/>
              <w:rPr>
                <w:sz w:val="1"/>
                <w:szCs w:val="1"/>
                <w:color w:val="auto"/>
              </w:rPr>
            </w:pPr>
          </w:p>
        </w:tc>
      </w:tr>
      <w:tr>
        <w:trPr>
          <w:trHeight w:val="230"/>
        </w:trPr>
        <w:tc>
          <w:tcPr>
            <w:tcW w:w="7740" w:type="dxa"/>
            <w:vAlign w:val="bottom"/>
            <w:shd w:val="clear" w:color="auto" w:fill="D2EEF5"/>
          </w:tcPr>
          <w:p>
            <w:pPr>
              <w:ind w:left="4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613,410</w:t>
            </w:r>
          </w:p>
        </w:tc>
        <w:tc>
          <w:tcPr>
            <w:tcW w:w="12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526,037</w:t>
            </w:r>
          </w:p>
        </w:tc>
        <w:tc>
          <w:tcPr>
            <w:tcW w:w="0" w:type="dxa"/>
            <w:vAlign w:val="bottom"/>
          </w:tcPr>
          <w:p>
            <w:pPr>
              <w:spacing w:after="0"/>
              <w:rPr>
                <w:sz w:val="1"/>
                <w:szCs w:val="1"/>
                <w:color w:val="auto"/>
              </w:rPr>
            </w:pPr>
          </w:p>
        </w:tc>
      </w:tr>
      <w:tr>
        <w:trPr>
          <w:trHeight w:val="232"/>
        </w:trPr>
        <w:tc>
          <w:tcPr>
            <w:tcW w:w="7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1,130,564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1,036,892</w:t>
            </w:r>
          </w:p>
        </w:tc>
        <w:tc>
          <w:tcPr>
            <w:tcW w:w="0" w:type="dxa"/>
            <w:vAlign w:val="bottom"/>
          </w:tcPr>
          <w:p>
            <w:pPr>
              <w:spacing w:after="0"/>
              <w:rPr>
                <w:sz w:val="1"/>
                <w:szCs w:val="1"/>
                <w:color w:val="auto"/>
              </w:rPr>
            </w:pPr>
          </w:p>
        </w:tc>
      </w:tr>
      <w:tr>
        <w:trPr>
          <w:trHeight w:val="248"/>
        </w:trPr>
        <w:tc>
          <w:tcPr>
            <w:tcW w:w="7740" w:type="dxa"/>
            <w:vAlign w:val="bottom"/>
            <w:shd w:val="clear" w:color="auto" w:fill="D2EEF5"/>
          </w:tcPr>
          <w:p>
            <w:pPr>
              <w:ind w:left="40"/>
              <w:spacing w:after="0"/>
              <w:rPr>
                <w:sz w:val="20"/>
                <w:szCs w:val="20"/>
                <w:color w:val="auto"/>
              </w:rPr>
            </w:pPr>
            <w:r>
              <w:rPr>
                <w:rFonts w:ascii="Arial" w:cs="Arial" w:eastAsia="Arial" w:hAnsi="Arial"/>
                <w:sz w:val="16"/>
                <w:szCs w:val="16"/>
                <w:color w:val="auto"/>
              </w:rPr>
              <w:t>Operating lease assets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33,393</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27,551</w:t>
            </w:r>
          </w:p>
        </w:tc>
        <w:tc>
          <w:tcPr>
            <w:tcW w:w="0" w:type="dxa"/>
            <w:vAlign w:val="bottom"/>
          </w:tcPr>
          <w:p>
            <w:pPr>
              <w:spacing w:after="0"/>
              <w:rPr>
                <w:sz w:val="1"/>
                <w:szCs w:val="1"/>
                <w:color w:val="auto"/>
              </w:rPr>
            </w:pPr>
          </w:p>
        </w:tc>
      </w:tr>
      <w:tr>
        <w:trPr>
          <w:trHeight w:val="232"/>
        </w:trPr>
        <w:tc>
          <w:tcPr>
            <w:tcW w:w="77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3,853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2,865</w:t>
            </w:r>
          </w:p>
        </w:tc>
        <w:tc>
          <w:tcPr>
            <w:tcW w:w="0" w:type="dxa"/>
            <w:vAlign w:val="bottom"/>
          </w:tcPr>
          <w:p>
            <w:pPr>
              <w:spacing w:after="0"/>
              <w:rPr>
                <w:sz w:val="1"/>
                <w:szCs w:val="1"/>
                <w:color w:val="auto"/>
              </w:rPr>
            </w:pPr>
          </w:p>
        </w:tc>
      </w:tr>
      <w:tr>
        <w:trPr>
          <w:trHeight w:val="248"/>
        </w:trPr>
        <w:tc>
          <w:tcPr>
            <w:tcW w:w="7740" w:type="dxa"/>
            <w:vAlign w:val="bottom"/>
            <w:shd w:val="clear" w:color="auto" w:fill="D2EEF5"/>
          </w:tcPr>
          <w:p>
            <w:pPr>
              <w:ind w:left="40"/>
              <w:spacing w:after="0"/>
              <w:rPr>
                <w:sz w:val="20"/>
                <w:szCs w:val="20"/>
                <w:color w:val="auto"/>
              </w:rPr>
            </w:pPr>
            <w:r>
              <w:rPr>
                <w:rFonts w:ascii="Arial" w:cs="Arial" w:eastAsia="Arial" w:hAnsi="Arial"/>
                <w:sz w:val="16"/>
                <w:szCs w:val="16"/>
                <w:color w:val="auto"/>
              </w:rPr>
              <w:t>Post-retirement assets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53,817</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42,524</w:t>
            </w:r>
          </w:p>
        </w:tc>
        <w:tc>
          <w:tcPr>
            <w:tcW w:w="0" w:type="dxa"/>
            <w:vAlign w:val="bottom"/>
          </w:tcPr>
          <w:p>
            <w:pPr>
              <w:spacing w:after="0"/>
              <w:rPr>
                <w:sz w:val="1"/>
                <w:szCs w:val="1"/>
                <w:color w:val="auto"/>
              </w:rPr>
            </w:pPr>
          </w:p>
        </w:tc>
      </w:tr>
      <w:tr>
        <w:trPr>
          <w:trHeight w:val="232"/>
        </w:trPr>
        <w:tc>
          <w:tcPr>
            <w:tcW w:w="7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36,694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37,053</w:t>
            </w:r>
          </w:p>
        </w:tc>
        <w:tc>
          <w:tcPr>
            <w:tcW w:w="0" w:type="dxa"/>
            <w:vAlign w:val="bottom"/>
          </w:tcPr>
          <w:p>
            <w:pPr>
              <w:spacing w:after="0"/>
              <w:rPr>
                <w:sz w:val="1"/>
                <w:szCs w:val="1"/>
                <w:color w:val="auto"/>
              </w:rPr>
            </w:pPr>
          </w:p>
        </w:tc>
      </w:tr>
      <w:tr>
        <w:trPr>
          <w:trHeight w:val="248"/>
        </w:trPr>
        <w:tc>
          <w:tcPr>
            <w:tcW w:w="7740" w:type="dxa"/>
            <w:vAlign w:val="bottom"/>
            <w:shd w:val="clear" w:color="auto" w:fill="D2EEF5"/>
          </w:tcPr>
          <w:p>
            <w:pPr>
              <w:ind w:left="40"/>
              <w:spacing w:after="0"/>
              <w:rPr>
                <w:sz w:val="20"/>
                <w:szCs w:val="20"/>
                <w:color w:val="auto"/>
              </w:rPr>
            </w:pPr>
            <w:r>
              <w:rPr>
                <w:rFonts w:ascii="Arial" w:cs="Arial" w:eastAsia="Arial" w:hAnsi="Arial"/>
                <w:sz w:val="16"/>
                <w:szCs w:val="16"/>
                <w:color w:val="auto"/>
              </w:rPr>
              <w:t>Other intangible assets, net</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288,227</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317,653</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D2EEF5"/>
            </w:tcBorders>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1,103,232</w:t>
            </w:r>
          </w:p>
        </w:tc>
        <w:tc>
          <w:tcPr>
            <w:tcW w:w="120" w:type="dxa"/>
            <w:vAlign w:val="bottom"/>
            <w:tcBorders>
              <w:bottom w:val="single" w:sz="8" w:color="D2EEF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1,081,073</w:t>
            </w:r>
          </w:p>
        </w:tc>
        <w:tc>
          <w:tcPr>
            <w:tcW w:w="0" w:type="dxa"/>
            <w:vAlign w:val="bottom"/>
          </w:tcPr>
          <w:p>
            <w:pPr>
              <w:spacing w:after="0"/>
              <w:rPr>
                <w:sz w:val="1"/>
                <w:szCs w:val="1"/>
                <w:color w:val="auto"/>
              </w:rPr>
            </w:pPr>
          </w:p>
        </w:tc>
      </w:tr>
      <w:tr>
        <w:trPr>
          <w:trHeight w:val="220"/>
        </w:trPr>
        <w:tc>
          <w:tcPr>
            <w:tcW w:w="7740" w:type="dxa"/>
            <w:vAlign w:val="bottom"/>
            <w:shd w:val="clear" w:color="auto" w:fill="D2EEF5"/>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D2EEF5"/>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3,263,190</w:t>
            </w:r>
          </w:p>
        </w:tc>
        <w:tc>
          <w:tcPr>
            <w:tcW w:w="400" w:type="dxa"/>
            <w:vAlign w:val="bottom"/>
            <w:gridSpan w:val="2"/>
            <w:shd w:val="clear" w:color="auto" w:fill="D2EEF5"/>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3,071,648</w:t>
            </w:r>
          </w:p>
        </w:tc>
        <w:tc>
          <w:tcPr>
            <w:tcW w:w="0" w:type="dxa"/>
            <w:vAlign w:val="bottom"/>
          </w:tcPr>
          <w:p>
            <w:pPr>
              <w:spacing w:after="0"/>
              <w:rPr>
                <w:sz w:val="1"/>
                <w:szCs w:val="1"/>
                <w:color w:val="auto"/>
              </w:rPr>
            </w:pPr>
          </w:p>
        </w:tc>
      </w:tr>
      <w:tr>
        <w:trPr>
          <w:trHeight w:val="20"/>
        </w:trPr>
        <w:tc>
          <w:tcPr>
            <w:tcW w:w="7740" w:type="dxa"/>
            <w:vAlign w:val="bottom"/>
            <w:tcBorders>
              <w:top w:val="single" w:sz="8" w:color="D2EEF5"/>
              <w:bottom w:val="single" w:sz="8" w:color="D2EEF5"/>
            </w:tcBorders>
            <w:vMerge w:val="restart"/>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74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D2EEF5"/>
            </w:tcBorders>
            <w:shd w:val="clear" w:color="auto" w:fill="D2EEF5"/>
          </w:tcPr>
          <w:p>
            <w:pPr>
              <w:spacing w:after="0"/>
              <w:rPr>
                <w:sz w:val="19"/>
                <w:szCs w:val="19"/>
                <w:color w:val="auto"/>
              </w:rPr>
            </w:pPr>
          </w:p>
        </w:tc>
        <w:tc>
          <w:tcPr>
            <w:tcW w:w="920" w:type="dxa"/>
            <w:vAlign w:val="bottom"/>
            <w:tcBorders>
              <w:bottom w:val="single" w:sz="8" w:color="D2EEF5"/>
            </w:tcBorders>
            <w:shd w:val="clear" w:color="auto" w:fill="D2EEF5"/>
          </w:tcPr>
          <w:p>
            <w:pPr>
              <w:spacing w:after="0"/>
              <w:rPr>
                <w:sz w:val="19"/>
                <w:szCs w:val="19"/>
                <w:color w:val="auto"/>
              </w:rPr>
            </w:pPr>
          </w:p>
        </w:tc>
        <w:tc>
          <w:tcPr>
            <w:tcW w:w="120" w:type="dxa"/>
            <w:vAlign w:val="bottom"/>
            <w:tcBorders>
              <w:bottom w:val="single" w:sz="8" w:color="D2EEF5"/>
            </w:tcBorders>
            <w:shd w:val="clear" w:color="auto" w:fill="D2EEF5"/>
          </w:tcPr>
          <w:p>
            <w:pPr>
              <w:spacing w:after="0"/>
              <w:rPr>
                <w:sz w:val="19"/>
                <w:szCs w:val="19"/>
                <w:color w:val="auto"/>
              </w:rPr>
            </w:pPr>
          </w:p>
        </w:tc>
        <w:tc>
          <w:tcPr>
            <w:tcW w:w="280" w:type="dxa"/>
            <w:vAlign w:val="bottom"/>
            <w:tcBorders>
              <w:bottom w:val="single" w:sz="8" w:color="D2EEF5"/>
            </w:tcBorders>
            <w:shd w:val="clear" w:color="auto" w:fill="D2EEF5"/>
          </w:tcPr>
          <w:p>
            <w:pPr>
              <w:spacing w:after="0"/>
              <w:rPr>
                <w:sz w:val="19"/>
                <w:szCs w:val="19"/>
                <w:color w:val="auto"/>
              </w:rPr>
            </w:pPr>
          </w:p>
        </w:tc>
        <w:tc>
          <w:tcPr>
            <w:tcW w:w="920" w:type="dxa"/>
            <w:vAlign w:val="bottom"/>
            <w:tcBorders>
              <w:bottom w:val="single" w:sz="8" w:color="D2EEF5"/>
            </w:tcBorders>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40" w:type="dxa"/>
            <w:vAlign w:val="bottom"/>
          </w:tcPr>
          <w:p>
            <w:pPr>
              <w:ind w:left="40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77,963</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55,098</w:t>
            </w:r>
          </w:p>
        </w:tc>
        <w:tc>
          <w:tcPr>
            <w:tcW w:w="0" w:type="dxa"/>
            <w:vAlign w:val="bottom"/>
          </w:tcPr>
          <w:p>
            <w:pPr>
              <w:spacing w:after="0"/>
              <w:rPr>
                <w:sz w:val="1"/>
                <w:szCs w:val="1"/>
                <w:color w:val="auto"/>
              </w:rPr>
            </w:pPr>
          </w:p>
        </w:tc>
      </w:tr>
      <w:tr>
        <w:trPr>
          <w:trHeight w:val="248"/>
        </w:trPr>
        <w:tc>
          <w:tcPr>
            <w:tcW w:w="7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124,736</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90,463</w:t>
            </w:r>
          </w:p>
        </w:tc>
        <w:tc>
          <w:tcPr>
            <w:tcW w:w="0" w:type="dxa"/>
            <w:vAlign w:val="bottom"/>
          </w:tcPr>
          <w:p>
            <w:pPr>
              <w:spacing w:after="0"/>
              <w:rPr>
                <w:sz w:val="1"/>
                <w:szCs w:val="1"/>
                <w:color w:val="auto"/>
              </w:rPr>
            </w:pPr>
          </w:p>
        </w:tc>
      </w:tr>
      <w:tr>
        <w:trPr>
          <w:trHeight w:val="232"/>
        </w:trPr>
        <w:tc>
          <w:tcPr>
            <w:tcW w:w="7740" w:type="dxa"/>
            <w:vAlign w:val="bottom"/>
          </w:tcPr>
          <w:p>
            <w:pPr>
              <w:ind w:left="40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17,999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15,100</w:t>
            </w:r>
          </w:p>
        </w:tc>
        <w:tc>
          <w:tcPr>
            <w:tcW w:w="0" w:type="dxa"/>
            <w:vAlign w:val="bottom"/>
          </w:tcPr>
          <w:p>
            <w:pPr>
              <w:spacing w:after="0"/>
              <w:rPr>
                <w:sz w:val="1"/>
                <w:szCs w:val="1"/>
                <w:color w:val="auto"/>
              </w:rPr>
            </w:pPr>
          </w:p>
        </w:tc>
      </w:tr>
      <w:tr>
        <w:trPr>
          <w:trHeight w:val="248"/>
        </w:trPr>
        <w:tc>
          <w:tcPr>
            <w:tcW w:w="7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13,973</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14,803</w:t>
            </w:r>
          </w:p>
        </w:tc>
        <w:tc>
          <w:tcPr>
            <w:tcW w:w="0" w:type="dxa"/>
            <w:vAlign w:val="bottom"/>
          </w:tcPr>
          <w:p>
            <w:pPr>
              <w:spacing w:after="0"/>
              <w:rPr>
                <w:sz w:val="1"/>
                <w:szCs w:val="1"/>
                <w:color w:val="auto"/>
              </w:rPr>
            </w:pPr>
          </w:p>
        </w:tc>
      </w:tr>
      <w:tr>
        <w:trPr>
          <w:trHeight w:val="232"/>
        </w:trPr>
        <w:tc>
          <w:tcPr>
            <w:tcW w:w="7740" w:type="dxa"/>
            <w:vAlign w:val="bottom"/>
          </w:tcPr>
          <w:p>
            <w:pPr>
              <w:ind w:left="400"/>
              <w:spacing w:after="0"/>
              <w:rPr>
                <w:sz w:val="20"/>
                <w:szCs w:val="20"/>
                <w:color w:val="auto"/>
              </w:rPr>
            </w:pPr>
            <w:r>
              <w:rPr>
                <w:rFonts w:ascii="Arial" w:cs="Arial" w:eastAsia="Arial" w:hAnsi="Arial"/>
                <w:sz w:val="16"/>
                <w:szCs w:val="16"/>
                <w:color w:val="auto"/>
              </w:rPr>
              <w:t>Current portion of finance lease obligations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3,465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2,923</w:t>
            </w:r>
          </w:p>
        </w:tc>
        <w:tc>
          <w:tcPr>
            <w:tcW w:w="0" w:type="dxa"/>
            <w:vAlign w:val="bottom"/>
          </w:tcPr>
          <w:p>
            <w:pPr>
              <w:spacing w:after="0"/>
              <w:rPr>
                <w:sz w:val="1"/>
                <w:szCs w:val="1"/>
                <w:color w:val="auto"/>
              </w:rPr>
            </w:pPr>
          </w:p>
        </w:tc>
      </w:tr>
      <w:tr>
        <w:trPr>
          <w:trHeight w:val="248"/>
        </w:trPr>
        <w:tc>
          <w:tcPr>
            <w:tcW w:w="7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Current portion of operating lease obligations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5,755</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5,056</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D2EEF5"/>
            </w:tcBorders>
          </w:tcPr>
          <w:p>
            <w:pPr>
              <w:ind w:left="400"/>
              <w:spacing w:after="0"/>
              <w:rPr>
                <w:sz w:val="20"/>
                <w:szCs w:val="20"/>
                <w:color w:val="auto"/>
              </w:rPr>
            </w:pPr>
            <w:r>
              <w:rPr>
                <w:rFonts w:ascii="Arial" w:cs="Arial" w:eastAsia="Arial" w:hAnsi="Arial"/>
                <w:sz w:val="16"/>
                <w:szCs w:val="16"/>
                <w:color w:val="auto"/>
              </w:rPr>
              <w:t>Income taxes payable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5,693</w:t>
            </w:r>
          </w:p>
        </w:tc>
        <w:tc>
          <w:tcPr>
            <w:tcW w:w="120" w:type="dxa"/>
            <w:vAlign w:val="bottom"/>
            <w:tcBorders>
              <w:bottom w:val="single" w:sz="8" w:color="D2EEF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7,559</w:t>
            </w:r>
          </w:p>
        </w:tc>
        <w:tc>
          <w:tcPr>
            <w:tcW w:w="0" w:type="dxa"/>
            <w:vAlign w:val="bottom"/>
          </w:tcPr>
          <w:p>
            <w:pPr>
              <w:spacing w:after="0"/>
              <w:rPr>
                <w:sz w:val="1"/>
                <w:szCs w:val="1"/>
                <w:color w:val="auto"/>
              </w:rPr>
            </w:pPr>
          </w:p>
        </w:tc>
      </w:tr>
      <w:tr>
        <w:trPr>
          <w:trHeight w:val="230"/>
        </w:trPr>
        <w:tc>
          <w:tcPr>
            <w:tcW w:w="7740" w:type="dxa"/>
            <w:vAlign w:val="bottom"/>
            <w:shd w:val="clear" w:color="auto" w:fill="D2EEF5"/>
          </w:tcPr>
          <w:p>
            <w:pPr>
              <w:ind w:left="4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249,584</w:t>
            </w:r>
          </w:p>
        </w:tc>
        <w:tc>
          <w:tcPr>
            <w:tcW w:w="12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191,002</w:t>
            </w:r>
          </w:p>
        </w:tc>
        <w:tc>
          <w:tcPr>
            <w:tcW w:w="0" w:type="dxa"/>
            <w:vAlign w:val="bottom"/>
          </w:tcPr>
          <w:p>
            <w:pPr>
              <w:spacing w:after="0"/>
              <w:rPr>
                <w:sz w:val="1"/>
                <w:szCs w:val="1"/>
                <w:color w:val="auto"/>
              </w:rPr>
            </w:pPr>
          </w:p>
        </w:tc>
      </w:tr>
      <w:tr>
        <w:trPr>
          <w:trHeight w:val="232"/>
        </w:trPr>
        <w:tc>
          <w:tcPr>
            <w:tcW w:w="7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2,126,724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2,208,100</w:t>
            </w:r>
          </w:p>
        </w:tc>
        <w:tc>
          <w:tcPr>
            <w:tcW w:w="0" w:type="dxa"/>
            <w:vAlign w:val="bottom"/>
          </w:tcPr>
          <w:p>
            <w:pPr>
              <w:spacing w:after="0"/>
              <w:rPr>
                <w:sz w:val="1"/>
                <w:szCs w:val="1"/>
                <w:color w:val="auto"/>
              </w:rPr>
            </w:pPr>
          </w:p>
        </w:tc>
      </w:tr>
      <w:tr>
        <w:trPr>
          <w:trHeight w:val="248"/>
        </w:trPr>
        <w:tc>
          <w:tcPr>
            <w:tcW w:w="7740" w:type="dxa"/>
            <w:vAlign w:val="bottom"/>
            <w:shd w:val="clear" w:color="auto" w:fill="D2EEF5"/>
          </w:tcPr>
          <w:p>
            <w:pPr>
              <w:ind w:left="40"/>
              <w:spacing w:after="0"/>
              <w:rPr>
                <w:sz w:val="20"/>
                <w:szCs w:val="20"/>
                <w:color w:val="auto"/>
              </w:rPr>
            </w:pPr>
            <w:r>
              <w:rPr>
                <w:rFonts w:ascii="Arial" w:cs="Arial" w:eastAsia="Arial" w:hAnsi="Arial"/>
                <w:sz w:val="16"/>
                <w:szCs w:val="16"/>
                <w:color w:val="auto"/>
              </w:rPr>
              <w:t>Finance lease obligations, less current portion</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93,835</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95,286</w:t>
            </w:r>
          </w:p>
        </w:tc>
        <w:tc>
          <w:tcPr>
            <w:tcW w:w="0" w:type="dxa"/>
            <w:vAlign w:val="bottom"/>
          </w:tcPr>
          <w:p>
            <w:pPr>
              <w:spacing w:after="0"/>
              <w:rPr>
                <w:sz w:val="1"/>
                <w:szCs w:val="1"/>
                <w:color w:val="auto"/>
              </w:rPr>
            </w:pPr>
          </w:p>
        </w:tc>
      </w:tr>
      <w:tr>
        <w:trPr>
          <w:trHeight w:val="232"/>
        </w:trPr>
        <w:tc>
          <w:tcPr>
            <w:tcW w:w="7740" w:type="dxa"/>
            <w:vAlign w:val="bottom"/>
          </w:tcPr>
          <w:p>
            <w:pPr>
              <w:ind w:left="40"/>
              <w:spacing w:after="0"/>
              <w:rPr>
                <w:sz w:val="20"/>
                <w:szCs w:val="20"/>
                <w:color w:val="auto"/>
              </w:rPr>
            </w:pPr>
            <w:r>
              <w:rPr>
                <w:rFonts w:ascii="Arial" w:cs="Arial" w:eastAsia="Arial" w:hAnsi="Arial"/>
                <w:sz w:val="16"/>
                <w:szCs w:val="16"/>
                <w:color w:val="auto"/>
              </w:rPr>
              <w:t>Operating lease obligations, less current portion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29,901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24,465</w:t>
            </w:r>
          </w:p>
        </w:tc>
        <w:tc>
          <w:tcPr>
            <w:tcW w:w="0" w:type="dxa"/>
            <w:vAlign w:val="bottom"/>
          </w:tcPr>
          <w:p>
            <w:pPr>
              <w:spacing w:after="0"/>
              <w:rPr>
                <w:sz w:val="1"/>
                <w:szCs w:val="1"/>
                <w:color w:val="auto"/>
              </w:rPr>
            </w:pPr>
          </w:p>
        </w:tc>
      </w:tr>
      <w:tr>
        <w:trPr>
          <w:trHeight w:val="248"/>
        </w:trPr>
        <w:tc>
          <w:tcPr>
            <w:tcW w:w="7740" w:type="dxa"/>
            <w:vAlign w:val="bottom"/>
            <w:shd w:val="clear" w:color="auto" w:fill="D2EEF5"/>
          </w:tcPr>
          <w:p>
            <w:pPr>
              <w:ind w:left="40"/>
              <w:spacing w:after="0"/>
              <w:rPr>
                <w:sz w:val="20"/>
                <w:szCs w:val="20"/>
                <w:color w:val="auto"/>
              </w:rPr>
            </w:pPr>
            <w:r>
              <w:rPr>
                <w:rFonts w:ascii="Arial" w:cs="Arial" w:eastAsia="Arial" w:hAnsi="Arial"/>
                <w:sz w:val="16"/>
                <w:szCs w:val="16"/>
                <w:color w:val="auto"/>
              </w:rPr>
              <w:t>Noncurrent asset retirement obligations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53,496</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49,319</w:t>
            </w:r>
          </w:p>
        </w:tc>
        <w:tc>
          <w:tcPr>
            <w:tcW w:w="0" w:type="dxa"/>
            <w:vAlign w:val="bottom"/>
          </w:tcPr>
          <w:p>
            <w:pPr>
              <w:spacing w:after="0"/>
              <w:rPr>
                <w:sz w:val="1"/>
                <w:szCs w:val="1"/>
                <w:color w:val="auto"/>
              </w:rPr>
            </w:pPr>
          </w:p>
        </w:tc>
      </w:tr>
      <w:tr>
        <w:trPr>
          <w:trHeight w:val="232"/>
        </w:trPr>
        <w:tc>
          <w:tcPr>
            <w:tcW w:w="7740" w:type="dxa"/>
            <w:vAlign w:val="bottom"/>
          </w:tcPr>
          <w:p>
            <w:pPr>
              <w:ind w:left="40"/>
              <w:spacing w:after="0"/>
              <w:rPr>
                <w:sz w:val="20"/>
                <w:szCs w:val="20"/>
                <w:color w:val="auto"/>
              </w:rPr>
            </w:pPr>
            <w:r>
              <w:rPr>
                <w:rFonts w:ascii="Arial" w:cs="Arial" w:eastAsia="Arial" w:hAnsi="Arial"/>
                <w:sz w:val="16"/>
                <w:szCs w:val="16"/>
                <w:color w:val="auto"/>
              </w:rPr>
              <w:t>Deferred lease income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17,057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16,784</w:t>
            </w:r>
          </w:p>
        </w:tc>
        <w:tc>
          <w:tcPr>
            <w:tcW w:w="0" w:type="dxa"/>
            <w:vAlign w:val="bottom"/>
          </w:tcPr>
          <w:p>
            <w:pPr>
              <w:spacing w:after="0"/>
              <w:rPr>
                <w:sz w:val="1"/>
                <w:szCs w:val="1"/>
                <w:color w:val="auto"/>
              </w:rPr>
            </w:pPr>
          </w:p>
        </w:tc>
      </w:tr>
      <w:tr>
        <w:trPr>
          <w:trHeight w:val="248"/>
        </w:trPr>
        <w:tc>
          <w:tcPr>
            <w:tcW w:w="7740" w:type="dxa"/>
            <w:vAlign w:val="bottom"/>
            <w:shd w:val="clear" w:color="auto" w:fill="D2EEF5"/>
          </w:tcPr>
          <w:p>
            <w:pPr>
              <w:ind w:left="40"/>
              <w:spacing w:after="0"/>
              <w:rPr>
                <w:sz w:val="20"/>
                <w:szCs w:val="20"/>
                <w:color w:val="auto"/>
              </w:rPr>
            </w:pPr>
            <w:r>
              <w:rPr>
                <w:rFonts w:ascii="Arial" w:cs="Arial" w:eastAsia="Arial" w:hAnsi="Arial"/>
                <w:sz w:val="16"/>
                <w:szCs w:val="16"/>
                <w:color w:val="auto"/>
              </w:rPr>
              <w:t>Post-retirement obligations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8,123</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7,863</w:t>
            </w:r>
          </w:p>
        </w:tc>
        <w:tc>
          <w:tcPr>
            <w:tcW w:w="0" w:type="dxa"/>
            <w:vAlign w:val="bottom"/>
          </w:tcPr>
          <w:p>
            <w:pPr>
              <w:spacing w:after="0"/>
              <w:rPr>
                <w:sz w:val="1"/>
                <w:szCs w:val="1"/>
                <w:color w:val="auto"/>
              </w:rPr>
            </w:pPr>
          </w:p>
        </w:tc>
      </w:tr>
      <w:tr>
        <w:trPr>
          <w:trHeight w:val="232"/>
        </w:trPr>
        <w:tc>
          <w:tcPr>
            <w:tcW w:w="77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7,360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4,418</w:t>
            </w:r>
          </w:p>
        </w:tc>
        <w:tc>
          <w:tcPr>
            <w:tcW w:w="0" w:type="dxa"/>
            <w:vAlign w:val="bottom"/>
          </w:tcPr>
          <w:p>
            <w:pPr>
              <w:spacing w:after="0"/>
              <w:rPr>
                <w:sz w:val="1"/>
                <w:szCs w:val="1"/>
                <w:color w:val="auto"/>
              </w:rPr>
            </w:pPr>
          </w:p>
        </w:tc>
      </w:tr>
      <w:tr>
        <w:trPr>
          <w:trHeight w:val="255"/>
        </w:trPr>
        <w:tc>
          <w:tcPr>
            <w:tcW w:w="774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b w:val="1"/>
                <w:bCs w:val="1"/>
                <w:color w:val="auto"/>
              </w:rPr>
              <w:t>71,075</w:t>
            </w:r>
          </w:p>
        </w:tc>
        <w:tc>
          <w:tcPr>
            <w:tcW w:w="120" w:type="dxa"/>
            <w:vAlign w:val="bottom"/>
            <w:tcBorders>
              <w:bottom w:val="single" w:sz="8" w:color="D2EEF5"/>
            </w:tcBorders>
            <w:shd w:val="clear" w:color="auto" w:fill="D2EEF5"/>
          </w:tcPr>
          <w:p>
            <w:pPr>
              <w:spacing w:after="0"/>
              <w:rPr>
                <w:sz w:val="22"/>
                <w:szCs w:val="22"/>
                <w:color w:val="auto"/>
              </w:rPr>
            </w:pPr>
          </w:p>
        </w:tc>
        <w:tc>
          <w:tcPr>
            <w:tcW w:w="28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69,500</w:t>
            </w:r>
          </w:p>
        </w:tc>
        <w:tc>
          <w:tcPr>
            <w:tcW w:w="0" w:type="dxa"/>
            <w:vAlign w:val="bottom"/>
          </w:tcPr>
          <w:p>
            <w:pPr>
              <w:spacing w:after="0"/>
              <w:rPr>
                <w:sz w:val="1"/>
                <w:szCs w:val="1"/>
                <w:color w:val="auto"/>
              </w:rPr>
            </w:pPr>
          </w:p>
        </w:tc>
      </w:tr>
      <w:tr>
        <w:trPr>
          <w:trHeight w:val="205"/>
        </w:trPr>
        <w:tc>
          <w:tcPr>
            <w:tcW w:w="77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2,657,155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2,666,737</w:t>
            </w:r>
          </w:p>
        </w:tc>
        <w:tc>
          <w:tcPr>
            <w:tcW w:w="0" w:type="dxa"/>
            <w:vAlign w:val="bottom"/>
          </w:tcPr>
          <w:p>
            <w:pPr>
              <w:spacing w:after="0"/>
              <w:rPr>
                <w:sz w:val="1"/>
                <w:szCs w:val="1"/>
                <w:color w:val="auto"/>
              </w:rPr>
            </w:pPr>
          </w:p>
        </w:tc>
      </w:tr>
      <w:tr>
        <w:trPr>
          <w:trHeight w:val="228"/>
        </w:trPr>
        <w:tc>
          <w:tcPr>
            <w:tcW w:w="774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16"/>
                <w:szCs w:val="16"/>
                <w:color w:val="auto"/>
              </w:rPr>
              <w:t>See Commitments and contingencies note</w:t>
            </w:r>
          </w:p>
        </w:tc>
        <w:tc>
          <w:tcPr>
            <w:tcW w:w="280" w:type="dxa"/>
            <w:vAlign w:val="bottom"/>
            <w:tcBorders>
              <w:bottom w:val="single" w:sz="8" w:color="D2EEF5"/>
            </w:tcBorders>
            <w:shd w:val="clear" w:color="auto" w:fill="D2EEF5"/>
          </w:tcPr>
          <w:p>
            <w:pPr>
              <w:spacing w:after="0"/>
              <w:rPr>
                <w:sz w:val="19"/>
                <w:szCs w:val="19"/>
                <w:color w:val="auto"/>
              </w:rPr>
            </w:pPr>
          </w:p>
        </w:tc>
        <w:tc>
          <w:tcPr>
            <w:tcW w:w="920" w:type="dxa"/>
            <w:vAlign w:val="bottom"/>
            <w:tcBorders>
              <w:bottom w:val="single" w:sz="8" w:color="D2EEF5"/>
            </w:tcBorders>
            <w:shd w:val="clear" w:color="auto" w:fill="D2EEF5"/>
          </w:tcPr>
          <w:p>
            <w:pPr>
              <w:spacing w:after="0"/>
              <w:rPr>
                <w:sz w:val="19"/>
                <w:szCs w:val="19"/>
                <w:color w:val="auto"/>
              </w:rPr>
            </w:pPr>
          </w:p>
        </w:tc>
        <w:tc>
          <w:tcPr>
            <w:tcW w:w="120" w:type="dxa"/>
            <w:vAlign w:val="bottom"/>
            <w:tcBorders>
              <w:bottom w:val="single" w:sz="8" w:color="D2EEF5"/>
            </w:tcBorders>
            <w:shd w:val="clear" w:color="auto" w:fill="D2EEF5"/>
          </w:tcPr>
          <w:p>
            <w:pPr>
              <w:spacing w:after="0"/>
              <w:rPr>
                <w:sz w:val="19"/>
                <w:szCs w:val="19"/>
                <w:color w:val="auto"/>
              </w:rPr>
            </w:pPr>
          </w:p>
        </w:tc>
        <w:tc>
          <w:tcPr>
            <w:tcW w:w="280" w:type="dxa"/>
            <w:vAlign w:val="bottom"/>
            <w:tcBorders>
              <w:bottom w:val="single" w:sz="8" w:color="D2EEF5"/>
            </w:tcBorders>
            <w:shd w:val="clear" w:color="auto" w:fill="D2EEF5"/>
          </w:tcPr>
          <w:p>
            <w:pPr>
              <w:spacing w:after="0"/>
              <w:rPr>
                <w:sz w:val="19"/>
                <w:szCs w:val="19"/>
                <w:color w:val="auto"/>
              </w:rPr>
            </w:pPr>
          </w:p>
        </w:tc>
        <w:tc>
          <w:tcPr>
            <w:tcW w:w="920" w:type="dxa"/>
            <w:vAlign w:val="bottom"/>
            <w:tcBorders>
              <w:bottom w:val="single" w:sz="8" w:color="D2EEF5"/>
            </w:tcBorders>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40"/>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740" w:type="dxa"/>
            <w:vAlign w:val="bottom"/>
            <w:shd w:val="clear" w:color="auto" w:fill="D2EEF5"/>
          </w:tcPr>
          <w:p>
            <w:pPr>
              <w:ind w:left="400"/>
              <w:spacing w:after="0" w:line="181" w:lineRule="exact"/>
              <w:rPr>
                <w:sz w:val="20"/>
                <w:szCs w:val="20"/>
                <w:color w:val="auto"/>
              </w:rPr>
            </w:pPr>
            <w:r>
              <w:rPr>
                <w:rFonts w:ascii="Arial" w:cs="Arial" w:eastAsia="Arial" w:hAnsi="Arial"/>
                <w:sz w:val="16"/>
                <w:szCs w:val="16"/>
                <w:color w:val="auto"/>
                <w:w w:val="91"/>
              </w:rPr>
              <w:t>Common stock, with $0.01 par value, 1,200,000 shares authorized; 286,037 shares issued at December 31, 2025</w:t>
            </w:r>
          </w:p>
        </w:tc>
        <w:tc>
          <w:tcPr>
            <w:tcW w:w="280" w:type="dxa"/>
            <w:vAlign w:val="bottom"/>
            <w:shd w:val="clear" w:color="auto" w:fill="D2EEF5"/>
          </w:tcPr>
          <w:p>
            <w:pPr>
              <w:spacing w:after="0"/>
              <w:rPr>
                <w:sz w:val="15"/>
                <w:szCs w:val="15"/>
                <w:color w:val="auto"/>
              </w:rPr>
            </w:pPr>
          </w:p>
        </w:tc>
        <w:tc>
          <w:tcPr>
            <w:tcW w:w="920" w:type="dxa"/>
            <w:vAlign w:val="bottom"/>
            <w:vMerge w:val="restart"/>
            <w:shd w:val="clear" w:color="auto" w:fill="D2EEF5"/>
          </w:tcPr>
          <w:p>
            <w:pPr>
              <w:jc w:val="right"/>
              <w:spacing w:after="0"/>
              <w:rPr>
                <w:sz w:val="20"/>
                <w:szCs w:val="20"/>
                <w:color w:val="auto"/>
              </w:rPr>
            </w:pPr>
            <w:r>
              <w:rPr>
                <w:rFonts w:ascii="Arial" w:cs="Arial" w:eastAsia="Arial" w:hAnsi="Arial"/>
                <w:sz w:val="16"/>
                <w:szCs w:val="16"/>
                <w:b w:val="1"/>
                <w:bCs w:val="1"/>
                <w:color w:val="auto"/>
              </w:rPr>
              <w:t>2,860</w:t>
            </w:r>
          </w:p>
        </w:tc>
        <w:tc>
          <w:tcPr>
            <w:tcW w:w="1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920" w:type="dxa"/>
            <w:vAlign w:val="bottom"/>
            <w:vMerge w:val="restart"/>
            <w:shd w:val="clear" w:color="auto" w:fill="D2EEF5"/>
          </w:tcPr>
          <w:p>
            <w:pPr>
              <w:jc w:val="right"/>
              <w:spacing w:after="0"/>
              <w:rPr>
                <w:sz w:val="20"/>
                <w:szCs w:val="20"/>
                <w:color w:val="auto"/>
              </w:rPr>
            </w:pPr>
            <w:r>
              <w:rPr>
                <w:rFonts w:ascii="Arial" w:cs="Arial" w:eastAsia="Arial" w:hAnsi="Arial"/>
                <w:sz w:val="16"/>
                <w:szCs w:val="16"/>
                <w:color w:val="auto"/>
              </w:rPr>
              <w:t>2,860</w:t>
            </w:r>
          </w:p>
        </w:tc>
        <w:tc>
          <w:tcPr>
            <w:tcW w:w="0" w:type="dxa"/>
            <w:vAlign w:val="bottom"/>
          </w:tcPr>
          <w:p>
            <w:pPr>
              <w:spacing w:after="0"/>
              <w:rPr>
                <w:sz w:val="1"/>
                <w:szCs w:val="1"/>
                <w:color w:val="auto"/>
              </w:rPr>
            </w:pPr>
          </w:p>
        </w:tc>
      </w:tr>
      <w:tr>
        <w:trPr>
          <w:trHeight w:val="225"/>
        </w:trPr>
        <w:tc>
          <w:tcPr>
            <w:tcW w:w="7740" w:type="dxa"/>
            <w:vAlign w:val="bottom"/>
            <w:shd w:val="clear" w:color="auto" w:fill="D2EEF5"/>
          </w:tcPr>
          <w:p>
            <w:pPr>
              <w:ind w:left="580"/>
              <w:spacing w:after="0"/>
              <w:rPr>
                <w:sz w:val="20"/>
                <w:szCs w:val="20"/>
                <w:color w:val="auto"/>
              </w:rPr>
            </w:pPr>
            <w:r>
              <w:rPr>
                <w:rFonts w:ascii="Arial" w:cs="Arial" w:eastAsia="Arial" w:hAnsi="Arial"/>
                <w:sz w:val="16"/>
                <w:szCs w:val="16"/>
                <w:color w:val="auto"/>
              </w:rPr>
              <w:t>and 2024</w:t>
            </w:r>
          </w:p>
        </w:tc>
        <w:tc>
          <w:tcPr>
            <w:tcW w:w="280" w:type="dxa"/>
            <w:vAlign w:val="bottom"/>
            <w:shd w:val="clear" w:color="auto" w:fill="D2EEF5"/>
          </w:tcPr>
          <w:p>
            <w:pPr>
              <w:spacing w:after="0"/>
              <w:rPr>
                <w:sz w:val="19"/>
                <w:szCs w:val="19"/>
                <w:color w:val="auto"/>
              </w:rPr>
            </w:pPr>
          </w:p>
        </w:tc>
        <w:tc>
          <w:tcPr>
            <w:tcW w:w="920" w:type="dxa"/>
            <w:vAlign w:val="bottom"/>
            <w:vMerge w:val="continue"/>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280" w:type="dxa"/>
            <w:vAlign w:val="bottom"/>
            <w:shd w:val="clear" w:color="auto" w:fill="D2EEF5"/>
          </w:tcPr>
          <w:p>
            <w:pPr>
              <w:spacing w:after="0"/>
              <w:rPr>
                <w:sz w:val="19"/>
                <w:szCs w:val="19"/>
                <w:color w:val="auto"/>
              </w:rPr>
            </w:pPr>
          </w:p>
        </w:tc>
        <w:tc>
          <w:tcPr>
            <w:tcW w:w="920" w:type="dxa"/>
            <w:vAlign w:val="bottom"/>
            <w:vMerge w:val="continue"/>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740" w:type="dxa"/>
            <w:vAlign w:val="bottom"/>
          </w:tcPr>
          <w:p>
            <w:pPr>
              <w:ind w:left="400"/>
              <w:spacing w:after="0" w:line="181" w:lineRule="exact"/>
              <w:rPr>
                <w:sz w:val="20"/>
                <w:szCs w:val="20"/>
                <w:color w:val="auto"/>
              </w:rPr>
            </w:pPr>
            <w:r>
              <w:rPr>
                <w:rFonts w:ascii="Arial" w:cs="Arial" w:eastAsia="Arial" w:hAnsi="Arial"/>
                <w:sz w:val="16"/>
                <w:szCs w:val="16"/>
                <w:color w:val="auto"/>
                <w:w w:val="93"/>
              </w:rPr>
              <w:t>Preferred stock, with $0.01 par value, 120,000 shares authorized; no shares issued at December 31, 2025 and</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40" w:type="dxa"/>
            <w:vAlign w:val="bottom"/>
          </w:tcPr>
          <w:p>
            <w:pPr>
              <w:ind w:left="58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Treasury stock, at cost (1,666 and 2,571 shares at December 31, 2025 and 2024, respectively)</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(17,013)</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(23,434)</w:t>
            </w:r>
          </w:p>
        </w:tc>
        <w:tc>
          <w:tcPr>
            <w:tcW w:w="0" w:type="dxa"/>
            <w:vAlign w:val="bottom"/>
          </w:tcPr>
          <w:p>
            <w:pPr>
              <w:spacing w:after="0"/>
              <w:rPr>
                <w:sz w:val="1"/>
                <w:szCs w:val="1"/>
                <w:color w:val="auto"/>
              </w:rPr>
            </w:pPr>
          </w:p>
        </w:tc>
      </w:tr>
      <w:tr>
        <w:trPr>
          <w:trHeight w:val="232"/>
        </w:trPr>
        <w:tc>
          <w:tcPr>
            <w:tcW w:w="7740" w:type="dxa"/>
            <w:vAlign w:val="bottom"/>
          </w:tcPr>
          <w:p>
            <w:pPr>
              <w:ind w:left="40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1,262,119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1,243,778</w:t>
            </w:r>
          </w:p>
        </w:tc>
        <w:tc>
          <w:tcPr>
            <w:tcW w:w="0" w:type="dxa"/>
            <w:vAlign w:val="bottom"/>
          </w:tcPr>
          <w:p>
            <w:pPr>
              <w:spacing w:after="0"/>
              <w:rPr>
                <w:sz w:val="1"/>
                <w:szCs w:val="1"/>
                <w:color w:val="auto"/>
              </w:rPr>
            </w:pPr>
          </w:p>
        </w:tc>
      </w:tr>
      <w:tr>
        <w:trPr>
          <w:trHeight w:val="248"/>
        </w:trPr>
        <w:tc>
          <w:tcPr>
            <w:tcW w:w="7740" w:type="dxa"/>
            <w:vAlign w:val="bottom"/>
            <w:shd w:val="clear" w:color="auto" w:fill="D2EEF5"/>
          </w:tcPr>
          <w:p>
            <w:pPr>
              <w:ind w:left="400"/>
              <w:spacing w:after="0"/>
              <w:rPr>
                <w:sz w:val="20"/>
                <w:szCs w:val="20"/>
                <w:color w:val="auto"/>
              </w:rPr>
            </w:pPr>
            <w:r>
              <w:rPr>
                <w:rFonts w:ascii="Arial" w:cs="Arial" w:eastAsia="Arial" w:hAnsi="Arial"/>
                <w:sz w:val="16"/>
                <w:szCs w:val="16"/>
                <w:color w:val="auto"/>
              </w:rPr>
              <w:t>Retained deficit</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(532,093)</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(610,042)</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D2EEF5"/>
            </w:tcBorders>
          </w:tcPr>
          <w:p>
            <w:pPr>
              <w:ind w:left="40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(109,838)</w:t>
            </w:r>
          </w:p>
        </w:tc>
        <w:tc>
          <w:tcPr>
            <w:tcW w:w="120" w:type="dxa"/>
            <w:vAlign w:val="bottom"/>
            <w:tcBorders>
              <w:bottom w:val="single" w:sz="8" w:color="D2EEF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(208,251)</w:t>
            </w:r>
          </w:p>
        </w:tc>
        <w:tc>
          <w:tcPr>
            <w:tcW w:w="0" w:type="dxa"/>
            <w:vAlign w:val="bottom"/>
          </w:tcPr>
          <w:p>
            <w:pPr>
              <w:spacing w:after="0"/>
              <w:rPr>
                <w:sz w:val="1"/>
                <w:szCs w:val="1"/>
                <w:color w:val="auto"/>
              </w:rPr>
            </w:pPr>
          </w:p>
        </w:tc>
      </w:tr>
      <w:tr>
        <w:trPr>
          <w:trHeight w:val="230"/>
        </w:trPr>
        <w:tc>
          <w:tcPr>
            <w:tcW w:w="7740" w:type="dxa"/>
            <w:vAlign w:val="bottom"/>
            <w:shd w:val="clear" w:color="auto" w:fill="D2EEF5"/>
          </w:tcPr>
          <w:p>
            <w:pPr>
              <w:ind w:left="40"/>
              <w:spacing w:after="0"/>
              <w:rPr>
                <w:sz w:val="20"/>
                <w:szCs w:val="20"/>
                <w:color w:val="auto"/>
              </w:rPr>
            </w:pPr>
            <w:r>
              <w:rPr>
                <w:rFonts w:ascii="Arial" w:cs="Arial" w:eastAsia="Arial" w:hAnsi="Arial"/>
                <w:sz w:val="16"/>
                <w:szCs w:val="16"/>
                <w:color w:val="auto"/>
              </w:rPr>
              <w:t>Total equity</w:t>
            </w: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606,035</w:t>
            </w:r>
          </w:p>
        </w:tc>
        <w:tc>
          <w:tcPr>
            <w:tcW w:w="12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404,911</w:t>
            </w:r>
          </w:p>
        </w:tc>
        <w:tc>
          <w:tcPr>
            <w:tcW w:w="0" w:type="dxa"/>
            <w:vAlign w:val="bottom"/>
          </w:tcPr>
          <w:p>
            <w:pPr>
              <w:spacing w:after="0"/>
              <w:rPr>
                <w:sz w:val="1"/>
                <w:szCs w:val="1"/>
                <w:color w:val="auto"/>
              </w:rPr>
            </w:pPr>
          </w:p>
        </w:tc>
      </w:tr>
      <w:tr>
        <w:trPr>
          <w:trHeight w:val="210"/>
        </w:trPr>
        <w:tc>
          <w:tcPr>
            <w:tcW w:w="7740" w:type="dxa"/>
            <w:vAlign w:val="bottom"/>
          </w:tcPr>
          <w:p>
            <w:pPr>
              <w:ind w:left="40"/>
              <w:spacing w:after="0"/>
              <w:rPr>
                <w:sz w:val="20"/>
                <w:szCs w:val="20"/>
                <w:color w:val="auto"/>
              </w:rPr>
            </w:pPr>
            <w:r>
              <w:rPr>
                <w:rFonts w:ascii="Arial" w:cs="Arial" w:eastAsia="Arial" w:hAnsi="Arial"/>
                <w:sz w:val="16"/>
                <w:szCs w:val="16"/>
                <w:color w:val="auto"/>
              </w:rPr>
              <w:t>Total liabilities and equity</w:t>
            </w:r>
          </w:p>
        </w:tc>
        <w:tc>
          <w:tcPr>
            <w:tcW w:w="2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3,263,190</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3,071,648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-4672965</wp:posOffset>
            </wp:positionV>
            <wp:extent cx="162560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1625600" cy="5080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-43815</wp:posOffset>
            </wp:positionV>
            <wp:extent cx="162560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1625600" cy="5080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notes to consolidated financial statements.</w:t>
      </w:r>
    </w:p>
    <w:p>
      <w:pPr>
        <w:sectPr>
          <w:pgSz w:w="11880" w:h="15480" w:orient="portrait"/>
          <w:cols w:equalWidth="0" w:num="1">
            <w:col w:w="10260"/>
          </w:cols>
          <w:pgMar w:left="820" w:top="40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0260"/>
          </w:cols>
          <w:pgMar w:left="820" w:top="405" w:right="800" w:bottom="0" w:gutter="0" w:footer="0" w:header="0"/>
          <w:type w:val="continuous"/>
        </w:sectPr>
      </w:pPr>
    </w:p>
    <w:bookmarkStart w:id="74" w:name="page75"/>
    <w:bookmarkEnd w:id="74"/>
    <w:p>
      <w:pPr>
        <w:ind w:left="4080"/>
        <w:spacing w:after="0"/>
        <w:rPr>
          <w:sz w:val="20"/>
          <w:szCs w:val="20"/>
          <w:color w:val="auto"/>
        </w:rPr>
      </w:pPr>
      <w:r>
        <w:rPr>
          <w:rFonts w:ascii="Arial" w:cs="Arial" w:eastAsia="Arial" w:hAnsi="Arial"/>
          <w:sz w:val="20"/>
          <w:szCs w:val="20"/>
          <w:b w:val="1"/>
          <w:bCs w:val="1"/>
          <w:color w:val="auto"/>
        </w:rPr>
        <w:t>Sotera Health Company</w:t>
      </w:r>
    </w:p>
    <w:p>
      <w:pPr>
        <w:spacing w:after="0" w:line="130" w:lineRule="exact"/>
        <w:rPr>
          <w:sz w:val="20"/>
          <w:szCs w:val="20"/>
          <w:color w:val="auto"/>
        </w:rPr>
      </w:pPr>
    </w:p>
    <w:p>
      <w:pPr>
        <w:ind w:left="1940"/>
        <w:spacing w:after="0"/>
        <w:rPr>
          <w:sz w:val="20"/>
          <w:szCs w:val="20"/>
          <w:color w:val="auto"/>
        </w:rPr>
      </w:pPr>
      <w:r>
        <w:rPr>
          <w:rFonts w:ascii="Arial" w:cs="Arial" w:eastAsia="Arial" w:hAnsi="Arial"/>
          <w:sz w:val="20"/>
          <w:szCs w:val="20"/>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 except per share amounts)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8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5"/>
        </w:trPr>
        <w:tc>
          <w:tcPr>
            <w:tcW w:w="6760" w:type="dxa"/>
            <w:vAlign w:val="bottom"/>
            <w:tcBorders>
              <w:bottom w:val="single" w:sz="8" w:color="D2EEF5"/>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2EEF5"/>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D2EEF5"/>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45"/>
        </w:trPr>
        <w:tc>
          <w:tcPr>
            <w:tcW w:w="6760" w:type="dxa"/>
            <w:vAlign w:val="bottom"/>
            <w:shd w:val="clear" w:color="auto" w:fill="D2EEF5"/>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D2EEF5"/>
          </w:tcPr>
          <w:p>
            <w:pPr>
              <w:spacing w:after="0"/>
              <w:rPr>
                <w:sz w:val="21"/>
                <w:szCs w:val="21"/>
                <w:color w:val="auto"/>
              </w:rPr>
            </w:pPr>
          </w:p>
        </w:tc>
        <w:tc>
          <w:tcPr>
            <w:tcW w:w="880" w:type="dxa"/>
            <w:vAlign w:val="bottom"/>
            <w:shd w:val="clear" w:color="auto" w:fill="D2EEF5"/>
          </w:tcPr>
          <w:p>
            <w:pPr>
              <w:spacing w:after="0"/>
              <w:rPr>
                <w:sz w:val="21"/>
                <w:szCs w:val="21"/>
                <w:color w:val="auto"/>
              </w:rPr>
            </w:pPr>
          </w:p>
        </w:tc>
        <w:tc>
          <w:tcPr>
            <w:tcW w:w="100" w:type="dxa"/>
            <w:vAlign w:val="bottom"/>
            <w:shd w:val="clear" w:color="auto" w:fill="D2EEF5"/>
          </w:tcPr>
          <w:p>
            <w:pPr>
              <w:spacing w:after="0"/>
              <w:rPr>
                <w:sz w:val="21"/>
                <w:szCs w:val="21"/>
                <w:color w:val="auto"/>
              </w:rPr>
            </w:pPr>
          </w:p>
        </w:tc>
        <w:tc>
          <w:tcPr>
            <w:tcW w:w="220" w:type="dxa"/>
            <w:vAlign w:val="bottom"/>
            <w:shd w:val="clear" w:color="auto" w:fill="D2EEF5"/>
          </w:tcPr>
          <w:p>
            <w:pPr>
              <w:spacing w:after="0"/>
              <w:rPr>
                <w:sz w:val="21"/>
                <w:szCs w:val="21"/>
                <w:color w:val="auto"/>
              </w:rPr>
            </w:pPr>
          </w:p>
        </w:tc>
        <w:tc>
          <w:tcPr>
            <w:tcW w:w="880" w:type="dxa"/>
            <w:vAlign w:val="bottom"/>
            <w:shd w:val="clear" w:color="auto" w:fill="D2EEF5"/>
          </w:tcPr>
          <w:p>
            <w:pPr>
              <w:spacing w:after="0"/>
              <w:rPr>
                <w:sz w:val="21"/>
                <w:szCs w:val="21"/>
                <w:color w:val="auto"/>
              </w:rPr>
            </w:pPr>
          </w:p>
        </w:tc>
        <w:tc>
          <w:tcPr>
            <w:tcW w:w="100" w:type="dxa"/>
            <w:vAlign w:val="bottom"/>
            <w:shd w:val="clear" w:color="auto" w:fill="D2EEF5"/>
          </w:tcPr>
          <w:p>
            <w:pPr>
              <w:spacing w:after="0"/>
              <w:rPr>
                <w:sz w:val="21"/>
                <w:szCs w:val="21"/>
                <w:color w:val="auto"/>
              </w:rPr>
            </w:pPr>
          </w:p>
        </w:tc>
        <w:tc>
          <w:tcPr>
            <w:tcW w:w="220" w:type="dxa"/>
            <w:vAlign w:val="bottom"/>
            <w:shd w:val="clear" w:color="auto" w:fill="D2EEF5"/>
          </w:tcPr>
          <w:p>
            <w:pPr>
              <w:spacing w:after="0"/>
              <w:rPr>
                <w:sz w:val="21"/>
                <w:szCs w:val="21"/>
                <w:color w:val="auto"/>
              </w:rPr>
            </w:pPr>
          </w:p>
        </w:tc>
        <w:tc>
          <w:tcPr>
            <w:tcW w:w="880" w:type="dxa"/>
            <w:vAlign w:val="bottom"/>
            <w:shd w:val="clear" w:color="auto" w:fill="D2EEF5"/>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760" w:type="dxa"/>
            <w:vAlign w:val="bottom"/>
          </w:tcPr>
          <w:p>
            <w:pPr>
              <w:ind w:left="480"/>
              <w:spacing w:after="0"/>
              <w:rPr>
                <w:sz w:val="20"/>
                <w:szCs w:val="20"/>
                <w:color w:val="auto"/>
              </w:rPr>
            </w:pPr>
            <w:r>
              <w:rPr>
                <w:rFonts w:ascii="Arial" w:cs="Arial" w:eastAsia="Arial" w:hAnsi="Arial"/>
                <w:sz w:val="18"/>
                <w:szCs w:val="18"/>
                <w:color w:val="auto"/>
              </w:rPr>
              <w:t>Service</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995,756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941,822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905,598</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D2EEF5"/>
            </w:tcBorders>
            <w:shd w:val="clear" w:color="auto" w:fill="D2EEF5"/>
          </w:tcPr>
          <w:p>
            <w:pPr>
              <w:ind w:left="48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b w:val="1"/>
                <w:bCs w:val="1"/>
                <w:color w:val="auto"/>
              </w:rPr>
              <w:t>167,861</w:t>
            </w:r>
          </w:p>
        </w:tc>
        <w:tc>
          <w:tcPr>
            <w:tcW w:w="10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158,619</w:t>
            </w:r>
          </w:p>
        </w:tc>
        <w:tc>
          <w:tcPr>
            <w:tcW w:w="10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143,690</w:t>
            </w:r>
          </w:p>
        </w:tc>
        <w:tc>
          <w:tcPr>
            <w:tcW w:w="0" w:type="dxa"/>
            <w:vAlign w:val="bottom"/>
          </w:tcPr>
          <w:p>
            <w:pPr>
              <w:spacing w:after="0"/>
              <w:rPr>
                <w:sz w:val="1"/>
                <w:szCs w:val="1"/>
                <w:color w:val="auto"/>
              </w:rPr>
            </w:pPr>
          </w:p>
        </w:tc>
      </w:tr>
      <w:tr>
        <w:trPr>
          <w:trHeight w:val="224"/>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Total net revenues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7"/>
              </w:rPr>
              <w:t>1,163,617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1,100,441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1,049,288</w:t>
            </w:r>
          </w:p>
        </w:tc>
        <w:tc>
          <w:tcPr>
            <w:tcW w:w="0" w:type="dxa"/>
            <w:vAlign w:val="bottom"/>
          </w:tcPr>
          <w:p>
            <w:pPr>
              <w:spacing w:after="0"/>
              <w:rPr>
                <w:sz w:val="1"/>
                <w:szCs w:val="1"/>
                <w:color w:val="auto"/>
              </w:rPr>
            </w:pPr>
          </w:p>
        </w:tc>
      </w:tr>
      <w:tr>
        <w:trPr>
          <w:trHeight w:val="258"/>
        </w:trPr>
        <w:tc>
          <w:tcPr>
            <w:tcW w:w="6760" w:type="dxa"/>
            <w:vAlign w:val="bottom"/>
            <w:shd w:val="clear" w:color="auto" w:fill="D2EEF5"/>
          </w:tcPr>
          <w:p>
            <w:pPr>
              <w:ind w:left="40"/>
              <w:spacing w:after="0"/>
              <w:rPr>
                <w:sz w:val="20"/>
                <w:szCs w:val="20"/>
                <w:color w:val="auto"/>
              </w:rPr>
            </w:pPr>
            <w:r>
              <w:rPr>
                <w:rFonts w:ascii="Arial" w:cs="Arial" w:eastAsia="Arial" w:hAnsi="Arial"/>
                <w:sz w:val="18"/>
                <w:szCs w:val="18"/>
                <w:b w:val="1"/>
                <w:bCs w:val="1"/>
                <w:color w:val="auto"/>
              </w:rPr>
              <w:t>Cost of revenues:</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spacing w:after="0"/>
              <w:rPr>
                <w:sz w:val="22"/>
                <w:szCs w:val="22"/>
                <w:color w:val="auto"/>
              </w:rPr>
            </w:pP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spacing w:after="0"/>
              <w:rPr>
                <w:sz w:val="22"/>
                <w:szCs w:val="22"/>
                <w:color w:val="auto"/>
              </w:rPr>
            </w:pP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760" w:type="dxa"/>
            <w:vAlign w:val="bottom"/>
          </w:tcPr>
          <w:p>
            <w:pPr>
              <w:ind w:left="480"/>
              <w:spacing w:after="0"/>
              <w:rPr>
                <w:sz w:val="20"/>
                <w:szCs w:val="20"/>
                <w:color w:val="auto"/>
              </w:rPr>
            </w:pPr>
            <w:r>
              <w:rPr>
                <w:rFonts w:ascii="Arial" w:cs="Arial" w:eastAsia="Arial" w:hAnsi="Arial"/>
                <w:sz w:val="18"/>
                <w:szCs w:val="18"/>
                <w:color w:val="auto"/>
              </w:rPr>
              <w:t>Service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456,311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418,611</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D2EEF5"/>
            </w:tcBorders>
            <w:shd w:val="clear" w:color="auto" w:fill="D2EEF5"/>
          </w:tcPr>
          <w:p>
            <w:pPr>
              <w:ind w:left="48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b w:val="1"/>
                <w:bCs w:val="1"/>
                <w:color w:val="auto"/>
              </w:rPr>
              <w:t>61,772</w:t>
            </w:r>
          </w:p>
        </w:tc>
        <w:tc>
          <w:tcPr>
            <w:tcW w:w="10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58,603</w:t>
            </w:r>
          </w:p>
        </w:tc>
        <w:tc>
          <w:tcPr>
            <w:tcW w:w="10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53,519</w:t>
            </w:r>
          </w:p>
        </w:tc>
        <w:tc>
          <w:tcPr>
            <w:tcW w:w="0" w:type="dxa"/>
            <w:vAlign w:val="bottom"/>
          </w:tcPr>
          <w:p>
            <w:pPr>
              <w:spacing w:after="0"/>
              <w:rPr>
                <w:sz w:val="1"/>
                <w:szCs w:val="1"/>
                <w:color w:val="auto"/>
              </w:rPr>
            </w:pPr>
          </w:p>
        </w:tc>
      </w:tr>
      <w:tr>
        <w:trPr>
          <w:trHeight w:val="217"/>
        </w:trPr>
        <w:tc>
          <w:tcPr>
            <w:tcW w:w="6760" w:type="dxa"/>
            <w:vAlign w:val="bottom"/>
            <w:tcBorders>
              <w:bottom w:val="single" w:sz="8" w:color="D2EEF5"/>
            </w:tcBorders>
          </w:tcPr>
          <w:p>
            <w:pPr>
              <w:ind w:left="40"/>
              <w:spacing w:after="0"/>
              <w:rPr>
                <w:sz w:val="20"/>
                <w:szCs w:val="20"/>
                <w:color w:val="auto"/>
              </w:rPr>
            </w:pPr>
            <w:r>
              <w:rPr>
                <w:rFonts w:ascii="Arial" w:cs="Arial" w:eastAsia="Arial" w:hAnsi="Arial"/>
                <w:sz w:val="18"/>
                <w:szCs w:val="18"/>
                <w:b w:val="1"/>
                <w:bCs w:val="1"/>
                <w:color w:val="auto"/>
              </w:rPr>
              <w:t>Total cost of revenues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518,083</w:t>
            </w:r>
          </w:p>
        </w:tc>
        <w:tc>
          <w:tcPr>
            <w:tcW w:w="100" w:type="dxa"/>
            <w:vAlign w:val="bottom"/>
            <w:tcBorders>
              <w:bottom w:val="single" w:sz="8" w:color="D2EEF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498,146</w:t>
            </w:r>
          </w:p>
        </w:tc>
        <w:tc>
          <w:tcPr>
            <w:tcW w:w="100" w:type="dxa"/>
            <w:vAlign w:val="bottom"/>
            <w:tcBorders>
              <w:bottom w:val="single" w:sz="8" w:color="D2EEF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472,130</w:t>
            </w:r>
          </w:p>
        </w:tc>
        <w:tc>
          <w:tcPr>
            <w:tcW w:w="0" w:type="dxa"/>
            <w:vAlign w:val="bottom"/>
          </w:tcPr>
          <w:p>
            <w:pPr>
              <w:spacing w:after="0"/>
              <w:rPr>
                <w:sz w:val="1"/>
                <w:szCs w:val="1"/>
                <w:color w:val="auto"/>
              </w:rPr>
            </w:pPr>
          </w:p>
        </w:tc>
      </w:tr>
      <w:tr>
        <w:trPr>
          <w:trHeight w:val="245"/>
        </w:trPr>
        <w:tc>
          <w:tcPr>
            <w:tcW w:w="6760" w:type="dxa"/>
            <w:vAlign w:val="bottom"/>
            <w:shd w:val="clear" w:color="auto" w:fill="D2EEF5"/>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645,534</w:t>
            </w:r>
          </w:p>
        </w:tc>
        <w:tc>
          <w:tcPr>
            <w:tcW w:w="100" w:type="dxa"/>
            <w:vAlign w:val="bottom"/>
            <w:shd w:val="clear" w:color="auto" w:fill="D2EEF5"/>
          </w:tcPr>
          <w:p>
            <w:pPr>
              <w:spacing w:after="0"/>
              <w:rPr>
                <w:sz w:val="21"/>
                <w:szCs w:val="21"/>
                <w:color w:val="auto"/>
              </w:rPr>
            </w:pPr>
          </w:p>
        </w:tc>
        <w:tc>
          <w:tcPr>
            <w:tcW w:w="2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602,295</w:t>
            </w:r>
          </w:p>
        </w:tc>
        <w:tc>
          <w:tcPr>
            <w:tcW w:w="100" w:type="dxa"/>
            <w:vAlign w:val="bottom"/>
            <w:shd w:val="clear" w:color="auto" w:fill="D2EEF5"/>
          </w:tcPr>
          <w:p>
            <w:pPr>
              <w:spacing w:after="0"/>
              <w:rPr>
                <w:sz w:val="21"/>
                <w:szCs w:val="21"/>
                <w:color w:val="auto"/>
              </w:rPr>
            </w:pPr>
          </w:p>
        </w:tc>
        <w:tc>
          <w:tcPr>
            <w:tcW w:w="2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577,158</w:t>
            </w:r>
          </w:p>
        </w:tc>
        <w:tc>
          <w:tcPr>
            <w:tcW w:w="0" w:type="dxa"/>
            <w:vAlign w:val="bottom"/>
          </w:tcPr>
          <w:p>
            <w:pPr>
              <w:spacing w:after="0"/>
              <w:rPr>
                <w:sz w:val="1"/>
                <w:szCs w:val="1"/>
                <w:color w:val="auto"/>
              </w:rPr>
            </w:pPr>
          </w:p>
        </w:tc>
      </w:tr>
      <w:tr>
        <w:trPr>
          <w:trHeight w:val="248"/>
        </w:trPr>
        <w:tc>
          <w:tcPr>
            <w:tcW w:w="67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252,762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236,667</w:t>
            </w:r>
          </w:p>
        </w:tc>
        <w:tc>
          <w:tcPr>
            <w:tcW w:w="0" w:type="dxa"/>
            <w:vAlign w:val="bottom"/>
          </w:tcPr>
          <w:p>
            <w:pPr>
              <w:spacing w:after="0"/>
              <w:rPr>
                <w:sz w:val="1"/>
                <w:szCs w:val="1"/>
                <w:color w:val="auto"/>
              </w:rPr>
            </w:pPr>
          </w:p>
        </w:tc>
      </w:tr>
      <w:tr>
        <w:trPr>
          <w:trHeight w:val="262"/>
        </w:trPr>
        <w:tc>
          <w:tcPr>
            <w:tcW w:w="6760" w:type="dxa"/>
            <w:vAlign w:val="bottom"/>
            <w:shd w:val="clear" w:color="auto" w:fill="D2EEF5"/>
          </w:tcPr>
          <w:p>
            <w:pPr>
              <w:ind w:left="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30,738</w:t>
            </w: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62,039</w:t>
            </w: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63,799</w:t>
            </w:r>
          </w:p>
        </w:tc>
        <w:tc>
          <w:tcPr>
            <w:tcW w:w="0" w:type="dxa"/>
            <w:vAlign w:val="bottom"/>
          </w:tcPr>
          <w:p>
            <w:pPr>
              <w:spacing w:after="0"/>
              <w:rPr>
                <w:sz w:val="1"/>
                <w:szCs w:val="1"/>
                <w:color w:val="auto"/>
              </w:rPr>
            </w:pPr>
          </w:p>
        </w:tc>
      </w:tr>
      <w:tr>
        <w:trPr>
          <w:trHeight w:val="248"/>
        </w:trPr>
        <w:tc>
          <w:tcPr>
            <w:tcW w:w="67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155,722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142,878</w:t>
            </w:r>
          </w:p>
        </w:tc>
        <w:tc>
          <w:tcPr>
            <w:tcW w:w="0" w:type="dxa"/>
            <w:vAlign w:val="bottom"/>
          </w:tcPr>
          <w:p>
            <w:pPr>
              <w:spacing w:after="0"/>
              <w:rPr>
                <w:sz w:val="1"/>
                <w:szCs w:val="1"/>
                <w:color w:val="auto"/>
              </w:rPr>
            </w:pPr>
          </w:p>
        </w:tc>
      </w:tr>
      <w:tr>
        <w:trPr>
          <w:trHeight w:val="262"/>
        </w:trPr>
        <w:tc>
          <w:tcPr>
            <w:tcW w:w="6760" w:type="dxa"/>
            <w:vAlign w:val="bottom"/>
            <w:shd w:val="clear" w:color="auto" w:fill="D2EEF5"/>
          </w:tcPr>
          <w:p>
            <w:pPr>
              <w:ind w:left="40"/>
              <w:spacing w:after="0"/>
              <w:rPr>
                <w:sz w:val="20"/>
                <w:szCs w:val="20"/>
                <w:color w:val="auto"/>
              </w:rPr>
            </w:pPr>
            <w:r>
              <w:rPr>
                <w:rFonts w:ascii="Arial" w:cs="Arial" w:eastAsia="Arial" w:hAnsi="Arial"/>
                <w:sz w:val="18"/>
                <w:szCs w:val="18"/>
                <w:color w:val="auto"/>
              </w:rPr>
              <w:t>Loss on refinancing of debt</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1,462</w:t>
            </w: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24,168</w:t>
            </w: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60" w:type="dxa"/>
            <w:vAlign w:val="bottom"/>
          </w:tcPr>
          <w:p>
            <w:pPr>
              <w:ind w:left="40"/>
              <w:spacing w:after="0"/>
              <w:rPr>
                <w:sz w:val="20"/>
                <w:szCs w:val="20"/>
                <w:color w:val="auto"/>
              </w:rPr>
            </w:pPr>
            <w:r>
              <w:rPr>
                <w:rFonts w:ascii="Arial" w:cs="Arial" w:eastAsia="Arial" w:hAnsi="Arial"/>
                <w:sz w:val="18"/>
                <w:szCs w:val="18"/>
                <w:color w:val="auto"/>
              </w:rPr>
              <w:t>Georgia EO litigation settlement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62"/>
        </w:trPr>
        <w:tc>
          <w:tcPr>
            <w:tcW w:w="6760" w:type="dxa"/>
            <w:vAlign w:val="bottom"/>
            <w:shd w:val="clear" w:color="auto" w:fill="D2EEF5"/>
          </w:tcPr>
          <w:p>
            <w:pPr>
              <w:ind w:left="40"/>
              <w:spacing w:after="0"/>
              <w:rPr>
                <w:sz w:val="20"/>
                <w:szCs w:val="20"/>
                <w:color w:val="auto"/>
              </w:rPr>
            </w:pPr>
            <w:r>
              <w:rPr>
                <w:rFonts w:ascii="Arial" w:cs="Arial" w:eastAsia="Arial" w:hAnsi="Arial"/>
                <w:sz w:val="18"/>
                <w:szCs w:val="18"/>
                <w:color w:val="auto"/>
              </w:rPr>
              <w:t>Illinois EO litigation settlements</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64,943</w:t>
            </w: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60" w:type="dxa"/>
            <w:vAlign w:val="bottom"/>
          </w:tcPr>
          <w:p>
            <w:pPr>
              <w:ind w:left="40"/>
              <w:spacing w:after="0"/>
              <w:rPr>
                <w:sz w:val="20"/>
                <w:szCs w:val="20"/>
                <w:color w:val="auto"/>
              </w:rPr>
            </w:pPr>
            <w:r>
              <w:rPr>
                <w:rFonts w:ascii="Arial" w:cs="Arial" w:eastAsia="Arial" w:hAnsi="Arial"/>
                <w:sz w:val="18"/>
                <w:szCs w:val="18"/>
                <w:color w:val="auto"/>
              </w:rPr>
              <w:t>Foreign exchange loss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b w:val="1"/>
                <w:bCs w:val="1"/>
                <w:color w:val="auto"/>
              </w:rPr>
              <w:t>(8,546)</w:t>
            </w:r>
          </w:p>
        </w:tc>
        <w:tc>
          <w:tcPr>
            <w:tcW w:w="10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24"/>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147,506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106,027</w:t>
            </w:r>
          </w:p>
        </w:tc>
        <w:tc>
          <w:tcPr>
            <w:tcW w:w="0" w:type="dxa"/>
            <w:vAlign w:val="bottom"/>
          </w:tcPr>
          <w:p>
            <w:pPr>
              <w:spacing w:after="0"/>
              <w:rPr>
                <w:sz w:val="1"/>
                <w:szCs w:val="1"/>
                <w:color w:val="auto"/>
              </w:rPr>
            </w:pPr>
          </w:p>
        </w:tc>
      </w:tr>
      <w:tr>
        <w:trPr>
          <w:trHeight w:val="266"/>
        </w:trPr>
        <w:tc>
          <w:tcPr>
            <w:tcW w:w="676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b w:val="1"/>
                <w:bCs w:val="1"/>
                <w:color w:val="auto"/>
              </w:rPr>
              <w:t>69,557</w:t>
            </w:r>
          </w:p>
        </w:tc>
        <w:tc>
          <w:tcPr>
            <w:tcW w:w="10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69,476</w:t>
            </w:r>
          </w:p>
        </w:tc>
        <w:tc>
          <w:tcPr>
            <w:tcW w:w="10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spacing w:after="0"/>
              <w:rPr>
                <w:sz w:val="23"/>
                <w:szCs w:val="23"/>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8"/>
                <w:szCs w:val="18"/>
                <w:color w:val="auto"/>
              </w:rPr>
              <w:t>54,651</w:t>
            </w:r>
          </w:p>
        </w:tc>
        <w:tc>
          <w:tcPr>
            <w:tcW w:w="0" w:type="dxa"/>
            <w:vAlign w:val="bottom"/>
          </w:tcPr>
          <w:p>
            <w:pPr>
              <w:spacing w:after="0"/>
              <w:rPr>
                <w:sz w:val="1"/>
                <w:szCs w:val="1"/>
                <w:color w:val="auto"/>
              </w:rPr>
            </w:pPr>
          </w:p>
        </w:tc>
      </w:tr>
      <w:tr>
        <w:trPr>
          <w:trHeight w:val="217"/>
        </w:trPr>
        <w:tc>
          <w:tcPr>
            <w:tcW w:w="6760" w:type="dxa"/>
            <w:vAlign w:val="bottom"/>
            <w:tcBorders>
              <w:bottom w:val="single" w:sz="8" w:color="D2EEF5"/>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77,949</w:t>
            </w:r>
          </w:p>
        </w:tc>
        <w:tc>
          <w:tcPr>
            <w:tcW w:w="100" w:type="dxa"/>
            <w:vAlign w:val="bottom"/>
            <w:tcBorders>
              <w:bottom w:val="single" w:sz="8" w:color="D2EEF5"/>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44,398</w:t>
            </w:r>
          </w:p>
        </w:tc>
        <w:tc>
          <w:tcPr>
            <w:tcW w:w="100" w:type="dxa"/>
            <w:vAlign w:val="bottom"/>
            <w:tcBorders>
              <w:bottom w:val="single" w:sz="8" w:color="D2EEF5"/>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51,376</w:t>
            </w:r>
          </w:p>
        </w:tc>
        <w:tc>
          <w:tcPr>
            <w:tcW w:w="0" w:type="dxa"/>
            <w:vAlign w:val="bottom"/>
          </w:tcPr>
          <w:p>
            <w:pPr>
              <w:spacing w:after="0"/>
              <w:rPr>
                <w:sz w:val="1"/>
                <w:szCs w:val="1"/>
                <w:color w:val="auto"/>
              </w:rPr>
            </w:pPr>
          </w:p>
        </w:tc>
      </w:tr>
      <w:tr>
        <w:trPr>
          <w:trHeight w:val="245"/>
        </w:trPr>
        <w:tc>
          <w:tcPr>
            <w:tcW w:w="6760" w:type="dxa"/>
            <w:vAlign w:val="bottom"/>
            <w:shd w:val="clear" w:color="auto" w:fill="D2EEF5"/>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20" w:type="dxa"/>
            <w:vAlign w:val="bottom"/>
            <w:shd w:val="clear" w:color="auto" w:fill="D2EEF5"/>
          </w:tcPr>
          <w:p>
            <w:pPr>
              <w:spacing w:after="0"/>
              <w:rPr>
                <w:sz w:val="21"/>
                <w:szCs w:val="21"/>
                <w:color w:val="auto"/>
              </w:rPr>
            </w:pPr>
          </w:p>
        </w:tc>
        <w:tc>
          <w:tcPr>
            <w:tcW w:w="880" w:type="dxa"/>
            <w:vAlign w:val="bottom"/>
            <w:shd w:val="clear" w:color="auto" w:fill="D2EEF5"/>
          </w:tcPr>
          <w:p>
            <w:pPr>
              <w:spacing w:after="0"/>
              <w:rPr>
                <w:sz w:val="21"/>
                <w:szCs w:val="21"/>
                <w:color w:val="auto"/>
              </w:rPr>
            </w:pPr>
          </w:p>
        </w:tc>
        <w:tc>
          <w:tcPr>
            <w:tcW w:w="100" w:type="dxa"/>
            <w:vAlign w:val="bottom"/>
            <w:shd w:val="clear" w:color="auto" w:fill="D2EEF5"/>
          </w:tcPr>
          <w:p>
            <w:pPr>
              <w:spacing w:after="0"/>
              <w:rPr>
                <w:sz w:val="21"/>
                <w:szCs w:val="21"/>
                <w:color w:val="auto"/>
              </w:rPr>
            </w:pPr>
          </w:p>
        </w:tc>
        <w:tc>
          <w:tcPr>
            <w:tcW w:w="220" w:type="dxa"/>
            <w:vAlign w:val="bottom"/>
            <w:shd w:val="clear" w:color="auto" w:fill="D2EEF5"/>
          </w:tcPr>
          <w:p>
            <w:pPr>
              <w:spacing w:after="0"/>
              <w:rPr>
                <w:sz w:val="21"/>
                <w:szCs w:val="21"/>
                <w:color w:val="auto"/>
              </w:rPr>
            </w:pPr>
          </w:p>
        </w:tc>
        <w:tc>
          <w:tcPr>
            <w:tcW w:w="880" w:type="dxa"/>
            <w:vAlign w:val="bottom"/>
            <w:shd w:val="clear" w:color="auto" w:fill="D2EEF5"/>
          </w:tcPr>
          <w:p>
            <w:pPr>
              <w:spacing w:after="0"/>
              <w:rPr>
                <w:sz w:val="21"/>
                <w:szCs w:val="21"/>
                <w:color w:val="auto"/>
              </w:rPr>
            </w:pPr>
          </w:p>
        </w:tc>
        <w:tc>
          <w:tcPr>
            <w:tcW w:w="100" w:type="dxa"/>
            <w:vAlign w:val="bottom"/>
            <w:shd w:val="clear" w:color="auto" w:fill="D2EEF5"/>
          </w:tcPr>
          <w:p>
            <w:pPr>
              <w:spacing w:after="0"/>
              <w:rPr>
                <w:sz w:val="21"/>
                <w:szCs w:val="21"/>
                <w:color w:val="auto"/>
              </w:rPr>
            </w:pPr>
          </w:p>
        </w:tc>
        <w:tc>
          <w:tcPr>
            <w:tcW w:w="220" w:type="dxa"/>
            <w:vAlign w:val="bottom"/>
            <w:shd w:val="clear" w:color="auto" w:fill="D2EEF5"/>
          </w:tcPr>
          <w:p>
            <w:pPr>
              <w:spacing w:after="0"/>
              <w:rPr>
                <w:sz w:val="21"/>
                <w:szCs w:val="21"/>
                <w:color w:val="auto"/>
              </w:rPr>
            </w:pPr>
          </w:p>
        </w:tc>
        <w:tc>
          <w:tcPr>
            <w:tcW w:w="880" w:type="dxa"/>
            <w:vAlign w:val="bottom"/>
            <w:shd w:val="clear" w:color="auto" w:fill="D2EEF5"/>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6760" w:type="dxa"/>
            <w:vAlign w:val="bottom"/>
          </w:tcPr>
          <w:p>
            <w:pPr>
              <w:ind w:left="400"/>
              <w:spacing w:after="0" w:line="188" w:lineRule="exact"/>
              <w:rPr>
                <w:sz w:val="20"/>
                <w:szCs w:val="20"/>
                <w:color w:val="auto"/>
              </w:rPr>
            </w:pPr>
            <w:r>
              <w:rPr>
                <w:rFonts w:ascii="Arial" w:cs="Arial" w:eastAsia="Arial" w:hAnsi="Arial"/>
                <w:sz w:val="18"/>
                <w:szCs w:val="18"/>
                <w:color w:val="auto"/>
                <w:w w:val="98"/>
              </w:rPr>
              <w:t>Pension and post-retirement benefits (net of taxes of $600, $2,804 and $(3,420),</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2,386</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8,462</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41"/>
        </w:trPr>
        <w:tc>
          <w:tcPr>
            <w:tcW w:w="6760" w:type="dxa"/>
            <w:vAlign w:val="bottom"/>
          </w:tcPr>
          <w:p>
            <w:pPr>
              <w:ind w:left="580"/>
              <w:spacing w:after="0"/>
              <w:rPr>
                <w:sz w:val="20"/>
                <w:szCs w:val="20"/>
                <w:color w:val="auto"/>
              </w:rPr>
            </w:pPr>
            <w:r>
              <w:rPr>
                <w:rFonts w:ascii="Arial" w:cs="Arial" w:eastAsia="Arial" w:hAnsi="Arial"/>
                <w:sz w:val="18"/>
                <w:szCs w:val="18"/>
                <w:color w:val="auto"/>
              </w:rPr>
              <w:t>respectively)</w:t>
            </w:r>
          </w:p>
        </w:tc>
        <w:tc>
          <w:tcPr>
            <w:tcW w:w="2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760" w:type="dxa"/>
            <w:vAlign w:val="bottom"/>
            <w:shd w:val="clear" w:color="auto" w:fill="D2EEF5"/>
          </w:tcPr>
          <w:p>
            <w:pPr>
              <w:ind w:left="380"/>
              <w:spacing w:after="0"/>
              <w:rPr>
                <w:sz w:val="20"/>
                <w:szCs w:val="20"/>
                <w:color w:val="auto"/>
              </w:rPr>
            </w:pPr>
            <w:r>
              <w:rPr>
                <w:rFonts w:ascii="Arial" w:cs="Arial" w:eastAsia="Arial" w:hAnsi="Arial"/>
                <w:sz w:val="18"/>
                <w:szCs w:val="18"/>
                <w:color w:val="auto"/>
                <w:w w:val="95"/>
              </w:rPr>
              <w:t>Interest rate derivatives (net of taxes of $(718), $(1,856) and $(5,467), respectively)</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(2,088)</w:t>
            </w: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(5,396)</w:t>
            </w: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45"/>
        </w:trPr>
        <w:tc>
          <w:tcPr>
            <w:tcW w:w="6760" w:type="dxa"/>
            <w:vAlign w:val="bottom"/>
            <w:tcBorders>
              <w:bottom w:val="single" w:sz="8" w:color="D2EEF5"/>
            </w:tcBorders>
          </w:tcPr>
          <w:p>
            <w:pPr>
              <w:ind w:left="38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98,115</w:t>
            </w:r>
          </w:p>
        </w:tc>
        <w:tc>
          <w:tcPr>
            <w:tcW w:w="100" w:type="dxa"/>
            <w:vAlign w:val="bottom"/>
            <w:tcBorders>
              <w:bottom w:val="single" w:sz="8" w:color="D2EEF5"/>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(118,635)</w:t>
            </w:r>
          </w:p>
        </w:tc>
        <w:tc>
          <w:tcPr>
            <w:tcW w:w="100" w:type="dxa"/>
            <w:vAlign w:val="bottom"/>
            <w:tcBorders>
              <w:bottom w:val="single" w:sz="8" w:color="D2EEF5"/>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40,174</w:t>
            </w:r>
          </w:p>
        </w:tc>
        <w:tc>
          <w:tcPr>
            <w:tcW w:w="0" w:type="dxa"/>
            <w:vAlign w:val="bottom"/>
          </w:tcPr>
          <w:p>
            <w:pPr>
              <w:spacing w:after="0"/>
              <w:rPr>
                <w:sz w:val="1"/>
                <w:szCs w:val="1"/>
                <w:color w:val="auto"/>
              </w:rPr>
            </w:pPr>
          </w:p>
        </w:tc>
      </w:tr>
      <w:tr>
        <w:trPr>
          <w:trHeight w:val="245"/>
        </w:trPr>
        <w:tc>
          <w:tcPr>
            <w:tcW w:w="6760" w:type="dxa"/>
            <w:vAlign w:val="bottom"/>
            <w:shd w:val="clear" w:color="auto" w:fill="D2EEF5"/>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176,362</w:t>
            </w:r>
          </w:p>
        </w:tc>
        <w:tc>
          <w:tcPr>
            <w:tcW w:w="100" w:type="dxa"/>
            <w:vAlign w:val="bottom"/>
            <w:shd w:val="clear" w:color="auto" w:fill="D2EEF5"/>
          </w:tcPr>
          <w:p>
            <w:pPr>
              <w:spacing w:after="0"/>
              <w:rPr>
                <w:sz w:val="21"/>
                <w:szCs w:val="21"/>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(71,171)</w:t>
            </w:r>
          </w:p>
        </w:tc>
        <w:tc>
          <w:tcPr>
            <w:tcW w:w="100" w:type="dxa"/>
            <w:vAlign w:val="bottom"/>
            <w:shd w:val="clear" w:color="auto" w:fill="D2EEF5"/>
          </w:tcPr>
          <w:p>
            <w:pPr>
              <w:spacing w:after="0"/>
              <w:rPr>
                <w:sz w:val="21"/>
                <w:szCs w:val="21"/>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65,347</w:t>
            </w:r>
          </w:p>
        </w:tc>
        <w:tc>
          <w:tcPr>
            <w:tcW w:w="0" w:type="dxa"/>
            <w:vAlign w:val="bottom"/>
          </w:tcPr>
          <w:p>
            <w:pPr>
              <w:spacing w:after="0"/>
              <w:rPr>
                <w:sz w:val="1"/>
                <w:szCs w:val="1"/>
                <w:color w:val="auto"/>
              </w:rPr>
            </w:pPr>
          </w:p>
        </w:tc>
      </w:tr>
      <w:tr>
        <w:trPr>
          <w:trHeight w:val="248"/>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760" w:type="dxa"/>
            <w:vAlign w:val="bottom"/>
            <w:shd w:val="clear" w:color="auto" w:fill="D2EEF5"/>
          </w:tcPr>
          <w:p>
            <w:pPr>
              <w:ind w:left="4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0.27</w:t>
            </w:r>
          </w:p>
        </w:tc>
        <w:tc>
          <w:tcPr>
            <w:tcW w:w="320" w:type="dxa"/>
            <w:vAlign w:val="bottom"/>
            <w:gridSpan w:val="2"/>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0.16</w:t>
            </w:r>
          </w:p>
        </w:tc>
        <w:tc>
          <w:tcPr>
            <w:tcW w:w="320" w:type="dxa"/>
            <w:vAlign w:val="bottom"/>
            <w:gridSpan w:val="2"/>
            <w:shd w:val="clear" w:color="auto" w:fill="D2EEF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8"/>
        </w:trPr>
        <w:tc>
          <w:tcPr>
            <w:tcW w:w="6760" w:type="dxa"/>
            <w:vAlign w:val="bottom"/>
          </w:tcPr>
          <w:p>
            <w:pPr>
              <w:ind w:left="4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62"/>
        </w:trPr>
        <w:tc>
          <w:tcPr>
            <w:tcW w:w="6760" w:type="dxa"/>
            <w:vAlign w:val="bottom"/>
            <w:shd w:val="clear" w:color="auto" w:fill="D2EEF5"/>
          </w:tcPr>
          <w:p>
            <w:pPr>
              <w:ind w:left="40"/>
              <w:spacing w:after="0"/>
              <w:rPr>
                <w:sz w:val="20"/>
                <w:szCs w:val="20"/>
                <w:color w:val="auto"/>
              </w:rPr>
            </w:pPr>
            <w:r>
              <w:rPr>
                <w:rFonts w:ascii="Arial" w:cs="Arial" w:eastAsia="Arial" w:hAnsi="Arial"/>
                <w:sz w:val="18"/>
                <w:szCs w:val="18"/>
                <w:b w:val="1"/>
                <w:bCs w:val="1"/>
                <w:color w:val="auto"/>
              </w:rPr>
              <w:t>Weighted average number of shares outstanding:</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spacing w:after="0"/>
              <w:rPr>
                <w:sz w:val="22"/>
                <w:szCs w:val="22"/>
                <w:color w:val="auto"/>
              </w:rPr>
            </w:pP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spacing w:after="0"/>
              <w:rPr>
                <w:sz w:val="22"/>
                <w:szCs w:val="22"/>
                <w:color w:val="auto"/>
              </w:rPr>
            </w:pP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760" w:type="dxa"/>
            <w:vAlign w:val="bottom"/>
          </w:tcPr>
          <w:p>
            <w:pPr>
              <w:ind w:left="4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283,956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282,784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281,008</w:t>
            </w:r>
          </w:p>
        </w:tc>
        <w:tc>
          <w:tcPr>
            <w:tcW w:w="0" w:type="dxa"/>
            <w:vAlign w:val="bottom"/>
          </w:tcPr>
          <w:p>
            <w:pPr>
              <w:spacing w:after="0"/>
              <w:rPr>
                <w:sz w:val="1"/>
                <w:szCs w:val="1"/>
                <w:color w:val="auto"/>
              </w:rPr>
            </w:pPr>
          </w:p>
        </w:tc>
      </w:tr>
      <w:tr>
        <w:trPr>
          <w:trHeight w:val="261"/>
        </w:trPr>
        <w:tc>
          <w:tcPr>
            <w:tcW w:w="6760" w:type="dxa"/>
            <w:vAlign w:val="bottom"/>
            <w:shd w:val="clear" w:color="auto" w:fill="D2EEF5"/>
          </w:tcPr>
          <w:p>
            <w:pPr>
              <w:ind w:left="4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b w:val="1"/>
                <w:bCs w:val="1"/>
                <w:color w:val="auto"/>
              </w:rPr>
              <w:t>286,421</w:t>
            </w: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284,906</w:t>
            </w:r>
          </w:p>
        </w:tc>
        <w:tc>
          <w:tcPr>
            <w:tcW w:w="100" w:type="dxa"/>
            <w:vAlign w:val="bottom"/>
            <w:shd w:val="clear" w:color="auto" w:fill="D2EEF5"/>
          </w:tcPr>
          <w:p>
            <w:pPr>
              <w:spacing w:after="0"/>
              <w:rPr>
                <w:sz w:val="22"/>
                <w:szCs w:val="22"/>
                <w:color w:val="auto"/>
              </w:rPr>
            </w:pPr>
          </w:p>
        </w:tc>
        <w:tc>
          <w:tcPr>
            <w:tcW w:w="220" w:type="dxa"/>
            <w:vAlign w:val="bottom"/>
            <w:shd w:val="clear" w:color="auto" w:fill="D2EEF5"/>
          </w:tcPr>
          <w:p>
            <w:pPr>
              <w:spacing w:after="0"/>
              <w:rPr>
                <w:sz w:val="22"/>
                <w:szCs w:val="22"/>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8"/>
                <w:szCs w:val="18"/>
                <w:color w:val="auto"/>
              </w:rPr>
              <w:t>283,222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notes to consolidated financial statements.</w:t>
      </w:r>
    </w:p>
    <w:p>
      <w:pPr>
        <w:sectPr>
          <w:pgSz w:w="11880" w:h="15480" w:orient="portrait"/>
          <w:cols w:equalWidth="0" w:num="1">
            <w:col w:w="10260"/>
          </w:cols>
          <w:pgMar w:left="820" w:top="40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10260"/>
          </w:cols>
          <w:pgMar w:left="820" w:top="405" w:right="800" w:bottom="0" w:gutter="0" w:footer="0" w:header="0"/>
          <w:type w:val="continuous"/>
        </w:sectPr>
      </w:pPr>
    </w:p>
    <w:bookmarkStart w:id="75" w:name="page76"/>
    <w:bookmarkEnd w:id="75"/>
    <w:p>
      <w:pPr>
        <w:ind w:left="4080"/>
        <w:spacing w:after="0"/>
        <w:rPr>
          <w:sz w:val="20"/>
          <w:szCs w:val="20"/>
          <w:color w:val="auto"/>
        </w:rPr>
      </w:pPr>
      <w:r>
        <w:rPr>
          <w:rFonts w:ascii="Arial" w:cs="Arial" w:eastAsia="Arial" w:hAnsi="Arial"/>
          <w:sz w:val="20"/>
          <w:szCs w:val="20"/>
          <w:b w:val="1"/>
          <w:bCs w:val="1"/>
          <w:color w:val="auto"/>
        </w:rPr>
        <w:t>Sotera Health Company</w:t>
      </w:r>
    </w:p>
    <w:p>
      <w:pPr>
        <w:spacing w:after="0" w:line="130"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Pr>
          <w:p>
            <w:pPr>
              <w:spacing w:after="0"/>
              <w:rPr>
                <w:sz w:val="19"/>
                <w:szCs w:val="19"/>
                <w:color w:val="auto"/>
              </w:rPr>
            </w:pPr>
          </w:p>
        </w:tc>
      </w:tr>
      <w:tr>
        <w:trPr>
          <w:trHeight w:val="220"/>
        </w:trPr>
        <w:tc>
          <w:tcPr>
            <w:tcW w:w="6480" w:type="dxa"/>
            <w:vAlign w:val="bottom"/>
            <w:tcBorders>
              <w:bottom w:val="single" w:sz="8" w:color="D2EEF5"/>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D2EEF5"/>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D2EEF5"/>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2023</w:t>
            </w:r>
          </w:p>
        </w:tc>
      </w:tr>
      <w:tr>
        <w:trPr>
          <w:trHeight w:val="230"/>
        </w:trPr>
        <w:tc>
          <w:tcPr>
            <w:tcW w:w="6480" w:type="dxa"/>
            <w:vAlign w:val="bottom"/>
            <w:shd w:val="clear" w:color="auto" w:fill="D2EEF5"/>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60" w:type="dxa"/>
            <w:vAlign w:val="bottom"/>
            <w:shd w:val="clear" w:color="auto" w:fill="D2EEF5"/>
          </w:tcPr>
          <w:p>
            <w:pPr>
              <w:spacing w:after="0"/>
              <w:rPr>
                <w:sz w:val="20"/>
                <w:szCs w:val="20"/>
                <w:color w:val="auto"/>
              </w:rPr>
            </w:pPr>
          </w:p>
        </w:tc>
        <w:tc>
          <w:tcPr>
            <w:tcW w:w="320" w:type="dxa"/>
            <w:vAlign w:val="bottom"/>
            <w:shd w:val="clear" w:color="auto" w:fill="D2EEF5"/>
          </w:tcPr>
          <w:p>
            <w:pPr>
              <w:spacing w:after="0"/>
              <w:rPr>
                <w:sz w:val="20"/>
                <w:szCs w:val="20"/>
                <w:color w:val="auto"/>
              </w:rPr>
            </w:pPr>
          </w:p>
        </w:tc>
        <w:tc>
          <w:tcPr>
            <w:tcW w:w="880" w:type="dxa"/>
            <w:vAlign w:val="bottom"/>
            <w:shd w:val="clear" w:color="auto" w:fill="D2EEF5"/>
          </w:tcPr>
          <w:p>
            <w:pPr>
              <w:spacing w:after="0"/>
              <w:rPr>
                <w:sz w:val="20"/>
                <w:szCs w:val="20"/>
                <w:color w:val="auto"/>
              </w:rPr>
            </w:pPr>
          </w:p>
        </w:tc>
      </w:tr>
      <w:tr>
        <w:trPr>
          <w:trHeight w:val="232"/>
        </w:trPr>
        <w:tc>
          <w:tcPr>
            <w:tcW w:w="64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77,949</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44,398</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51,376</w:t>
            </w:r>
          </w:p>
        </w:tc>
      </w:tr>
      <w:tr>
        <w:trPr>
          <w:trHeight w:val="248"/>
        </w:trPr>
        <w:tc>
          <w:tcPr>
            <w:tcW w:w="6480" w:type="dxa"/>
            <w:vAlign w:val="bottom"/>
            <w:shd w:val="clear" w:color="auto" w:fill="D2EEF5"/>
          </w:tcPr>
          <w:p>
            <w:pPr>
              <w:ind w:left="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spacing w:after="0"/>
              <w:rPr>
                <w:sz w:val="21"/>
                <w:szCs w:val="21"/>
                <w:color w:val="auto"/>
              </w:rPr>
            </w:pP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spacing w:after="0"/>
              <w:rPr>
                <w:sz w:val="21"/>
                <w:szCs w:val="21"/>
                <w:color w:val="auto"/>
              </w:rPr>
            </w:pP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spacing w:after="0"/>
              <w:rPr>
                <w:sz w:val="21"/>
                <w:szCs w:val="21"/>
                <w:color w:val="auto"/>
              </w:rPr>
            </w:pPr>
          </w:p>
        </w:tc>
      </w:tr>
      <w:tr>
        <w:trPr>
          <w:trHeight w:val="232"/>
        </w:trPr>
        <w:tc>
          <w:tcPr>
            <w:tcW w:w="6480" w:type="dxa"/>
            <w:vAlign w:val="bottom"/>
          </w:tcPr>
          <w:p>
            <w:pPr>
              <w:ind w:left="40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94,908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84,260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76,577</w:t>
            </w:r>
          </w:p>
        </w:tc>
      </w:tr>
      <w:tr>
        <w:trPr>
          <w:trHeight w:val="248"/>
        </w:trPr>
        <w:tc>
          <w:tcPr>
            <w:tcW w:w="6480" w:type="dxa"/>
            <w:vAlign w:val="bottom"/>
            <w:shd w:val="clear" w:color="auto" w:fill="D2EEF5"/>
          </w:tcPr>
          <w:p>
            <w:pPr>
              <w:ind w:left="40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41,798</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79,377</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81,348</w:t>
            </w:r>
          </w:p>
        </w:tc>
      </w:tr>
      <w:tr>
        <w:trPr>
          <w:trHeight w:val="232"/>
        </w:trPr>
        <w:tc>
          <w:tcPr>
            <w:tcW w:w="6480" w:type="dxa"/>
            <w:vAlign w:val="bottom"/>
          </w:tcPr>
          <w:p>
            <w:pPr>
              <w:ind w:left="400"/>
              <w:spacing w:after="0"/>
              <w:rPr>
                <w:sz w:val="20"/>
                <w:szCs w:val="20"/>
                <w:color w:val="auto"/>
              </w:rPr>
            </w:pPr>
            <w:r>
              <w:rPr>
                <w:rFonts w:ascii="Arial" w:cs="Arial" w:eastAsia="Arial" w:hAnsi="Arial"/>
                <w:sz w:val="16"/>
                <w:szCs w:val="16"/>
                <w:color w:val="auto"/>
              </w:rPr>
              <w:t>Loss on refinancing of debt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24,168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6480" w:type="dxa"/>
            <w:vAlign w:val="bottom"/>
            <w:shd w:val="clear" w:color="auto" w:fill="D2EEF5"/>
          </w:tcPr>
          <w:p>
            <w:pPr>
              <w:ind w:left="40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9,433</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3,449</w:t>
            </w:r>
          </w:p>
        </w:tc>
      </w:tr>
      <w:tr>
        <w:trPr>
          <w:trHeight w:val="232"/>
        </w:trPr>
        <w:tc>
          <w:tcPr>
            <w:tcW w:w="6480" w:type="dxa"/>
            <w:vAlign w:val="bottom"/>
          </w:tcPr>
          <w:p>
            <w:pPr>
              <w:ind w:left="40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30,878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36,777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32,238</w:t>
            </w:r>
          </w:p>
        </w:tc>
      </w:tr>
      <w:tr>
        <w:trPr>
          <w:trHeight w:val="248"/>
        </w:trPr>
        <w:tc>
          <w:tcPr>
            <w:tcW w:w="6480" w:type="dxa"/>
            <w:vAlign w:val="bottom"/>
            <w:shd w:val="clear" w:color="auto" w:fill="D2EEF5"/>
          </w:tcPr>
          <w:p>
            <w:pPr>
              <w:ind w:left="40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2,321</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2,638</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2,413</w:t>
            </w:r>
          </w:p>
        </w:tc>
      </w:tr>
      <w:tr>
        <w:trPr>
          <w:trHeight w:val="232"/>
        </w:trPr>
        <w:tc>
          <w:tcPr>
            <w:tcW w:w="6480" w:type="dxa"/>
            <w:vAlign w:val="bottom"/>
          </w:tcPr>
          <w:p>
            <w:pPr>
              <w:ind w:left="400"/>
              <w:spacing w:after="0"/>
              <w:rPr>
                <w:sz w:val="20"/>
                <w:szCs w:val="20"/>
                <w:color w:val="auto"/>
              </w:rPr>
            </w:pPr>
            <w:r>
              <w:rPr>
                <w:rFonts w:ascii="Arial" w:cs="Arial" w:eastAsia="Arial" w:hAnsi="Arial"/>
                <w:sz w:val="16"/>
                <w:szCs w:val="16"/>
                <w:color w:val="auto"/>
              </w:rPr>
              <w:t>Unrealized foreign exchange loss (gain)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9,517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(18,337)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6,057</w:t>
            </w:r>
          </w:p>
        </w:tc>
      </w:tr>
      <w:tr>
        <w:trPr>
          <w:trHeight w:val="248"/>
        </w:trPr>
        <w:tc>
          <w:tcPr>
            <w:tcW w:w="6480" w:type="dxa"/>
            <w:vAlign w:val="bottom"/>
            <w:shd w:val="clear" w:color="auto" w:fill="D2EEF5"/>
          </w:tcPr>
          <w:p>
            <w:pPr>
              <w:ind w:left="400"/>
              <w:spacing w:after="0"/>
              <w:rPr>
                <w:sz w:val="20"/>
                <w:szCs w:val="20"/>
                <w:color w:val="auto"/>
              </w:rPr>
            </w:pPr>
            <w:r>
              <w:rPr>
                <w:rFonts w:ascii="Arial" w:cs="Arial" w:eastAsia="Arial" w:hAnsi="Arial"/>
                <w:sz w:val="16"/>
                <w:szCs w:val="16"/>
                <w:color w:val="auto"/>
              </w:rPr>
              <w:t>Unrealized (gain) loss on derivatives not designated as hedging instruments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(863)</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2,213</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(1,637)</w:t>
            </w:r>
          </w:p>
        </w:tc>
      </w:tr>
      <w:tr>
        <w:trPr>
          <w:trHeight w:val="232"/>
        </w:trPr>
        <w:tc>
          <w:tcPr>
            <w:tcW w:w="6480" w:type="dxa"/>
            <w:vAlign w:val="bottom"/>
          </w:tcPr>
          <w:p>
            <w:pPr>
              <w:ind w:left="40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7,238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9,051</w:t>
            </w:r>
          </w:p>
        </w:tc>
      </w:tr>
      <w:tr>
        <w:trPr>
          <w:trHeight w:val="248"/>
        </w:trPr>
        <w:tc>
          <w:tcPr>
            <w:tcW w:w="6480" w:type="dxa"/>
            <w:vAlign w:val="bottom"/>
            <w:shd w:val="clear" w:color="auto" w:fill="D2EEF5"/>
          </w:tcPr>
          <w:p>
            <w:pPr>
              <w:ind w:left="40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(4,275)</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(5,367)</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(5,319)</w:t>
            </w:r>
          </w:p>
        </w:tc>
      </w:tr>
      <w:tr>
        <w:trPr>
          <w:trHeight w:val="232"/>
        </w:trPr>
        <w:tc>
          <w:tcPr>
            <w:tcW w:w="6480" w:type="dxa"/>
            <w:vAlign w:val="bottom"/>
          </w:tcPr>
          <w:p>
            <w:pPr>
              <w:ind w:left="40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8"/>
        </w:trPr>
        <w:tc>
          <w:tcPr>
            <w:tcW w:w="6480" w:type="dxa"/>
            <w:vAlign w:val="bottom"/>
            <w:shd w:val="clear" w:color="auto" w:fill="D2EEF5"/>
          </w:tcPr>
          <w:p>
            <w:pPr>
              <w:ind w:left="76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7,151</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2,216</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(21,724)</w:t>
            </w:r>
          </w:p>
        </w:tc>
      </w:tr>
      <w:tr>
        <w:trPr>
          <w:trHeight w:val="232"/>
        </w:trPr>
        <w:tc>
          <w:tcPr>
            <w:tcW w:w="6480" w:type="dxa"/>
            <w:vAlign w:val="bottom"/>
          </w:tcPr>
          <w:p>
            <w:pPr>
              <w:ind w:left="76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(2,377)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(4,753)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(9,972)</w:t>
            </w:r>
          </w:p>
        </w:tc>
      </w:tr>
      <w:tr>
        <w:trPr>
          <w:trHeight w:val="248"/>
        </w:trPr>
        <w:tc>
          <w:tcPr>
            <w:tcW w:w="6480" w:type="dxa"/>
            <w:vAlign w:val="bottom"/>
            <w:shd w:val="clear" w:color="auto" w:fill="D2EEF5"/>
          </w:tcPr>
          <w:p>
            <w:pPr>
              <w:ind w:left="760"/>
              <w:spacing w:after="0"/>
              <w:rPr>
                <w:sz w:val="20"/>
                <w:szCs w:val="20"/>
                <w:color w:val="auto"/>
              </w:rPr>
            </w:pPr>
            <w:r>
              <w:rPr>
                <w:rFonts w:ascii="Arial" w:cs="Arial" w:eastAsia="Arial" w:hAnsi="Arial"/>
                <w:sz w:val="16"/>
                <w:szCs w:val="16"/>
                <w:color w:val="auto"/>
              </w:rPr>
              <w:t>Other current assets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(12,902)</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3,598</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4,003</w:t>
            </w:r>
          </w:p>
        </w:tc>
      </w:tr>
      <w:tr>
        <w:trPr>
          <w:trHeight w:val="232"/>
        </w:trPr>
        <w:tc>
          <w:tcPr>
            <w:tcW w:w="6480" w:type="dxa"/>
            <w:vAlign w:val="bottom"/>
          </w:tcPr>
          <w:p>
            <w:pPr>
              <w:ind w:left="76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5,185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(6,644)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(5,333)</w:t>
            </w:r>
          </w:p>
        </w:tc>
      </w:tr>
      <w:tr>
        <w:trPr>
          <w:trHeight w:val="248"/>
        </w:trPr>
        <w:tc>
          <w:tcPr>
            <w:tcW w:w="6480" w:type="dxa"/>
            <w:vAlign w:val="bottom"/>
            <w:shd w:val="clear" w:color="auto" w:fill="D2EEF5"/>
          </w:tcPr>
          <w:p>
            <w:pPr>
              <w:ind w:left="76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1,941</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7,114</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3,500</w:t>
            </w:r>
          </w:p>
        </w:tc>
      </w:tr>
      <w:tr>
        <w:trPr>
          <w:trHeight w:val="232"/>
        </w:trPr>
        <w:tc>
          <w:tcPr>
            <w:tcW w:w="6480" w:type="dxa"/>
            <w:vAlign w:val="bottom"/>
          </w:tcPr>
          <w:p>
            <w:pPr>
              <w:ind w:left="760"/>
              <w:spacing w:after="0"/>
              <w:rPr>
                <w:sz w:val="20"/>
                <w:szCs w:val="20"/>
                <w:color w:val="auto"/>
              </w:rPr>
            </w:pPr>
            <w:r>
              <w:rPr>
                <w:rFonts w:ascii="Arial" w:cs="Arial" w:eastAsia="Arial" w:hAnsi="Arial"/>
                <w:sz w:val="16"/>
                <w:szCs w:val="16"/>
                <w:color w:val="auto"/>
              </w:rPr>
              <w:t>Illinois EO litigation settlement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34,000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(407,712)</w:t>
            </w:r>
          </w:p>
        </w:tc>
      </w:tr>
      <w:tr>
        <w:trPr>
          <w:trHeight w:val="248"/>
        </w:trPr>
        <w:tc>
          <w:tcPr>
            <w:tcW w:w="6480" w:type="dxa"/>
            <w:vAlign w:val="bottom"/>
            <w:shd w:val="clear" w:color="auto" w:fill="D2EEF5"/>
          </w:tcPr>
          <w:p>
            <w:pPr>
              <w:ind w:left="760"/>
              <w:spacing w:after="0"/>
              <w:rPr>
                <w:sz w:val="20"/>
                <w:szCs w:val="20"/>
                <w:color w:val="auto"/>
              </w:rPr>
            </w:pPr>
            <w:r>
              <w:rPr>
                <w:rFonts w:ascii="Arial" w:cs="Arial" w:eastAsia="Arial" w:hAnsi="Arial"/>
                <w:sz w:val="16"/>
                <w:szCs w:val="16"/>
                <w:color w:val="auto"/>
              </w:rPr>
              <w:t>Georgia EO litigation settlement</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(35,000)</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35,000</w:t>
            </w:r>
          </w:p>
        </w:tc>
      </w:tr>
      <w:tr>
        <w:trPr>
          <w:trHeight w:val="232"/>
        </w:trPr>
        <w:tc>
          <w:tcPr>
            <w:tcW w:w="6480" w:type="dxa"/>
            <w:vAlign w:val="bottom"/>
          </w:tcPr>
          <w:p>
            <w:pPr>
              <w:ind w:left="760"/>
              <w:spacing w:after="0"/>
              <w:rPr>
                <w:sz w:val="20"/>
                <w:szCs w:val="20"/>
                <w:color w:val="auto"/>
              </w:rPr>
            </w:pPr>
            <w:r>
              <w:rPr>
                <w:rFonts w:ascii="Arial" w:cs="Arial" w:eastAsia="Arial" w:hAnsi="Arial"/>
                <w:sz w:val="16"/>
                <w:szCs w:val="16"/>
                <w:color w:val="auto"/>
              </w:rPr>
              <w:t>Income taxes payable / receivable, net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924</w:t>
            </w:r>
          </w:p>
        </w:tc>
      </w:tr>
      <w:tr>
        <w:trPr>
          <w:trHeight w:val="248"/>
        </w:trPr>
        <w:tc>
          <w:tcPr>
            <w:tcW w:w="6480" w:type="dxa"/>
            <w:vAlign w:val="bottom"/>
            <w:shd w:val="clear" w:color="auto" w:fill="D2EEF5"/>
          </w:tcPr>
          <w:p>
            <w:pPr>
              <w:ind w:left="760"/>
              <w:spacing w:after="0"/>
              <w:rPr>
                <w:sz w:val="20"/>
                <w:szCs w:val="20"/>
                <w:color w:val="auto"/>
              </w:rPr>
            </w:pPr>
            <w:r>
              <w:rPr>
                <w:rFonts w:ascii="Arial" w:cs="Arial" w:eastAsia="Arial" w:hAnsi="Arial"/>
                <w:sz w:val="16"/>
                <w:szCs w:val="16"/>
                <w:color w:val="auto"/>
              </w:rPr>
              <w:t>Other liabilities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295</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(3,793)</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(1,733)</w:t>
            </w:r>
          </w:p>
        </w:tc>
      </w:tr>
      <w:tr>
        <w:trPr>
          <w:trHeight w:val="230"/>
        </w:trPr>
        <w:tc>
          <w:tcPr>
            <w:tcW w:w="6480" w:type="dxa"/>
            <w:vAlign w:val="bottom"/>
            <w:tcBorders>
              <w:bottom w:val="single" w:sz="8" w:color="D2EEF5"/>
            </w:tcBorders>
          </w:tcPr>
          <w:p>
            <w:pPr>
              <w:ind w:left="76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w:t>
            </w:r>
          </w:p>
        </w:tc>
        <w:tc>
          <w:tcPr>
            <w:tcW w:w="120" w:type="dxa"/>
            <w:vAlign w:val="bottom"/>
            <w:tcBorders>
              <w:bottom w:val="single" w:sz="8" w:color="D2EEF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(6,842)</w:t>
            </w:r>
          </w:p>
        </w:tc>
        <w:tc>
          <w:tcPr>
            <w:tcW w:w="60" w:type="dxa"/>
            <w:vAlign w:val="bottom"/>
            <w:tcBorders>
              <w:bottom w:val="single" w:sz="8" w:color="D2EEF5"/>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r>
      <w:tr>
        <w:trPr>
          <w:trHeight w:val="230"/>
        </w:trPr>
        <w:tc>
          <w:tcPr>
            <w:tcW w:w="6480" w:type="dxa"/>
            <w:vAlign w:val="bottom"/>
            <w:shd w:val="clear" w:color="auto" w:fill="D2EEF5"/>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287,195</w:t>
            </w:r>
          </w:p>
        </w:tc>
        <w:tc>
          <w:tcPr>
            <w:tcW w:w="12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224,164</w:t>
            </w:r>
          </w:p>
        </w:tc>
        <w:tc>
          <w:tcPr>
            <w:tcW w:w="60" w:type="dxa"/>
            <w:vAlign w:val="bottom"/>
            <w:shd w:val="clear" w:color="auto" w:fill="D2EEF5"/>
          </w:tcPr>
          <w:p>
            <w:pPr>
              <w:spacing w:after="0"/>
              <w:rPr>
                <w:sz w:val="20"/>
                <w:szCs w:val="20"/>
                <w:color w:val="auto"/>
              </w:rPr>
            </w:pPr>
          </w:p>
        </w:tc>
        <w:tc>
          <w:tcPr>
            <w:tcW w:w="320" w:type="dxa"/>
            <w:vAlign w:val="bottom"/>
            <w:shd w:val="clear" w:color="auto" w:fill="D2EEF5"/>
          </w:tcPr>
          <w:p>
            <w:pPr>
              <w:spacing w:after="0"/>
              <w:rPr>
                <w:sz w:val="20"/>
                <w:szCs w:val="20"/>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(147,732)</w:t>
            </w:r>
          </w:p>
        </w:tc>
      </w:tr>
      <w:tr>
        <w:trPr>
          <w:trHeight w:val="232"/>
        </w:trPr>
        <w:tc>
          <w:tcPr>
            <w:tcW w:w="648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8"/>
        </w:trPr>
        <w:tc>
          <w:tcPr>
            <w:tcW w:w="6480" w:type="dxa"/>
            <w:vAlign w:val="bottom"/>
            <w:shd w:val="clear" w:color="auto" w:fill="D2EEF5"/>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(138,018)</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(179,070)</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(214,975)</w:t>
            </w:r>
          </w:p>
        </w:tc>
      </w:tr>
      <w:tr>
        <w:trPr>
          <w:trHeight w:val="230"/>
        </w:trPr>
        <w:tc>
          <w:tcPr>
            <w:tcW w:w="6480" w:type="dxa"/>
            <w:vAlign w:val="bottom"/>
            <w:tcBorders>
              <w:bottom w:val="single" w:sz="8" w:color="D2EEF5"/>
            </w:tcBorders>
          </w:tcPr>
          <w:p>
            <w:pPr>
              <w:ind w:left="4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2,874</w:t>
            </w:r>
          </w:p>
        </w:tc>
        <w:tc>
          <w:tcPr>
            <w:tcW w:w="120" w:type="dxa"/>
            <w:vAlign w:val="bottom"/>
            <w:tcBorders>
              <w:bottom w:val="single" w:sz="8" w:color="D2EEF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60" w:type="dxa"/>
            <w:vAlign w:val="bottom"/>
            <w:tcBorders>
              <w:bottom w:val="single" w:sz="8" w:color="D2EEF5"/>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30"/>
        </w:trPr>
        <w:tc>
          <w:tcPr>
            <w:tcW w:w="6480" w:type="dxa"/>
            <w:vAlign w:val="bottom"/>
            <w:shd w:val="clear" w:color="auto" w:fill="D2EEF5"/>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(135,144)</w:t>
            </w:r>
          </w:p>
        </w:tc>
        <w:tc>
          <w:tcPr>
            <w:tcW w:w="12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(178,996)</w:t>
            </w:r>
          </w:p>
        </w:tc>
        <w:tc>
          <w:tcPr>
            <w:tcW w:w="60" w:type="dxa"/>
            <w:vAlign w:val="bottom"/>
            <w:shd w:val="clear" w:color="auto" w:fill="D2EEF5"/>
          </w:tcPr>
          <w:p>
            <w:pPr>
              <w:spacing w:after="0"/>
              <w:rPr>
                <w:sz w:val="20"/>
                <w:szCs w:val="20"/>
                <w:color w:val="auto"/>
              </w:rPr>
            </w:pPr>
          </w:p>
        </w:tc>
        <w:tc>
          <w:tcPr>
            <w:tcW w:w="320" w:type="dxa"/>
            <w:vAlign w:val="bottom"/>
            <w:shd w:val="clear" w:color="auto" w:fill="D2EEF5"/>
          </w:tcPr>
          <w:p>
            <w:pPr>
              <w:spacing w:after="0"/>
              <w:rPr>
                <w:sz w:val="20"/>
                <w:szCs w:val="20"/>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(214,906)</w:t>
            </w:r>
          </w:p>
        </w:tc>
      </w:tr>
      <w:tr>
        <w:trPr>
          <w:trHeight w:val="232"/>
        </w:trPr>
        <w:tc>
          <w:tcPr>
            <w:tcW w:w="648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8"/>
        </w:trPr>
        <w:tc>
          <w:tcPr>
            <w:tcW w:w="6480" w:type="dxa"/>
            <w:vAlign w:val="bottom"/>
            <w:shd w:val="clear" w:color="auto" w:fill="D2EEF5"/>
          </w:tcPr>
          <w:p>
            <w:pPr>
              <w:ind w:left="40"/>
              <w:spacing w:after="0"/>
              <w:rPr>
                <w:sz w:val="20"/>
                <w:szCs w:val="20"/>
                <w:color w:val="auto"/>
              </w:rPr>
            </w:pPr>
            <w:r>
              <w:rPr>
                <w:rFonts w:ascii="Arial" w:cs="Arial" w:eastAsia="Arial" w:hAnsi="Arial"/>
                <w:sz w:val="16"/>
                <w:szCs w:val="16"/>
                <w:color w:val="auto"/>
              </w:rPr>
              <w:t>Proceeds from long-term borrowings</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2,259,350</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500,000</w:t>
            </w:r>
          </w:p>
        </w:tc>
      </w:tr>
      <w:tr>
        <w:trPr>
          <w:trHeight w:val="232"/>
        </w:trPr>
        <w:tc>
          <w:tcPr>
            <w:tcW w:w="6480" w:type="dxa"/>
            <w:vAlign w:val="bottom"/>
          </w:tcPr>
          <w:p>
            <w:pPr>
              <w:ind w:left="40"/>
              <w:spacing w:after="0"/>
              <w:rPr>
                <w:sz w:val="20"/>
                <w:szCs w:val="20"/>
                <w:color w:val="auto"/>
              </w:rPr>
            </w:pPr>
            <w:r>
              <w:rPr>
                <w:rFonts w:ascii="Arial" w:cs="Arial" w:eastAsia="Arial" w:hAnsi="Arial"/>
                <w:sz w:val="16"/>
                <w:szCs w:val="16"/>
                <w:color w:val="auto"/>
              </w:rPr>
              <w:t>Payment of revolving credit facility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248"/>
        </w:trPr>
        <w:tc>
          <w:tcPr>
            <w:tcW w:w="6480" w:type="dxa"/>
            <w:vAlign w:val="bottom"/>
            <w:shd w:val="clear" w:color="auto" w:fill="D2EEF5"/>
          </w:tcPr>
          <w:p>
            <w:pPr>
              <w:ind w:left="40"/>
              <w:spacing w:after="0"/>
              <w:rPr>
                <w:sz w:val="20"/>
                <w:szCs w:val="20"/>
                <w:color w:val="auto"/>
              </w:rPr>
            </w:pPr>
            <w:r>
              <w:rPr>
                <w:rFonts w:ascii="Arial" w:cs="Arial" w:eastAsia="Arial" w:hAnsi="Arial"/>
                <w:sz w:val="16"/>
                <w:szCs w:val="16"/>
                <w:color w:val="auto"/>
              </w:rPr>
              <w:t>Payments of debt issuance costs and debt discount</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(4,374)</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(32,071)</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(25,645)</w:t>
            </w:r>
          </w:p>
        </w:tc>
      </w:tr>
      <w:tr>
        <w:trPr>
          <w:trHeight w:val="232"/>
        </w:trPr>
        <w:tc>
          <w:tcPr>
            <w:tcW w:w="6480" w:type="dxa"/>
            <w:vAlign w:val="bottom"/>
          </w:tcPr>
          <w:p>
            <w:pPr>
              <w:ind w:left="40"/>
              <w:spacing w:after="0"/>
              <w:rPr>
                <w:sz w:val="20"/>
                <w:szCs w:val="20"/>
                <w:color w:val="auto"/>
              </w:rPr>
            </w:pPr>
            <w:r>
              <w:rPr>
                <w:rFonts w:ascii="Arial" w:cs="Arial" w:eastAsia="Arial" w:hAnsi="Arial"/>
                <w:sz w:val="16"/>
                <w:szCs w:val="16"/>
                <w:color w:val="auto"/>
              </w:rPr>
              <w:t>Payments of long-term borrowings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(86,104)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(2,264,373)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48"/>
        </w:trPr>
        <w:tc>
          <w:tcPr>
            <w:tcW w:w="6480" w:type="dxa"/>
            <w:vAlign w:val="bottom"/>
            <w:shd w:val="clear" w:color="auto" w:fill="D2EEF5"/>
          </w:tcPr>
          <w:p>
            <w:pPr>
              <w:ind w:left="40"/>
              <w:spacing w:after="0"/>
              <w:rPr>
                <w:sz w:val="20"/>
                <w:szCs w:val="20"/>
                <w:color w:val="auto"/>
              </w:rPr>
            </w:pPr>
            <w:r>
              <w:rPr>
                <w:rFonts w:ascii="Arial" w:cs="Arial" w:eastAsia="Arial" w:hAnsi="Arial"/>
                <w:sz w:val="16"/>
                <w:szCs w:val="16"/>
                <w:color w:val="auto"/>
              </w:rPr>
              <w:t>Buyout of leased facility</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(6,736)</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6480" w:type="dxa"/>
            <w:vAlign w:val="bottom"/>
          </w:tcPr>
          <w:p>
            <w:pPr>
              <w:ind w:left="40"/>
              <w:spacing w:after="0"/>
              <w:rPr>
                <w:sz w:val="20"/>
                <w:szCs w:val="20"/>
                <w:color w:val="auto"/>
              </w:rPr>
            </w:pPr>
            <w:r>
              <w:rPr>
                <w:rFonts w:ascii="Arial" w:cs="Arial" w:eastAsia="Arial" w:hAnsi="Arial"/>
                <w:sz w:val="16"/>
                <w:szCs w:val="16"/>
                <w:color w:val="auto"/>
              </w:rPr>
              <w:t>Shares withheld for employee taxes on equity awards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(6,568)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(4,428)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(4,089)</w:t>
            </w:r>
          </w:p>
        </w:tc>
      </w:tr>
      <w:tr>
        <w:trPr>
          <w:trHeight w:val="255"/>
        </w:trPr>
        <w:tc>
          <w:tcPr>
            <w:tcW w:w="648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b w:val="1"/>
                <w:bCs w:val="1"/>
                <w:color w:val="auto"/>
              </w:rPr>
              <w:t>(3,488)</w:t>
            </w:r>
          </w:p>
        </w:tc>
        <w:tc>
          <w:tcPr>
            <w:tcW w:w="120" w:type="dxa"/>
            <w:vAlign w:val="bottom"/>
            <w:tcBorders>
              <w:bottom w:val="single" w:sz="8" w:color="D2EEF5"/>
            </w:tcBorders>
            <w:shd w:val="clear" w:color="auto" w:fill="D2EEF5"/>
          </w:tcPr>
          <w:p>
            <w:pPr>
              <w:spacing w:after="0"/>
              <w:rPr>
                <w:sz w:val="22"/>
                <w:szCs w:val="22"/>
                <w:color w:val="auto"/>
              </w:rPr>
            </w:pPr>
          </w:p>
        </w:tc>
        <w:tc>
          <w:tcPr>
            <w:tcW w:w="28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(2,306)</w:t>
            </w:r>
          </w:p>
        </w:tc>
        <w:tc>
          <w:tcPr>
            <w:tcW w:w="60" w:type="dxa"/>
            <w:vAlign w:val="bottom"/>
            <w:tcBorders>
              <w:bottom w:val="single" w:sz="8" w:color="D2EEF5"/>
            </w:tcBorders>
            <w:shd w:val="clear" w:color="auto" w:fill="D2EEF5"/>
          </w:tcPr>
          <w:p>
            <w:pPr>
              <w:spacing w:after="0"/>
              <w:rPr>
                <w:sz w:val="22"/>
                <w:szCs w:val="22"/>
                <w:color w:val="auto"/>
              </w:rPr>
            </w:pPr>
          </w:p>
        </w:tc>
        <w:tc>
          <w:tcPr>
            <w:tcW w:w="320" w:type="dxa"/>
            <w:vAlign w:val="bottom"/>
            <w:tcBorders>
              <w:bottom w:val="single" w:sz="8" w:color="auto"/>
            </w:tcBorders>
            <w:shd w:val="clear" w:color="auto" w:fill="D2EEF5"/>
          </w:tcPr>
          <w:p>
            <w:pPr>
              <w:spacing w:after="0"/>
              <w:rPr>
                <w:sz w:val="22"/>
                <w:szCs w:val="22"/>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(1,807)</w:t>
            </w:r>
          </w:p>
        </w:tc>
      </w:tr>
      <w:tr>
        <w:trPr>
          <w:trHeight w:val="205"/>
        </w:trPr>
        <w:tc>
          <w:tcPr>
            <w:tcW w:w="6480" w:type="dxa"/>
            <w:vAlign w:val="bottom"/>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(100,534)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(50,564)</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265,959</w:t>
            </w:r>
          </w:p>
        </w:tc>
      </w:tr>
      <w:tr>
        <w:trPr>
          <w:trHeight w:val="255"/>
        </w:trPr>
        <w:tc>
          <w:tcPr>
            <w:tcW w:w="648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b w:val="1"/>
                <w:bCs w:val="1"/>
                <w:color w:val="auto"/>
              </w:rPr>
              <w:t>16,074</w:t>
            </w:r>
          </w:p>
        </w:tc>
        <w:tc>
          <w:tcPr>
            <w:tcW w:w="120" w:type="dxa"/>
            <w:vAlign w:val="bottom"/>
            <w:tcBorders>
              <w:bottom w:val="single" w:sz="8" w:color="D2EEF5"/>
            </w:tcBorders>
            <w:shd w:val="clear" w:color="auto" w:fill="D2EEF5"/>
          </w:tcPr>
          <w:p>
            <w:pPr>
              <w:spacing w:after="0"/>
              <w:rPr>
                <w:sz w:val="22"/>
                <w:szCs w:val="22"/>
                <w:color w:val="auto"/>
              </w:rPr>
            </w:pPr>
          </w:p>
        </w:tc>
        <w:tc>
          <w:tcPr>
            <w:tcW w:w="28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(17,393)</w:t>
            </w:r>
          </w:p>
        </w:tc>
        <w:tc>
          <w:tcPr>
            <w:tcW w:w="60" w:type="dxa"/>
            <w:vAlign w:val="bottom"/>
            <w:tcBorders>
              <w:bottom w:val="single" w:sz="8" w:color="D2EEF5"/>
            </w:tcBorders>
            <w:shd w:val="clear" w:color="auto" w:fill="D2EEF5"/>
          </w:tcPr>
          <w:p>
            <w:pPr>
              <w:spacing w:after="0"/>
              <w:rPr>
                <w:sz w:val="22"/>
                <w:szCs w:val="22"/>
                <w:color w:val="auto"/>
              </w:rPr>
            </w:pPr>
          </w:p>
        </w:tc>
        <w:tc>
          <w:tcPr>
            <w:tcW w:w="320" w:type="dxa"/>
            <w:vAlign w:val="bottom"/>
            <w:tcBorders>
              <w:bottom w:val="single" w:sz="8" w:color="auto"/>
            </w:tcBorders>
            <w:shd w:val="clear" w:color="auto" w:fill="D2EEF5"/>
          </w:tcPr>
          <w:p>
            <w:pPr>
              <w:spacing w:after="0"/>
              <w:rPr>
                <w:sz w:val="22"/>
                <w:szCs w:val="22"/>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2,039</w:t>
            </w:r>
          </w:p>
        </w:tc>
      </w:tr>
      <w:tr>
        <w:trPr>
          <w:trHeight w:val="205"/>
        </w:trPr>
        <w:tc>
          <w:tcPr>
            <w:tcW w:w="648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 including restricted cash</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67,591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(22,789)</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(94,640)</w:t>
            </w:r>
          </w:p>
        </w:tc>
      </w:tr>
      <w:tr>
        <w:trPr>
          <w:trHeight w:val="255"/>
        </w:trPr>
        <w:tc>
          <w:tcPr>
            <w:tcW w:w="648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16"/>
                <w:szCs w:val="16"/>
                <w:color w:val="auto"/>
              </w:rPr>
              <w:t>Cash and cash equivalents, including restricted cash, at beginning of period</w:t>
            </w:r>
          </w:p>
        </w:tc>
        <w:tc>
          <w:tcPr>
            <w:tcW w:w="28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b w:val="1"/>
                <w:bCs w:val="1"/>
                <w:color w:val="auto"/>
              </w:rPr>
              <w:t>278,865</w:t>
            </w:r>
          </w:p>
        </w:tc>
        <w:tc>
          <w:tcPr>
            <w:tcW w:w="120" w:type="dxa"/>
            <w:vAlign w:val="bottom"/>
            <w:tcBorders>
              <w:bottom w:val="single" w:sz="8" w:color="D2EEF5"/>
            </w:tcBorders>
            <w:shd w:val="clear" w:color="auto" w:fill="D2EEF5"/>
          </w:tcPr>
          <w:p>
            <w:pPr>
              <w:spacing w:after="0"/>
              <w:rPr>
                <w:sz w:val="22"/>
                <w:szCs w:val="22"/>
                <w:color w:val="auto"/>
              </w:rPr>
            </w:pPr>
          </w:p>
        </w:tc>
        <w:tc>
          <w:tcPr>
            <w:tcW w:w="280" w:type="dxa"/>
            <w:vAlign w:val="bottom"/>
            <w:tcBorders>
              <w:bottom w:val="single" w:sz="8" w:color="auto"/>
            </w:tcBorders>
            <w:shd w:val="clear" w:color="auto" w:fill="D2EEF5"/>
          </w:tcPr>
          <w:p>
            <w:pPr>
              <w:spacing w:after="0"/>
              <w:rPr>
                <w:sz w:val="22"/>
                <w:szCs w:val="22"/>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301,654</w:t>
            </w:r>
          </w:p>
        </w:tc>
        <w:tc>
          <w:tcPr>
            <w:tcW w:w="60" w:type="dxa"/>
            <w:vAlign w:val="bottom"/>
            <w:tcBorders>
              <w:bottom w:val="single" w:sz="8" w:color="D2EEF5"/>
            </w:tcBorders>
            <w:shd w:val="clear" w:color="auto" w:fill="D2EEF5"/>
          </w:tcPr>
          <w:p>
            <w:pPr>
              <w:spacing w:after="0"/>
              <w:rPr>
                <w:sz w:val="22"/>
                <w:szCs w:val="22"/>
                <w:color w:val="auto"/>
              </w:rPr>
            </w:pPr>
          </w:p>
        </w:tc>
        <w:tc>
          <w:tcPr>
            <w:tcW w:w="320" w:type="dxa"/>
            <w:vAlign w:val="bottom"/>
            <w:tcBorders>
              <w:bottom w:val="single" w:sz="8" w:color="auto"/>
            </w:tcBorders>
            <w:shd w:val="clear" w:color="auto" w:fill="D2EEF5"/>
          </w:tcPr>
          <w:p>
            <w:pPr>
              <w:spacing w:after="0"/>
              <w:rPr>
                <w:sz w:val="22"/>
                <w:szCs w:val="22"/>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6"/>
                <w:szCs w:val="16"/>
                <w:color w:val="auto"/>
              </w:rPr>
              <w:t>396,294</w:t>
            </w:r>
          </w:p>
        </w:tc>
      </w:tr>
      <w:tr>
        <w:trPr>
          <w:trHeight w:val="183"/>
        </w:trPr>
        <w:tc>
          <w:tcPr>
            <w:tcW w:w="6480" w:type="dxa"/>
            <w:vAlign w:val="bottom"/>
          </w:tcPr>
          <w:p>
            <w:pPr>
              <w:ind w:left="40"/>
              <w:spacing w:after="0"/>
              <w:rPr>
                <w:sz w:val="20"/>
                <w:szCs w:val="20"/>
                <w:color w:val="auto"/>
              </w:rPr>
            </w:pPr>
            <w:r>
              <w:rPr>
                <w:rFonts w:ascii="Arial" w:cs="Arial" w:eastAsia="Arial" w:hAnsi="Arial"/>
                <w:sz w:val="16"/>
                <w:szCs w:val="16"/>
                <w:color w:val="auto"/>
              </w:rPr>
              <w:t>Cash and cash equivalents, including restricted cash, at end of period</w:t>
            </w:r>
          </w:p>
        </w:tc>
        <w:tc>
          <w:tcPr>
            <w:tcW w:w="2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346,456</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278,865</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301,654</w:t>
            </w:r>
          </w:p>
        </w:tc>
      </w:tr>
      <w:tr>
        <w:trPr>
          <w:trHeight w:val="20"/>
        </w:trPr>
        <w:tc>
          <w:tcPr>
            <w:tcW w:w="6480" w:type="dxa"/>
            <w:vAlign w:val="bottom"/>
            <w:tcBorders>
              <w:bottom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480" w:type="dxa"/>
            <w:vAlign w:val="bottom"/>
            <w:shd w:val="clear" w:color="auto" w:fill="D2EEF5"/>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shd w:val="clear" w:color="auto" w:fill="D2EEF5"/>
          </w:tcPr>
          <w:p>
            <w:pPr>
              <w:spacing w:after="0"/>
              <w:rPr>
                <w:sz w:val="18"/>
                <w:szCs w:val="18"/>
                <w:color w:val="auto"/>
              </w:rPr>
            </w:pPr>
          </w:p>
        </w:tc>
        <w:tc>
          <w:tcPr>
            <w:tcW w:w="92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280" w:type="dxa"/>
            <w:vAlign w:val="bottom"/>
            <w:shd w:val="clear" w:color="auto" w:fill="D2EEF5"/>
          </w:tcPr>
          <w:p>
            <w:pPr>
              <w:spacing w:after="0"/>
              <w:rPr>
                <w:sz w:val="18"/>
                <w:szCs w:val="18"/>
                <w:color w:val="auto"/>
              </w:rPr>
            </w:pPr>
          </w:p>
        </w:tc>
        <w:tc>
          <w:tcPr>
            <w:tcW w:w="92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320" w:type="dxa"/>
            <w:vAlign w:val="bottom"/>
            <w:shd w:val="clear" w:color="auto" w:fill="D2EEF5"/>
          </w:tcPr>
          <w:p>
            <w:pPr>
              <w:spacing w:after="0"/>
              <w:rPr>
                <w:sz w:val="18"/>
                <w:szCs w:val="18"/>
                <w:color w:val="auto"/>
              </w:rPr>
            </w:pPr>
          </w:p>
        </w:tc>
        <w:tc>
          <w:tcPr>
            <w:tcW w:w="880" w:type="dxa"/>
            <w:vAlign w:val="bottom"/>
            <w:shd w:val="clear" w:color="auto" w:fill="D2EEF5"/>
          </w:tcPr>
          <w:p>
            <w:pPr>
              <w:spacing w:after="0"/>
              <w:rPr>
                <w:sz w:val="18"/>
                <w:szCs w:val="18"/>
                <w:color w:val="auto"/>
              </w:rPr>
            </w:pPr>
          </w:p>
        </w:tc>
      </w:tr>
      <w:tr>
        <w:trPr>
          <w:trHeight w:val="232"/>
        </w:trPr>
        <w:tc>
          <w:tcPr>
            <w:tcW w:w="6480" w:type="dxa"/>
            <w:vAlign w:val="bottom"/>
          </w:tcPr>
          <w:p>
            <w:pPr>
              <w:ind w:left="400"/>
              <w:spacing w:after="0"/>
              <w:rPr>
                <w:sz w:val="20"/>
                <w:szCs w:val="20"/>
                <w:color w:val="auto"/>
              </w:rPr>
            </w:pPr>
            <w:r>
              <w:rPr>
                <w:rFonts w:ascii="Arial" w:cs="Arial" w:eastAsia="Arial" w:hAnsi="Arial"/>
                <w:sz w:val="16"/>
                <w:szCs w:val="16"/>
                <w:color w:val="auto"/>
              </w:rPr>
              <w:t>Cash paid during the period for interest</w:t>
            </w:r>
          </w:p>
        </w:tc>
        <w:tc>
          <w:tcPr>
            <w:tcW w:w="2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164,015</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179,924</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173,842</w:t>
            </w:r>
          </w:p>
        </w:tc>
      </w:tr>
      <w:tr>
        <w:trPr>
          <w:trHeight w:val="248"/>
        </w:trPr>
        <w:tc>
          <w:tcPr>
            <w:tcW w:w="6480" w:type="dxa"/>
            <w:vAlign w:val="bottom"/>
            <w:shd w:val="clear" w:color="auto" w:fill="D2EEF5"/>
          </w:tcPr>
          <w:p>
            <w:pPr>
              <w:ind w:left="400"/>
              <w:spacing w:after="0"/>
              <w:rPr>
                <w:sz w:val="20"/>
                <w:szCs w:val="20"/>
                <w:color w:val="auto"/>
              </w:rPr>
            </w:pPr>
            <w:r>
              <w:rPr>
                <w:rFonts w:ascii="Arial" w:cs="Arial" w:eastAsia="Arial" w:hAnsi="Arial"/>
                <w:sz w:val="16"/>
                <w:szCs w:val="16"/>
                <w:color w:val="auto"/>
              </w:rPr>
              <w:t>Cash paid during the period for income taxes, net of tax refunds received</w:t>
            </w: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60,873</w:t>
            </w:r>
          </w:p>
        </w:tc>
        <w:tc>
          <w:tcPr>
            <w:tcW w:w="120" w:type="dxa"/>
            <w:vAlign w:val="bottom"/>
            <w:shd w:val="clear" w:color="auto" w:fill="D2EEF5"/>
          </w:tcPr>
          <w:p>
            <w:pPr>
              <w:spacing w:after="0"/>
              <w:rPr>
                <w:sz w:val="21"/>
                <w:szCs w:val="21"/>
                <w:color w:val="auto"/>
              </w:rPr>
            </w:pPr>
          </w:p>
        </w:tc>
        <w:tc>
          <w:tcPr>
            <w:tcW w:w="280" w:type="dxa"/>
            <w:vAlign w:val="bottom"/>
            <w:shd w:val="clear" w:color="auto" w:fill="D2EEF5"/>
          </w:tcPr>
          <w:p>
            <w:pPr>
              <w:spacing w:after="0"/>
              <w:rPr>
                <w:sz w:val="21"/>
                <w:szCs w:val="21"/>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6"/>
                <w:szCs w:val="16"/>
                <w:color w:val="auto"/>
              </w:rPr>
              <w:t>65,829</w:t>
            </w:r>
          </w:p>
        </w:tc>
        <w:tc>
          <w:tcPr>
            <w:tcW w:w="60" w:type="dxa"/>
            <w:vAlign w:val="bottom"/>
            <w:shd w:val="clear" w:color="auto" w:fill="D2EEF5"/>
          </w:tcPr>
          <w:p>
            <w:pPr>
              <w:spacing w:after="0"/>
              <w:rPr>
                <w:sz w:val="21"/>
                <w:szCs w:val="21"/>
                <w:color w:val="auto"/>
              </w:rPr>
            </w:pPr>
          </w:p>
        </w:tc>
        <w:tc>
          <w:tcPr>
            <w:tcW w:w="320" w:type="dxa"/>
            <w:vAlign w:val="bottom"/>
            <w:shd w:val="clear" w:color="auto" w:fill="D2EEF5"/>
          </w:tcPr>
          <w:p>
            <w:pPr>
              <w:spacing w:after="0"/>
              <w:rPr>
                <w:sz w:val="21"/>
                <w:szCs w:val="21"/>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50,210</w:t>
            </w:r>
          </w:p>
        </w:tc>
      </w:tr>
      <w:tr>
        <w:trPr>
          <w:trHeight w:val="224"/>
        </w:trPr>
        <w:tc>
          <w:tcPr>
            <w:tcW w:w="6480" w:type="dxa"/>
            <w:vAlign w:val="bottom"/>
          </w:tcPr>
          <w:p>
            <w:pPr>
              <w:ind w:left="400"/>
              <w:spacing w:after="0"/>
              <w:rPr>
                <w:sz w:val="20"/>
                <w:szCs w:val="20"/>
                <w:color w:val="auto"/>
              </w:rPr>
            </w:pPr>
            <w:r>
              <w:rPr>
                <w:rFonts w:ascii="Arial" w:cs="Arial" w:eastAsia="Arial" w:hAnsi="Arial"/>
                <w:sz w:val="16"/>
                <w:szCs w:val="16"/>
                <w:color w:val="auto"/>
              </w:rPr>
              <w:t>Purchases of property, plant and equipment included in accounts payable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25,330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10,180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-624205</wp:posOffset>
            </wp:positionV>
            <wp:extent cx="242570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2425700" cy="5080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notes to consolidated financial statements.</w:t>
      </w:r>
    </w:p>
    <w:p>
      <w:pPr>
        <w:sectPr>
          <w:pgSz w:w="11880" w:h="15480" w:orient="portrait"/>
          <w:cols w:equalWidth="0" w:num="1">
            <w:col w:w="10260"/>
          </w:cols>
          <w:pgMar w:left="820" w:top="40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10260"/>
          </w:cols>
          <w:pgMar w:left="820" w:top="405" w:right="800" w:bottom="0" w:gutter="0" w:footer="0" w:header="0"/>
          <w:type w:val="continuous"/>
        </w:sectPr>
      </w:pPr>
    </w:p>
    <w:bookmarkStart w:id="76" w:name="page77"/>
    <w:bookmarkEnd w:id="76"/>
    <w:p>
      <w:pPr>
        <w:ind w:left="4080"/>
        <w:spacing w:after="0"/>
        <w:rPr>
          <w:sz w:val="20"/>
          <w:szCs w:val="20"/>
          <w:color w:val="auto"/>
        </w:rPr>
      </w:pPr>
      <w:r>
        <w:rPr>
          <w:rFonts w:ascii="Arial" w:cs="Arial" w:eastAsia="Arial" w:hAnsi="Arial"/>
          <w:sz w:val="20"/>
          <w:szCs w:val="20"/>
          <w:b w:val="1"/>
          <w:bCs w:val="1"/>
          <w:color w:val="auto"/>
        </w:rPr>
        <w:t>Sotera Health Company</w:t>
      </w:r>
    </w:p>
    <w:p>
      <w:pPr>
        <w:spacing w:after="0" w:line="130"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Consolidated Statements of Equity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20"/>
          <w:szCs w:val="20"/>
          <w:b w:val="1"/>
          <w:bCs w:val="1"/>
          <w:i w:val="1"/>
          <w:iCs w:val="1"/>
          <w:color w:val="auto"/>
        </w:rPr>
        <w:t>(in thousands)</w:t>
      </w: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3"/>
                <w:szCs w:val="13"/>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43"/>
              <w:spacing w:after="0"/>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820" w:type="dxa"/>
            <w:vAlign w:val="bottom"/>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bottom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jc w:val="right"/>
              <w:ind w:right="103"/>
              <w:spacing w:after="0" w:line="93"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jc w:val="center"/>
              <w:ind w:right="63"/>
              <w:spacing w:after="0" w:line="93" w:lineRule="exact"/>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82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Common</w:t>
            </w:r>
          </w:p>
        </w:tc>
        <w:tc>
          <w:tcPr>
            <w:tcW w:w="80" w:type="dxa"/>
            <w:vAlign w:val="bottom"/>
          </w:tcPr>
          <w:p>
            <w:pPr>
              <w:spacing w:after="0"/>
              <w:rPr>
                <w:sz w:val="12"/>
                <w:szCs w:val="12"/>
                <w:color w:val="auto"/>
              </w:rPr>
            </w:pPr>
          </w:p>
        </w:tc>
        <w:tc>
          <w:tcPr>
            <w:tcW w:w="7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2"/>
              </w:rPr>
              <w:t>Common</w:t>
            </w:r>
          </w:p>
        </w:tc>
        <w:tc>
          <w:tcPr>
            <w:tcW w:w="8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Treasury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83"/>
              <w:spacing w:after="0" w:line="148"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41"/>
              <w:spacing w:after="0" w:line="148" w:lineRule="exact"/>
              <w:rPr>
                <w:sz w:val="20"/>
                <w:szCs w:val="20"/>
                <w:color w:val="auto"/>
              </w:rPr>
            </w:pPr>
            <w:r>
              <w:rPr>
                <w:rFonts w:ascii="Arial" w:cs="Arial" w:eastAsia="Arial" w:hAnsi="Arial"/>
                <w:sz w:val="13"/>
                <w:szCs w:val="13"/>
                <w:b w:val="1"/>
                <w:bCs w:val="1"/>
                <w:color w:val="auto"/>
                <w:w w:val="98"/>
              </w:rPr>
              <w:t>Retained</w:t>
            </w:r>
          </w:p>
        </w:tc>
        <w:tc>
          <w:tcPr>
            <w:tcW w:w="80" w:type="dxa"/>
            <w:vAlign w:val="bottom"/>
          </w:tcPr>
          <w:p>
            <w:pPr>
              <w:spacing w:after="0"/>
              <w:rPr>
                <w:sz w:val="12"/>
                <w:szCs w:val="12"/>
                <w:color w:val="auto"/>
              </w:rPr>
            </w:pPr>
          </w:p>
        </w:tc>
        <w:tc>
          <w:tcPr>
            <w:tcW w:w="10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88"/>
              </w:rPr>
              <w:t>Comprehensive</w:t>
            </w:r>
          </w:p>
        </w:tc>
        <w:tc>
          <w:tcPr>
            <w:tcW w:w="80" w:type="dxa"/>
            <w:vAlign w:val="bottom"/>
          </w:tcPr>
          <w:p>
            <w:pPr>
              <w:spacing w:after="0"/>
              <w:rPr>
                <w:sz w:val="12"/>
                <w:szCs w:val="12"/>
                <w:color w:val="auto"/>
              </w:rPr>
            </w:pPr>
          </w:p>
        </w:tc>
        <w:tc>
          <w:tcPr>
            <w:tcW w:w="780" w:type="dxa"/>
            <w:vAlign w:val="bottom"/>
          </w:tcPr>
          <w:p>
            <w:pPr>
              <w:jc w:val="right"/>
              <w:ind w:right="186"/>
              <w:spacing w:after="0" w:line="14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8"/>
        </w:trPr>
        <w:tc>
          <w:tcPr>
            <w:tcW w:w="2820" w:type="dxa"/>
            <w:vAlign w:val="bottom"/>
            <w:tcBorders>
              <w:bottom w:val="single" w:sz="8" w:color="D2EEF5"/>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Borders>
              <w:bottom w:val="single" w:sz="8" w:color="D2EE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Borders>
              <w:bottom w:val="single" w:sz="8" w:color="D2EEF5"/>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D2EE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D2EEF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8"/>
              </w:rPr>
              <w:t>(Loss) Income</w:t>
            </w:r>
          </w:p>
        </w:tc>
        <w:tc>
          <w:tcPr>
            <w:tcW w:w="80" w:type="dxa"/>
            <w:vAlign w:val="bottom"/>
            <w:tcBorders>
              <w:bottom w:val="single" w:sz="8" w:color="D2EEF5"/>
            </w:tcBorders>
          </w:tcPr>
          <w:p>
            <w:pPr>
              <w:spacing w:after="0"/>
              <w:rPr>
                <w:sz w:val="15"/>
                <w:szCs w:val="15"/>
                <w:color w:val="auto"/>
              </w:rPr>
            </w:pPr>
          </w:p>
        </w:tc>
        <w:tc>
          <w:tcPr>
            <w:tcW w:w="780" w:type="dxa"/>
            <w:vAlign w:val="bottom"/>
            <w:tcBorders>
              <w:bottom w:val="single" w:sz="8" w:color="auto"/>
            </w:tcBorders>
          </w:tcPr>
          <w:p>
            <w:pPr>
              <w:jc w:val="right"/>
              <w:ind w:right="146"/>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30"/>
        </w:trPr>
        <w:tc>
          <w:tcPr>
            <w:tcW w:w="2820" w:type="dxa"/>
            <w:vAlign w:val="bottom"/>
            <w:shd w:val="clear" w:color="auto" w:fill="D2EEF5"/>
          </w:tcPr>
          <w:p>
            <w:pPr>
              <w:ind w:left="40"/>
              <w:spacing w:after="0"/>
              <w:rPr>
                <w:sz w:val="20"/>
                <w:szCs w:val="20"/>
                <w:color w:val="auto"/>
              </w:rPr>
            </w:pPr>
            <w:r>
              <w:rPr>
                <w:rFonts w:ascii="Arial" w:cs="Arial" w:eastAsia="Arial" w:hAnsi="Arial"/>
                <w:sz w:val="16"/>
                <w:szCs w:val="16"/>
                <w:b w:val="1"/>
                <w:bCs w:val="1"/>
                <w:color w:val="auto"/>
              </w:rPr>
              <w:t>Balance at January 1, 2023</w:t>
            </w:r>
          </w:p>
        </w:tc>
        <w:tc>
          <w:tcPr>
            <w:tcW w:w="760" w:type="dxa"/>
            <w:vAlign w:val="bottom"/>
            <w:shd w:val="clear" w:color="auto" w:fill="D2EEF5"/>
          </w:tcPr>
          <w:p>
            <w:pPr>
              <w:jc w:val="right"/>
              <w:ind w:right="2"/>
              <w:spacing w:after="0"/>
              <w:rPr>
                <w:sz w:val="20"/>
                <w:szCs w:val="20"/>
                <w:color w:val="auto"/>
              </w:rPr>
            </w:pPr>
            <w:r>
              <w:rPr>
                <w:rFonts w:ascii="Arial" w:cs="Arial" w:eastAsia="Arial" w:hAnsi="Arial"/>
                <w:sz w:val="16"/>
                <w:szCs w:val="16"/>
                <w:b w:val="1"/>
                <w:bCs w:val="1"/>
                <w:color w:val="auto"/>
              </w:rPr>
              <w:t>282,421</w:t>
            </w:r>
          </w:p>
        </w:tc>
        <w:tc>
          <w:tcPr>
            <w:tcW w:w="240" w:type="dxa"/>
            <w:vAlign w:val="bottom"/>
            <w:gridSpan w:val="2"/>
            <w:shd w:val="clear" w:color="auto" w:fill="D2EEF5"/>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D2EEF5"/>
          </w:tcPr>
          <w:p>
            <w:pPr>
              <w:jc w:val="right"/>
              <w:ind w:right="1"/>
              <w:spacing w:after="0"/>
              <w:rPr>
                <w:sz w:val="20"/>
                <w:szCs w:val="20"/>
                <w:color w:val="auto"/>
              </w:rPr>
            </w:pPr>
            <w:r>
              <w:rPr>
                <w:rFonts w:ascii="Arial" w:cs="Arial" w:eastAsia="Arial" w:hAnsi="Arial"/>
                <w:sz w:val="16"/>
                <w:szCs w:val="16"/>
                <w:b w:val="1"/>
                <w:bCs w:val="1"/>
                <w:color w:val="auto"/>
              </w:rPr>
              <w:t>2,860</w:t>
            </w:r>
          </w:p>
        </w:tc>
        <w:tc>
          <w:tcPr>
            <w:tcW w:w="780" w:type="dxa"/>
            <w:vAlign w:val="bottom"/>
            <w:gridSpan w:val="2"/>
            <w:shd w:val="clear" w:color="auto" w:fill="D2EEF5"/>
          </w:tcPr>
          <w:p>
            <w:pPr>
              <w:jc w:val="right"/>
              <w:spacing w:after="0"/>
              <w:rPr>
                <w:sz w:val="20"/>
                <w:szCs w:val="20"/>
                <w:color w:val="auto"/>
              </w:rPr>
            </w:pPr>
            <w:r>
              <w:rPr>
                <w:rFonts w:ascii="Arial" w:cs="Arial" w:eastAsia="Arial" w:hAnsi="Arial"/>
                <w:sz w:val="16"/>
                <w:szCs w:val="16"/>
                <w:b w:val="1"/>
                <w:bCs w:val="1"/>
                <w:color w:val="auto"/>
              </w:rPr>
              <w:t>$ (29,775)</w:t>
            </w:r>
          </w:p>
        </w:tc>
        <w:tc>
          <w:tcPr>
            <w:tcW w:w="220" w:type="dxa"/>
            <w:vAlign w:val="bottom"/>
            <w:gridSpan w:val="2"/>
            <w:shd w:val="clear" w:color="auto" w:fill="D2EEF5"/>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D2EEF5"/>
          </w:tcPr>
          <w:p>
            <w:pPr>
              <w:jc w:val="right"/>
              <w:ind w:right="3"/>
              <w:spacing w:after="0"/>
              <w:rPr>
                <w:sz w:val="20"/>
                <w:szCs w:val="20"/>
                <w:color w:val="auto"/>
              </w:rPr>
            </w:pPr>
            <w:r>
              <w:rPr>
                <w:rFonts w:ascii="Arial" w:cs="Arial" w:eastAsia="Arial" w:hAnsi="Arial"/>
                <w:sz w:val="16"/>
                <w:szCs w:val="16"/>
                <w:b w:val="1"/>
                <w:bCs w:val="1"/>
                <w:color w:val="auto"/>
                <w:w w:val="98"/>
              </w:rPr>
              <w:t>1,189,622</w:t>
            </w:r>
          </w:p>
        </w:tc>
        <w:tc>
          <w:tcPr>
            <w:tcW w:w="240" w:type="dxa"/>
            <w:vAlign w:val="bottom"/>
            <w:gridSpan w:val="2"/>
            <w:shd w:val="clear" w:color="auto" w:fill="D2EEF5"/>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(705,816)</w:t>
            </w:r>
          </w:p>
        </w:tc>
        <w:tc>
          <w:tcPr>
            <w:tcW w:w="200" w:type="dxa"/>
            <w:vAlign w:val="bottom"/>
            <w:gridSpan w:val="2"/>
            <w:shd w:val="clear" w:color="auto" w:fill="D2EEF5"/>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(106,653)</w:t>
            </w:r>
          </w:p>
        </w:tc>
        <w:tc>
          <w:tcPr>
            <w:tcW w:w="860" w:type="dxa"/>
            <w:vAlign w:val="bottom"/>
            <w:gridSpan w:val="2"/>
            <w:shd w:val="clear" w:color="auto" w:fill="D2EEF5"/>
          </w:tcPr>
          <w:p>
            <w:pPr>
              <w:jc w:val="right"/>
              <w:ind w:right="6"/>
              <w:spacing w:after="0"/>
              <w:rPr>
                <w:sz w:val="20"/>
                <w:szCs w:val="20"/>
                <w:color w:val="auto"/>
              </w:rPr>
            </w:pPr>
            <w:r>
              <w:rPr>
                <w:rFonts w:ascii="Arial" w:cs="Arial" w:eastAsia="Arial" w:hAnsi="Arial"/>
                <w:sz w:val="16"/>
                <w:szCs w:val="16"/>
                <w:b w:val="1"/>
                <w:bCs w:val="1"/>
                <w:color w:val="auto"/>
              </w:rPr>
              <w:t>$ 350,238</w:t>
            </w: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Arial" w:cs="Arial" w:eastAsia="Arial" w:hAnsi="Arial"/>
                <w:sz w:val="16"/>
                <w:szCs w:val="16"/>
                <w:color w:val="auto"/>
              </w:rPr>
              <w:t>Share-based compensation plans</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409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
              <w:spacing w:after="0"/>
              <w:rPr>
                <w:sz w:val="20"/>
                <w:szCs w:val="20"/>
                <w:color w:val="auto"/>
              </w:rPr>
            </w:pPr>
            <w:r>
              <w:rPr>
                <w:rFonts w:ascii="Arial" w:cs="Arial" w:eastAsia="Arial" w:hAnsi="Arial"/>
                <w:sz w:val="16"/>
                <w:szCs w:val="16"/>
                <w:color w:val="auto"/>
              </w:rPr>
              <w:t>2,593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25,556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28,149</w:t>
            </w:r>
          </w:p>
        </w:tc>
        <w:tc>
          <w:tcPr>
            <w:tcW w:w="0" w:type="dxa"/>
            <w:vAlign w:val="bottom"/>
          </w:tcPr>
          <w:p>
            <w:pPr>
              <w:spacing w:after="0"/>
              <w:rPr>
                <w:sz w:val="1"/>
                <w:szCs w:val="1"/>
                <w:color w:val="auto"/>
              </w:rPr>
            </w:pPr>
          </w:p>
        </w:tc>
      </w:tr>
      <w:tr>
        <w:trPr>
          <w:trHeight w:val="248"/>
        </w:trPr>
        <w:tc>
          <w:tcPr>
            <w:tcW w:w="2820" w:type="dxa"/>
            <w:vAlign w:val="bottom"/>
            <w:shd w:val="clear" w:color="auto" w:fill="D2EEF5"/>
          </w:tcPr>
          <w:p>
            <w:pPr>
              <w:ind w:left="40"/>
              <w:spacing w:after="0"/>
              <w:rPr>
                <w:sz w:val="20"/>
                <w:szCs w:val="20"/>
                <w:color w:val="auto"/>
              </w:rPr>
            </w:pPr>
            <w:r>
              <w:rPr>
                <w:rFonts w:ascii="Arial" w:cs="Arial" w:eastAsia="Arial" w:hAnsi="Arial"/>
                <w:sz w:val="16"/>
                <w:szCs w:val="16"/>
                <w:color w:val="auto"/>
              </w:rPr>
              <w:t>Comprehensive income (loss):</w:t>
            </w:r>
          </w:p>
        </w:tc>
        <w:tc>
          <w:tcPr>
            <w:tcW w:w="76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54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70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80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78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120" w:type="dxa"/>
            <w:vAlign w:val="bottom"/>
            <w:shd w:val="clear" w:color="auto" w:fill="D2EEF5"/>
          </w:tcPr>
          <w:p>
            <w:pPr>
              <w:spacing w:after="0"/>
              <w:rPr>
                <w:sz w:val="21"/>
                <w:szCs w:val="21"/>
                <w:color w:val="auto"/>
              </w:rPr>
            </w:pPr>
          </w:p>
        </w:tc>
        <w:tc>
          <w:tcPr>
            <w:tcW w:w="94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780" w:type="dxa"/>
            <w:vAlign w:val="bottom"/>
            <w:shd w:val="clear" w:color="auto" w:fill="D2EEF5"/>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820" w:type="dxa"/>
            <w:vAlign w:val="bottom"/>
          </w:tcPr>
          <w:p>
            <w:pPr>
              <w:ind w:left="220"/>
              <w:spacing w:after="0" w:line="181" w:lineRule="exact"/>
              <w:rPr>
                <w:sz w:val="20"/>
                <w:szCs w:val="20"/>
                <w:color w:val="auto"/>
              </w:rPr>
            </w:pPr>
            <w:r>
              <w:rPr>
                <w:rFonts w:ascii="Arial" w:cs="Arial" w:eastAsia="Arial" w:hAnsi="Arial"/>
                <w:sz w:val="16"/>
                <w:szCs w:val="16"/>
                <w:color w:val="auto"/>
              </w:rPr>
              <w:t>Pension and post-retirement plan</w:t>
            </w:r>
          </w:p>
        </w:tc>
        <w:tc>
          <w:tcPr>
            <w:tcW w:w="7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(10,506)</w:t>
            </w: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(10,506)</w:t>
            </w:r>
          </w:p>
        </w:tc>
        <w:tc>
          <w:tcPr>
            <w:tcW w:w="0" w:type="dxa"/>
            <w:vAlign w:val="bottom"/>
          </w:tcPr>
          <w:p>
            <w:pPr>
              <w:spacing w:after="0"/>
              <w:rPr>
                <w:sz w:val="1"/>
                <w:szCs w:val="1"/>
                <w:color w:val="auto"/>
              </w:rPr>
            </w:pPr>
          </w:p>
        </w:tc>
      </w:tr>
      <w:tr>
        <w:trPr>
          <w:trHeight w:val="217"/>
        </w:trPr>
        <w:tc>
          <w:tcPr>
            <w:tcW w:w="2820" w:type="dxa"/>
            <w:vAlign w:val="bottom"/>
          </w:tcPr>
          <w:p>
            <w:pPr>
              <w:ind w:left="400"/>
              <w:spacing w:after="0"/>
              <w:rPr>
                <w:sz w:val="20"/>
                <w:szCs w:val="20"/>
                <w:color w:val="auto"/>
              </w:rPr>
            </w:pPr>
            <w:r>
              <w:rPr>
                <w:rFonts w:ascii="Arial" w:cs="Arial" w:eastAsia="Arial" w:hAnsi="Arial"/>
                <w:sz w:val="16"/>
                <w:szCs w:val="16"/>
                <w:color w:val="auto"/>
              </w:rPr>
              <w:t>adjustments, net of tax</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shd w:val="clear" w:color="auto" w:fill="D2EEF5"/>
          </w:tcPr>
          <w:p>
            <w:pPr>
              <w:ind w:left="220"/>
              <w:spacing w:after="0"/>
              <w:rPr>
                <w:sz w:val="20"/>
                <w:szCs w:val="20"/>
                <w:color w:val="auto"/>
              </w:rPr>
            </w:pPr>
            <w:r>
              <w:rPr>
                <w:rFonts w:ascii="Arial" w:cs="Arial" w:eastAsia="Arial" w:hAnsi="Arial"/>
                <w:sz w:val="16"/>
                <w:szCs w:val="16"/>
                <w:color w:val="auto"/>
              </w:rPr>
              <w:t>Foreign currency translation</w:t>
            </w:r>
          </w:p>
        </w:tc>
        <w:tc>
          <w:tcPr>
            <w:tcW w:w="760" w:type="dxa"/>
            <w:vAlign w:val="bottom"/>
            <w:shd w:val="clear" w:color="auto" w:fill="D2EEF5"/>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540" w:type="dxa"/>
            <w:vAlign w:val="bottom"/>
            <w:shd w:val="clear" w:color="auto" w:fill="D2EEF5"/>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700" w:type="dxa"/>
            <w:vAlign w:val="bottom"/>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800" w:type="dxa"/>
            <w:vAlign w:val="bottom"/>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780" w:type="dxa"/>
            <w:vAlign w:val="bottom"/>
            <w:shd w:val="clear" w:color="auto" w:fill="D2EEF5"/>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20" w:type="dxa"/>
            <w:vAlign w:val="bottom"/>
            <w:shd w:val="clear" w:color="auto" w:fill="D2EEF5"/>
          </w:tcPr>
          <w:p>
            <w:pPr>
              <w:spacing w:after="0"/>
              <w:rPr>
                <w:sz w:val="21"/>
                <w:szCs w:val="21"/>
                <w:color w:val="auto"/>
              </w:rPr>
            </w:pPr>
          </w:p>
        </w:tc>
        <w:tc>
          <w:tcPr>
            <w:tcW w:w="940" w:type="dxa"/>
            <w:vAlign w:val="bottom"/>
            <w:shd w:val="clear" w:color="auto" w:fill="D2EEF5"/>
          </w:tcPr>
          <w:p>
            <w:pPr>
              <w:jc w:val="right"/>
              <w:ind w:right="3"/>
              <w:spacing w:after="0"/>
              <w:rPr>
                <w:sz w:val="20"/>
                <w:szCs w:val="20"/>
                <w:color w:val="auto"/>
              </w:rPr>
            </w:pPr>
            <w:r>
              <w:rPr>
                <w:rFonts w:ascii="Arial" w:cs="Arial" w:eastAsia="Arial" w:hAnsi="Arial"/>
                <w:sz w:val="16"/>
                <w:szCs w:val="16"/>
                <w:color w:val="auto"/>
              </w:rPr>
              <w:t>40,174</w:t>
            </w:r>
          </w:p>
        </w:tc>
        <w:tc>
          <w:tcPr>
            <w:tcW w:w="860" w:type="dxa"/>
            <w:vAlign w:val="bottom"/>
            <w:gridSpan w:val="2"/>
            <w:shd w:val="clear" w:color="auto" w:fill="D2EEF5"/>
          </w:tcPr>
          <w:p>
            <w:pPr>
              <w:jc w:val="right"/>
              <w:spacing w:after="0"/>
              <w:rPr>
                <w:sz w:val="20"/>
                <w:szCs w:val="20"/>
                <w:color w:val="auto"/>
              </w:rPr>
            </w:pPr>
            <w:r>
              <w:rPr>
                <w:rFonts w:ascii="Arial" w:cs="Arial" w:eastAsia="Arial" w:hAnsi="Arial"/>
                <w:sz w:val="16"/>
                <w:szCs w:val="16"/>
                <w:b w:val="1"/>
                <w:bCs w:val="1"/>
                <w:color w:val="auto"/>
              </w:rPr>
              <w:t>40,174</w:t>
            </w:r>
          </w:p>
        </w:tc>
        <w:tc>
          <w:tcPr>
            <w:tcW w:w="0" w:type="dxa"/>
            <w:vAlign w:val="bottom"/>
          </w:tcPr>
          <w:p>
            <w:pPr>
              <w:spacing w:after="0"/>
              <w:rPr>
                <w:sz w:val="1"/>
                <w:szCs w:val="1"/>
                <w:color w:val="auto"/>
              </w:rPr>
            </w:pPr>
          </w:p>
        </w:tc>
      </w:tr>
      <w:tr>
        <w:trPr>
          <w:trHeight w:val="232"/>
        </w:trPr>
        <w:tc>
          <w:tcPr>
            <w:tcW w:w="2820" w:type="dxa"/>
            <w:vAlign w:val="bottom"/>
          </w:tcPr>
          <w:p>
            <w:pPr>
              <w:ind w:left="220"/>
              <w:spacing w:after="0"/>
              <w:rPr>
                <w:sz w:val="20"/>
                <w:szCs w:val="20"/>
                <w:color w:val="auto"/>
              </w:rPr>
            </w:pPr>
            <w:r>
              <w:rPr>
                <w:rFonts w:ascii="Arial" w:cs="Arial" w:eastAsia="Arial" w:hAnsi="Arial"/>
                <w:sz w:val="16"/>
                <w:szCs w:val="16"/>
                <w:color w:val="auto"/>
              </w:rPr>
              <w:t>Interest rate derivatives, net of tax</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(15,697)</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(15,697)</w:t>
            </w:r>
          </w:p>
        </w:tc>
        <w:tc>
          <w:tcPr>
            <w:tcW w:w="0" w:type="dxa"/>
            <w:vAlign w:val="bottom"/>
          </w:tcPr>
          <w:p>
            <w:pPr>
              <w:spacing w:after="0"/>
              <w:rPr>
                <w:sz w:val="1"/>
                <w:szCs w:val="1"/>
                <w:color w:val="auto"/>
              </w:rPr>
            </w:pPr>
          </w:p>
        </w:tc>
      </w:tr>
      <w:tr>
        <w:trPr>
          <w:trHeight w:val="255"/>
        </w:trPr>
        <w:tc>
          <w:tcPr>
            <w:tcW w:w="2820" w:type="dxa"/>
            <w:vAlign w:val="bottom"/>
            <w:tcBorders>
              <w:bottom w:val="single" w:sz="8" w:color="D2EEF5"/>
            </w:tcBorders>
            <w:shd w:val="clear" w:color="auto" w:fill="D2EEF5"/>
          </w:tcPr>
          <w:p>
            <w:pPr>
              <w:ind w:left="22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shd w:val="clear" w:color="auto" w:fill="D2EEF5"/>
          </w:tcPr>
          <w:p>
            <w:pPr>
              <w:spacing w:after="0"/>
              <w:rPr>
                <w:sz w:val="22"/>
                <w:szCs w:val="22"/>
                <w:color w:val="auto"/>
              </w:rPr>
            </w:pPr>
          </w:p>
        </w:tc>
        <w:tc>
          <w:tcPr>
            <w:tcW w:w="160" w:type="dxa"/>
            <w:vAlign w:val="bottom"/>
            <w:tcBorders>
              <w:bottom w:val="single" w:sz="8" w:color="auto"/>
            </w:tcBorders>
            <w:shd w:val="clear" w:color="auto" w:fill="D2EEF5"/>
          </w:tcPr>
          <w:p>
            <w:pPr>
              <w:spacing w:after="0"/>
              <w:rPr>
                <w:sz w:val="22"/>
                <w:szCs w:val="22"/>
                <w:color w:val="auto"/>
              </w:rPr>
            </w:pPr>
          </w:p>
        </w:tc>
        <w:tc>
          <w:tcPr>
            <w:tcW w:w="54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shd w:val="clear" w:color="auto" w:fill="D2EEF5"/>
          </w:tcPr>
          <w:p>
            <w:pPr>
              <w:spacing w:after="0"/>
              <w:rPr>
                <w:sz w:val="22"/>
                <w:szCs w:val="22"/>
                <w:color w:val="auto"/>
              </w:rPr>
            </w:pPr>
          </w:p>
        </w:tc>
        <w:tc>
          <w:tcPr>
            <w:tcW w:w="70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shd w:val="clear" w:color="auto" w:fill="D2EEF5"/>
          </w:tcPr>
          <w:p>
            <w:pPr>
              <w:spacing w:after="0"/>
              <w:rPr>
                <w:sz w:val="22"/>
                <w:szCs w:val="22"/>
                <w:color w:val="auto"/>
              </w:rPr>
            </w:pPr>
          </w:p>
        </w:tc>
        <w:tc>
          <w:tcPr>
            <w:tcW w:w="140" w:type="dxa"/>
            <w:vAlign w:val="bottom"/>
            <w:tcBorders>
              <w:bottom w:val="single" w:sz="8" w:color="auto"/>
            </w:tcBorders>
            <w:shd w:val="clear" w:color="auto" w:fill="D2EEF5"/>
          </w:tcPr>
          <w:p>
            <w:pPr>
              <w:spacing w:after="0"/>
              <w:rPr>
                <w:sz w:val="22"/>
                <w:szCs w:val="22"/>
                <w:color w:val="auto"/>
              </w:rPr>
            </w:pPr>
          </w:p>
        </w:tc>
        <w:tc>
          <w:tcPr>
            <w:tcW w:w="80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shd w:val="clear" w:color="auto" w:fill="D2EEF5"/>
          </w:tcPr>
          <w:p>
            <w:pPr>
              <w:spacing w:after="0"/>
              <w:rPr>
                <w:sz w:val="22"/>
                <w:szCs w:val="22"/>
                <w:color w:val="auto"/>
              </w:rPr>
            </w:pPr>
          </w:p>
        </w:tc>
        <w:tc>
          <w:tcPr>
            <w:tcW w:w="160" w:type="dxa"/>
            <w:vAlign w:val="bottom"/>
            <w:tcBorders>
              <w:bottom w:val="single" w:sz="8" w:color="auto"/>
            </w:tcBorders>
            <w:shd w:val="clear" w:color="auto" w:fill="D2EEF5"/>
          </w:tcPr>
          <w:p>
            <w:pPr>
              <w:spacing w:after="0"/>
              <w:rPr>
                <w:sz w:val="22"/>
                <w:szCs w:val="22"/>
                <w:color w:val="auto"/>
              </w:rPr>
            </w:pPr>
          </w:p>
        </w:tc>
        <w:tc>
          <w:tcPr>
            <w:tcW w:w="78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16"/>
                <w:szCs w:val="16"/>
                <w:color w:val="auto"/>
              </w:rPr>
              <w:t>51,376</w:t>
            </w:r>
          </w:p>
        </w:tc>
        <w:tc>
          <w:tcPr>
            <w:tcW w:w="80" w:type="dxa"/>
            <w:vAlign w:val="bottom"/>
            <w:tcBorders>
              <w:bottom w:val="single" w:sz="8" w:color="D2EEF5"/>
            </w:tcBorders>
            <w:shd w:val="clear" w:color="auto" w:fill="D2EEF5"/>
          </w:tcPr>
          <w:p>
            <w:pPr>
              <w:spacing w:after="0"/>
              <w:rPr>
                <w:sz w:val="22"/>
                <w:szCs w:val="22"/>
                <w:color w:val="auto"/>
              </w:rPr>
            </w:pPr>
          </w:p>
        </w:tc>
        <w:tc>
          <w:tcPr>
            <w:tcW w:w="120" w:type="dxa"/>
            <w:vAlign w:val="bottom"/>
            <w:tcBorders>
              <w:bottom w:val="single" w:sz="8" w:color="auto"/>
            </w:tcBorders>
            <w:shd w:val="clear" w:color="auto" w:fill="D2EEF5"/>
          </w:tcPr>
          <w:p>
            <w:pPr>
              <w:spacing w:after="0"/>
              <w:rPr>
                <w:sz w:val="22"/>
                <w:szCs w:val="22"/>
                <w:color w:val="auto"/>
              </w:rPr>
            </w:pPr>
          </w:p>
        </w:tc>
        <w:tc>
          <w:tcPr>
            <w:tcW w:w="94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shd w:val="clear" w:color="auto" w:fill="D2EEF5"/>
          </w:tcPr>
          <w:p>
            <w:pPr>
              <w:spacing w:after="0"/>
              <w:rPr>
                <w:sz w:val="22"/>
                <w:szCs w:val="22"/>
                <w:color w:val="auto"/>
              </w:rPr>
            </w:pPr>
          </w:p>
        </w:tc>
        <w:tc>
          <w:tcPr>
            <w:tcW w:w="780" w:type="dxa"/>
            <w:vAlign w:val="bottom"/>
            <w:tcBorders>
              <w:bottom w:val="single" w:sz="8" w:color="auto"/>
            </w:tcBorders>
            <w:shd w:val="clear" w:color="auto" w:fill="D2EEF5"/>
          </w:tcPr>
          <w:p>
            <w:pPr>
              <w:jc w:val="right"/>
              <w:ind w:right="6"/>
              <w:spacing w:after="0"/>
              <w:rPr>
                <w:sz w:val="20"/>
                <w:szCs w:val="20"/>
                <w:color w:val="auto"/>
              </w:rPr>
            </w:pPr>
            <w:r>
              <w:rPr>
                <w:rFonts w:ascii="Arial" w:cs="Arial" w:eastAsia="Arial" w:hAnsi="Arial"/>
                <w:sz w:val="16"/>
                <w:szCs w:val="16"/>
                <w:b w:val="1"/>
                <w:bCs w:val="1"/>
                <w:color w:val="auto"/>
              </w:rPr>
              <w:t>51,376</w:t>
            </w:r>
          </w:p>
        </w:tc>
        <w:tc>
          <w:tcPr>
            <w:tcW w:w="0" w:type="dxa"/>
            <w:vAlign w:val="bottom"/>
          </w:tcPr>
          <w:p>
            <w:pPr>
              <w:spacing w:after="0"/>
              <w:rPr>
                <w:sz w:val="1"/>
                <w:szCs w:val="1"/>
                <w:color w:val="auto"/>
              </w:rPr>
            </w:pPr>
          </w:p>
        </w:tc>
      </w:tr>
      <w:tr>
        <w:trPr>
          <w:trHeight w:val="205"/>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2023</w:t>
            </w:r>
          </w:p>
        </w:tc>
        <w:tc>
          <w:tcPr>
            <w:tcW w:w="760" w:type="dxa"/>
            <w:vAlign w:val="bottom"/>
          </w:tcPr>
          <w:p>
            <w:pPr>
              <w:jc w:val="right"/>
              <w:ind w:right="2"/>
              <w:spacing w:after="0"/>
              <w:rPr>
                <w:sz w:val="20"/>
                <w:szCs w:val="20"/>
                <w:color w:val="auto"/>
              </w:rPr>
            </w:pPr>
            <w:r>
              <w:rPr>
                <w:rFonts w:ascii="Arial" w:cs="Arial" w:eastAsia="Arial" w:hAnsi="Arial"/>
                <w:sz w:val="16"/>
                <w:szCs w:val="16"/>
                <w:b w:val="1"/>
                <w:bCs w:val="1"/>
                <w:color w:val="auto"/>
              </w:rPr>
              <w:t>282,830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b w:val="1"/>
                <w:bCs w:val="1"/>
                <w:color w:val="auto"/>
              </w:rPr>
              <w:t>2,860</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(27,182)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b w:val="1"/>
                <w:bCs w:val="1"/>
                <w:color w:val="auto"/>
                <w:w w:val="98"/>
              </w:rPr>
              <w:t>1,215,178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(654,440)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(92,682)</w:t>
            </w:r>
          </w:p>
        </w:tc>
        <w:tc>
          <w:tcPr>
            <w:tcW w:w="86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443,734</w:t>
            </w:r>
          </w:p>
        </w:tc>
        <w:tc>
          <w:tcPr>
            <w:tcW w:w="0" w:type="dxa"/>
            <w:vAlign w:val="bottom"/>
          </w:tcPr>
          <w:p>
            <w:pPr>
              <w:spacing w:after="0"/>
              <w:rPr>
                <w:sz w:val="1"/>
                <w:szCs w:val="1"/>
                <w:color w:val="auto"/>
              </w:rPr>
            </w:pPr>
          </w:p>
        </w:tc>
      </w:tr>
      <w:tr>
        <w:trPr>
          <w:trHeight w:val="293"/>
        </w:trPr>
        <w:tc>
          <w:tcPr>
            <w:tcW w:w="2820" w:type="dxa"/>
            <w:vAlign w:val="bottom"/>
            <w:shd w:val="clear" w:color="auto" w:fill="D2EEF5"/>
          </w:tcPr>
          <w:p>
            <w:pPr>
              <w:ind w:left="40"/>
              <w:spacing w:after="0"/>
              <w:rPr>
                <w:sz w:val="20"/>
                <w:szCs w:val="20"/>
                <w:color w:val="auto"/>
              </w:rPr>
            </w:pPr>
            <w:r>
              <w:rPr>
                <w:rFonts w:ascii="Arial" w:cs="Arial" w:eastAsia="Arial" w:hAnsi="Arial"/>
                <w:sz w:val="16"/>
                <w:szCs w:val="16"/>
                <w:color w:val="auto"/>
              </w:rPr>
              <w:t>Share-based compensation plans</w:t>
            </w:r>
          </w:p>
        </w:tc>
        <w:tc>
          <w:tcPr>
            <w:tcW w:w="760" w:type="dxa"/>
            <w:vAlign w:val="bottom"/>
            <w:shd w:val="clear" w:color="auto" w:fill="D2EEF5"/>
          </w:tcPr>
          <w:p>
            <w:pPr>
              <w:jc w:val="right"/>
              <w:ind w:right="2"/>
              <w:spacing w:after="0"/>
              <w:rPr>
                <w:sz w:val="20"/>
                <w:szCs w:val="20"/>
                <w:color w:val="auto"/>
              </w:rPr>
            </w:pPr>
            <w:r>
              <w:rPr>
                <w:rFonts w:ascii="Arial" w:cs="Arial" w:eastAsia="Arial" w:hAnsi="Arial"/>
                <w:sz w:val="16"/>
                <w:szCs w:val="16"/>
                <w:color w:val="auto"/>
              </w:rPr>
              <w:t>636</w:t>
            </w:r>
          </w:p>
        </w:tc>
        <w:tc>
          <w:tcPr>
            <w:tcW w:w="8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540" w:type="dxa"/>
            <w:vAlign w:val="bottom"/>
            <w:shd w:val="clear" w:color="auto" w:fill="D2EEF5"/>
          </w:tcPr>
          <w:p>
            <w:pPr>
              <w:jc w:val="right"/>
              <w:ind w:right="1"/>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D2EEF5"/>
          </w:tcPr>
          <w:p>
            <w:pPr>
              <w:jc w:val="right"/>
              <w:ind w:right="3"/>
              <w:spacing w:after="0"/>
              <w:rPr>
                <w:sz w:val="20"/>
                <w:szCs w:val="20"/>
                <w:color w:val="auto"/>
              </w:rPr>
            </w:pPr>
            <w:r>
              <w:rPr>
                <w:rFonts w:ascii="Arial" w:cs="Arial" w:eastAsia="Arial" w:hAnsi="Arial"/>
                <w:sz w:val="16"/>
                <w:szCs w:val="16"/>
                <w:color w:val="auto"/>
              </w:rPr>
              <w:t>3,748</w:t>
            </w:r>
          </w:p>
        </w:tc>
        <w:tc>
          <w:tcPr>
            <w:tcW w:w="80" w:type="dxa"/>
            <w:vAlign w:val="bottom"/>
            <w:shd w:val="clear" w:color="auto" w:fill="D2EEF5"/>
          </w:tcPr>
          <w:p>
            <w:pPr>
              <w:spacing w:after="0"/>
              <w:rPr>
                <w:sz w:val="24"/>
                <w:szCs w:val="24"/>
                <w:color w:val="auto"/>
              </w:rPr>
            </w:pPr>
          </w:p>
        </w:tc>
        <w:tc>
          <w:tcPr>
            <w:tcW w:w="140" w:type="dxa"/>
            <w:vAlign w:val="bottom"/>
            <w:shd w:val="clear" w:color="auto" w:fill="D2EEF5"/>
          </w:tcPr>
          <w:p>
            <w:pPr>
              <w:spacing w:after="0"/>
              <w:rPr>
                <w:sz w:val="24"/>
                <w:szCs w:val="24"/>
                <w:color w:val="auto"/>
              </w:rPr>
            </w:pPr>
          </w:p>
        </w:tc>
        <w:tc>
          <w:tcPr>
            <w:tcW w:w="800" w:type="dxa"/>
            <w:vAlign w:val="bottom"/>
            <w:shd w:val="clear" w:color="auto" w:fill="D2EEF5"/>
          </w:tcPr>
          <w:p>
            <w:pPr>
              <w:jc w:val="right"/>
              <w:ind w:right="3"/>
              <w:spacing w:after="0"/>
              <w:rPr>
                <w:sz w:val="20"/>
                <w:szCs w:val="20"/>
                <w:color w:val="auto"/>
              </w:rPr>
            </w:pPr>
            <w:r>
              <w:rPr>
                <w:rFonts w:ascii="Arial" w:cs="Arial" w:eastAsia="Arial" w:hAnsi="Arial"/>
                <w:sz w:val="16"/>
                <w:szCs w:val="16"/>
                <w:color w:val="auto"/>
              </w:rPr>
              <w:t>28,600</w:t>
            </w:r>
          </w:p>
        </w:tc>
        <w:tc>
          <w:tcPr>
            <w:tcW w:w="8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780" w:type="dxa"/>
            <w:vAlign w:val="bottom"/>
            <w:shd w:val="clear" w:color="auto" w:fill="D2EEF5"/>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D2EEF5"/>
          </w:tcPr>
          <w:p>
            <w:pPr>
              <w:jc w:val="right"/>
              <w:ind w:right="6"/>
              <w:spacing w:after="0"/>
              <w:rPr>
                <w:sz w:val="20"/>
                <w:szCs w:val="20"/>
                <w:color w:val="auto"/>
              </w:rPr>
            </w:pPr>
            <w:r>
              <w:rPr>
                <w:rFonts w:ascii="Arial" w:cs="Arial" w:eastAsia="Arial" w:hAnsi="Arial"/>
                <w:sz w:val="16"/>
                <w:szCs w:val="16"/>
                <w:b w:val="1"/>
                <w:bCs w:val="1"/>
                <w:color w:val="auto"/>
              </w:rPr>
              <w:t>32,348</w:t>
            </w:r>
          </w:p>
        </w:tc>
        <w:tc>
          <w:tcPr>
            <w:tcW w:w="0" w:type="dxa"/>
            <w:vAlign w:val="bottom"/>
          </w:tcPr>
          <w:p>
            <w:pPr>
              <w:spacing w:after="0"/>
              <w:rPr>
                <w:sz w:val="1"/>
                <w:szCs w:val="1"/>
                <w:color w:val="auto"/>
              </w:rPr>
            </w:pPr>
          </w:p>
        </w:tc>
      </w:tr>
      <w:tr>
        <w:trPr>
          <w:trHeight w:val="232"/>
        </w:trPr>
        <w:tc>
          <w:tcPr>
            <w:tcW w:w="282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D2EEF5"/>
          </w:tcPr>
          <w:p>
            <w:pPr>
              <w:ind w:left="220"/>
              <w:spacing w:after="0"/>
              <w:rPr>
                <w:sz w:val="20"/>
                <w:szCs w:val="20"/>
                <w:color w:val="auto"/>
              </w:rPr>
            </w:pPr>
            <w:r>
              <w:rPr>
                <w:rFonts w:ascii="Arial" w:cs="Arial" w:eastAsia="Arial" w:hAnsi="Arial"/>
                <w:sz w:val="16"/>
                <w:szCs w:val="16"/>
                <w:color w:val="auto"/>
              </w:rPr>
              <w:t>Pension and post-retirement plan</w:t>
            </w:r>
          </w:p>
        </w:tc>
        <w:tc>
          <w:tcPr>
            <w:tcW w:w="760" w:type="dxa"/>
            <w:vAlign w:val="bottom"/>
            <w:vMerge w:val="restart"/>
            <w:shd w:val="clear" w:color="auto" w:fill="D2EEF5"/>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540" w:type="dxa"/>
            <w:vAlign w:val="bottom"/>
            <w:vMerge w:val="restart"/>
            <w:shd w:val="clear" w:color="auto" w:fill="D2EEF5"/>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16"/>
                <w:szCs w:val="16"/>
                <w:color w:val="auto"/>
              </w:rPr>
            </w:pPr>
          </w:p>
        </w:tc>
        <w:tc>
          <w:tcPr>
            <w:tcW w:w="700" w:type="dxa"/>
            <w:vAlign w:val="bottom"/>
            <w:vMerge w:val="restart"/>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800" w:type="dxa"/>
            <w:vAlign w:val="bottom"/>
            <w:vMerge w:val="restart"/>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780" w:type="dxa"/>
            <w:vAlign w:val="bottom"/>
            <w:vMerge w:val="restart"/>
            <w:shd w:val="clear" w:color="auto" w:fill="D2EEF5"/>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16"/>
                <w:szCs w:val="16"/>
                <w:color w:val="auto"/>
              </w:rPr>
            </w:pPr>
          </w:p>
        </w:tc>
        <w:tc>
          <w:tcPr>
            <w:tcW w:w="120" w:type="dxa"/>
            <w:vAlign w:val="bottom"/>
            <w:shd w:val="clear" w:color="auto" w:fill="D2EEF5"/>
          </w:tcPr>
          <w:p>
            <w:pPr>
              <w:spacing w:after="0"/>
              <w:rPr>
                <w:sz w:val="16"/>
                <w:szCs w:val="16"/>
                <w:color w:val="auto"/>
              </w:rPr>
            </w:pPr>
          </w:p>
        </w:tc>
        <w:tc>
          <w:tcPr>
            <w:tcW w:w="940" w:type="dxa"/>
            <w:vAlign w:val="bottom"/>
            <w:vMerge w:val="restart"/>
            <w:shd w:val="clear" w:color="auto" w:fill="D2EEF5"/>
          </w:tcPr>
          <w:p>
            <w:pPr>
              <w:jc w:val="right"/>
              <w:ind w:right="3"/>
              <w:spacing w:after="0"/>
              <w:rPr>
                <w:sz w:val="20"/>
                <w:szCs w:val="20"/>
                <w:color w:val="auto"/>
              </w:rPr>
            </w:pPr>
            <w:r>
              <w:rPr>
                <w:rFonts w:ascii="Arial" w:cs="Arial" w:eastAsia="Arial" w:hAnsi="Arial"/>
                <w:sz w:val="16"/>
                <w:szCs w:val="16"/>
                <w:color w:val="auto"/>
              </w:rPr>
              <w:t>8,462</w:t>
            </w:r>
          </w:p>
        </w:tc>
        <w:tc>
          <w:tcPr>
            <w:tcW w:w="860" w:type="dxa"/>
            <w:vAlign w:val="bottom"/>
            <w:gridSpan w:val="2"/>
            <w:vMerge w:val="restart"/>
            <w:shd w:val="clear" w:color="auto" w:fill="D2EEF5"/>
          </w:tcPr>
          <w:p>
            <w:pPr>
              <w:jc w:val="right"/>
              <w:ind w:right="6"/>
              <w:spacing w:after="0"/>
              <w:rPr>
                <w:sz w:val="20"/>
                <w:szCs w:val="20"/>
                <w:color w:val="auto"/>
              </w:rPr>
            </w:pPr>
            <w:r>
              <w:rPr>
                <w:rFonts w:ascii="Arial" w:cs="Arial" w:eastAsia="Arial" w:hAnsi="Arial"/>
                <w:sz w:val="16"/>
                <w:szCs w:val="16"/>
                <w:b w:val="1"/>
                <w:bCs w:val="1"/>
                <w:color w:val="auto"/>
              </w:rPr>
              <w:t>8,462</w:t>
            </w:r>
          </w:p>
        </w:tc>
        <w:tc>
          <w:tcPr>
            <w:tcW w:w="0" w:type="dxa"/>
            <w:vAlign w:val="bottom"/>
          </w:tcPr>
          <w:p>
            <w:pPr>
              <w:spacing w:after="0"/>
              <w:rPr>
                <w:sz w:val="1"/>
                <w:szCs w:val="1"/>
                <w:color w:val="auto"/>
              </w:rPr>
            </w:pPr>
          </w:p>
        </w:tc>
      </w:tr>
      <w:tr>
        <w:trPr>
          <w:trHeight w:val="225"/>
        </w:trPr>
        <w:tc>
          <w:tcPr>
            <w:tcW w:w="2820" w:type="dxa"/>
            <w:vAlign w:val="bottom"/>
            <w:shd w:val="clear" w:color="auto" w:fill="D2EEF5"/>
          </w:tcPr>
          <w:p>
            <w:pPr>
              <w:ind w:left="400"/>
              <w:spacing w:after="0"/>
              <w:rPr>
                <w:sz w:val="20"/>
                <w:szCs w:val="20"/>
                <w:color w:val="auto"/>
              </w:rPr>
            </w:pPr>
            <w:r>
              <w:rPr>
                <w:rFonts w:ascii="Arial" w:cs="Arial" w:eastAsia="Arial" w:hAnsi="Arial"/>
                <w:sz w:val="16"/>
                <w:szCs w:val="16"/>
                <w:color w:val="auto"/>
              </w:rPr>
              <w:t>adjustments, net of tax</w:t>
            </w:r>
          </w:p>
        </w:tc>
        <w:tc>
          <w:tcPr>
            <w:tcW w:w="760" w:type="dxa"/>
            <w:vAlign w:val="bottom"/>
            <w:vMerge w:val="continue"/>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540" w:type="dxa"/>
            <w:vAlign w:val="bottom"/>
            <w:vMerge w:val="continue"/>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700" w:type="dxa"/>
            <w:vAlign w:val="bottom"/>
            <w:vMerge w:val="continue"/>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40" w:type="dxa"/>
            <w:vAlign w:val="bottom"/>
            <w:shd w:val="clear" w:color="auto" w:fill="D2EEF5"/>
          </w:tcPr>
          <w:p>
            <w:pPr>
              <w:spacing w:after="0"/>
              <w:rPr>
                <w:sz w:val="19"/>
                <w:szCs w:val="19"/>
                <w:color w:val="auto"/>
              </w:rPr>
            </w:pPr>
          </w:p>
        </w:tc>
        <w:tc>
          <w:tcPr>
            <w:tcW w:w="800" w:type="dxa"/>
            <w:vAlign w:val="bottom"/>
            <w:vMerge w:val="continue"/>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60" w:type="dxa"/>
            <w:vAlign w:val="bottom"/>
            <w:shd w:val="clear" w:color="auto" w:fill="D2EEF5"/>
          </w:tcPr>
          <w:p>
            <w:pPr>
              <w:spacing w:after="0"/>
              <w:rPr>
                <w:sz w:val="19"/>
                <w:szCs w:val="19"/>
                <w:color w:val="auto"/>
              </w:rPr>
            </w:pPr>
          </w:p>
        </w:tc>
        <w:tc>
          <w:tcPr>
            <w:tcW w:w="780" w:type="dxa"/>
            <w:vAlign w:val="bottom"/>
            <w:vMerge w:val="continue"/>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20" w:type="dxa"/>
            <w:vAlign w:val="bottom"/>
            <w:shd w:val="clear" w:color="auto" w:fill="D2EEF5"/>
          </w:tcPr>
          <w:p>
            <w:pPr>
              <w:spacing w:after="0"/>
              <w:rPr>
                <w:sz w:val="19"/>
                <w:szCs w:val="19"/>
                <w:color w:val="auto"/>
              </w:rPr>
            </w:pPr>
          </w:p>
        </w:tc>
        <w:tc>
          <w:tcPr>
            <w:tcW w:w="940" w:type="dxa"/>
            <w:vAlign w:val="bottom"/>
            <w:vMerge w:val="continue"/>
            <w:shd w:val="clear" w:color="auto" w:fill="D2EEF5"/>
          </w:tcPr>
          <w:p>
            <w:pPr>
              <w:spacing w:after="0"/>
              <w:rPr>
                <w:sz w:val="19"/>
                <w:szCs w:val="19"/>
                <w:color w:val="auto"/>
              </w:rPr>
            </w:pPr>
          </w:p>
        </w:tc>
        <w:tc>
          <w:tcPr>
            <w:tcW w:w="860" w:type="dxa"/>
            <w:vAlign w:val="bottom"/>
            <w:gridSpan w:val="2"/>
            <w:vMerge w:val="continue"/>
            <w:shd w:val="clear" w:color="auto" w:fill="D2EEF5"/>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820" w:type="dxa"/>
            <w:vAlign w:val="bottom"/>
          </w:tcPr>
          <w:p>
            <w:pPr>
              <w:ind w:left="220"/>
              <w:spacing w:after="0"/>
              <w:rPr>
                <w:sz w:val="20"/>
                <w:szCs w:val="20"/>
                <w:color w:val="auto"/>
              </w:rPr>
            </w:pPr>
            <w:r>
              <w:rPr>
                <w:rFonts w:ascii="Arial" w:cs="Arial" w:eastAsia="Arial" w:hAnsi="Arial"/>
                <w:sz w:val="16"/>
                <w:szCs w:val="16"/>
                <w:color w:val="auto"/>
              </w:rPr>
              <w:t>Foreign currency translation</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(118,635)</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(118,635)</w:t>
            </w:r>
          </w:p>
        </w:tc>
        <w:tc>
          <w:tcPr>
            <w:tcW w:w="0" w:type="dxa"/>
            <w:vAlign w:val="bottom"/>
          </w:tcPr>
          <w:p>
            <w:pPr>
              <w:spacing w:after="0"/>
              <w:rPr>
                <w:sz w:val="1"/>
                <w:szCs w:val="1"/>
                <w:color w:val="auto"/>
              </w:rPr>
            </w:pPr>
          </w:p>
        </w:tc>
      </w:tr>
      <w:tr>
        <w:trPr>
          <w:trHeight w:val="248"/>
        </w:trPr>
        <w:tc>
          <w:tcPr>
            <w:tcW w:w="2820" w:type="dxa"/>
            <w:vAlign w:val="bottom"/>
            <w:shd w:val="clear" w:color="auto" w:fill="D2EEF5"/>
          </w:tcPr>
          <w:p>
            <w:pPr>
              <w:ind w:left="220"/>
              <w:spacing w:after="0"/>
              <w:rPr>
                <w:sz w:val="20"/>
                <w:szCs w:val="20"/>
                <w:color w:val="auto"/>
              </w:rPr>
            </w:pPr>
            <w:r>
              <w:rPr>
                <w:rFonts w:ascii="Arial" w:cs="Arial" w:eastAsia="Arial" w:hAnsi="Arial"/>
                <w:sz w:val="16"/>
                <w:szCs w:val="16"/>
                <w:color w:val="auto"/>
              </w:rPr>
              <w:t>Interest rate derivatives, net of tax</w:t>
            </w:r>
          </w:p>
        </w:tc>
        <w:tc>
          <w:tcPr>
            <w:tcW w:w="760" w:type="dxa"/>
            <w:vAlign w:val="bottom"/>
            <w:shd w:val="clear" w:color="auto" w:fill="D2EEF5"/>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540" w:type="dxa"/>
            <w:vAlign w:val="bottom"/>
            <w:shd w:val="clear" w:color="auto" w:fill="D2EEF5"/>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700" w:type="dxa"/>
            <w:vAlign w:val="bottom"/>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800" w:type="dxa"/>
            <w:vAlign w:val="bottom"/>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780" w:type="dxa"/>
            <w:vAlign w:val="bottom"/>
            <w:shd w:val="clear" w:color="auto" w:fill="D2EEF5"/>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20" w:type="dxa"/>
            <w:vAlign w:val="bottom"/>
            <w:shd w:val="clear" w:color="auto" w:fill="D2EEF5"/>
          </w:tcPr>
          <w:p>
            <w:pPr>
              <w:spacing w:after="0"/>
              <w:rPr>
                <w:sz w:val="21"/>
                <w:szCs w:val="21"/>
                <w:color w:val="auto"/>
              </w:rPr>
            </w:pPr>
          </w:p>
        </w:tc>
        <w:tc>
          <w:tcPr>
            <w:tcW w:w="940" w:type="dxa"/>
            <w:vAlign w:val="bottom"/>
            <w:shd w:val="clear" w:color="auto" w:fill="D2EEF5"/>
          </w:tcPr>
          <w:p>
            <w:pPr>
              <w:jc w:val="right"/>
              <w:spacing w:after="0"/>
              <w:rPr>
                <w:sz w:val="20"/>
                <w:szCs w:val="20"/>
                <w:color w:val="auto"/>
              </w:rPr>
            </w:pPr>
            <w:r>
              <w:rPr>
                <w:rFonts w:ascii="Arial" w:cs="Arial" w:eastAsia="Arial" w:hAnsi="Arial"/>
                <w:sz w:val="16"/>
                <w:szCs w:val="16"/>
                <w:color w:val="auto"/>
              </w:rPr>
              <w:t>(5,396)</w:t>
            </w:r>
          </w:p>
        </w:tc>
        <w:tc>
          <w:tcPr>
            <w:tcW w:w="860" w:type="dxa"/>
            <w:vAlign w:val="bottom"/>
            <w:gridSpan w:val="2"/>
            <w:shd w:val="clear" w:color="auto" w:fill="D2EEF5"/>
          </w:tcPr>
          <w:p>
            <w:pPr>
              <w:jc w:val="right"/>
              <w:spacing w:after="0"/>
              <w:rPr>
                <w:sz w:val="20"/>
                <w:szCs w:val="20"/>
                <w:color w:val="auto"/>
              </w:rPr>
            </w:pPr>
            <w:r>
              <w:rPr>
                <w:rFonts w:ascii="Arial" w:cs="Arial" w:eastAsia="Arial" w:hAnsi="Arial"/>
                <w:sz w:val="16"/>
                <w:szCs w:val="16"/>
                <w:b w:val="1"/>
                <w:bCs w:val="1"/>
                <w:color w:val="auto"/>
              </w:rPr>
              <w:t>(5,396)</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D2EEF5"/>
            </w:tcBorders>
          </w:tcPr>
          <w:p>
            <w:pPr>
              <w:ind w:left="220"/>
              <w:spacing w:after="0"/>
              <w:rPr>
                <w:sz w:val="20"/>
                <w:szCs w:val="20"/>
                <w:color w:val="auto"/>
              </w:rPr>
            </w:pPr>
            <w:r>
              <w:rPr>
                <w:rFonts w:ascii="Arial" w:cs="Arial" w:eastAsia="Arial" w:hAnsi="Arial"/>
                <w:sz w:val="16"/>
                <w:szCs w:val="16"/>
                <w:color w:val="auto"/>
              </w:rPr>
              <w:t>Net income</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tcPr>
          <w:p>
            <w:pPr>
              <w:spacing w:after="0"/>
              <w:rPr>
                <w:sz w:val="20"/>
                <w:szCs w:val="20"/>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44,398</w:t>
            </w:r>
          </w:p>
        </w:tc>
        <w:tc>
          <w:tcPr>
            <w:tcW w:w="80" w:type="dxa"/>
            <w:vAlign w:val="bottom"/>
            <w:tcBorders>
              <w:bottom w:val="single" w:sz="8" w:color="D2EE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44,398</w:t>
            </w:r>
          </w:p>
        </w:tc>
        <w:tc>
          <w:tcPr>
            <w:tcW w:w="0" w:type="dxa"/>
            <w:vAlign w:val="bottom"/>
          </w:tcPr>
          <w:p>
            <w:pPr>
              <w:spacing w:after="0"/>
              <w:rPr>
                <w:sz w:val="1"/>
                <w:szCs w:val="1"/>
                <w:color w:val="auto"/>
              </w:rPr>
            </w:pPr>
          </w:p>
        </w:tc>
      </w:tr>
      <w:tr>
        <w:trPr>
          <w:trHeight w:val="230"/>
        </w:trPr>
        <w:tc>
          <w:tcPr>
            <w:tcW w:w="2820" w:type="dxa"/>
            <w:vAlign w:val="bottom"/>
            <w:shd w:val="clear" w:color="auto" w:fill="D2EEF5"/>
          </w:tcPr>
          <w:p>
            <w:pPr>
              <w:ind w:left="40"/>
              <w:spacing w:after="0"/>
              <w:rPr>
                <w:sz w:val="20"/>
                <w:szCs w:val="20"/>
                <w:color w:val="auto"/>
              </w:rPr>
            </w:pPr>
            <w:r>
              <w:rPr>
                <w:rFonts w:ascii="Arial" w:cs="Arial" w:eastAsia="Arial" w:hAnsi="Arial"/>
                <w:sz w:val="16"/>
                <w:szCs w:val="16"/>
                <w:b w:val="1"/>
                <w:bCs w:val="1"/>
                <w:color w:val="auto"/>
              </w:rPr>
              <w:t>Balance at December 31, 2024</w:t>
            </w:r>
          </w:p>
        </w:tc>
        <w:tc>
          <w:tcPr>
            <w:tcW w:w="760" w:type="dxa"/>
            <w:vAlign w:val="bottom"/>
            <w:shd w:val="clear" w:color="auto" w:fill="D2EEF5"/>
          </w:tcPr>
          <w:p>
            <w:pPr>
              <w:jc w:val="right"/>
              <w:ind w:right="2"/>
              <w:spacing w:after="0"/>
              <w:rPr>
                <w:sz w:val="20"/>
                <w:szCs w:val="20"/>
                <w:color w:val="auto"/>
              </w:rPr>
            </w:pPr>
            <w:r>
              <w:rPr>
                <w:rFonts w:ascii="Arial" w:cs="Arial" w:eastAsia="Arial" w:hAnsi="Arial"/>
                <w:sz w:val="16"/>
                <w:szCs w:val="16"/>
                <w:b w:val="1"/>
                <w:bCs w:val="1"/>
                <w:color w:val="auto"/>
              </w:rPr>
              <w:t>283,466</w:t>
            </w:r>
          </w:p>
        </w:tc>
        <w:tc>
          <w:tcPr>
            <w:tcW w:w="8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540" w:type="dxa"/>
            <w:vAlign w:val="bottom"/>
            <w:shd w:val="clear" w:color="auto" w:fill="D2EEF5"/>
          </w:tcPr>
          <w:p>
            <w:pPr>
              <w:jc w:val="right"/>
              <w:ind w:right="1"/>
              <w:spacing w:after="0"/>
              <w:rPr>
                <w:sz w:val="20"/>
                <w:szCs w:val="20"/>
                <w:color w:val="auto"/>
              </w:rPr>
            </w:pPr>
            <w:r>
              <w:rPr>
                <w:rFonts w:ascii="Arial" w:cs="Arial" w:eastAsia="Arial" w:hAnsi="Arial"/>
                <w:sz w:val="16"/>
                <w:szCs w:val="16"/>
                <w:b w:val="1"/>
                <w:bCs w:val="1"/>
                <w:color w:val="auto"/>
              </w:rPr>
              <w:t>2,860</w:t>
            </w:r>
          </w:p>
        </w:tc>
        <w:tc>
          <w:tcPr>
            <w:tcW w:w="780" w:type="dxa"/>
            <w:vAlign w:val="bottom"/>
            <w:gridSpan w:val="2"/>
            <w:shd w:val="clear" w:color="auto" w:fill="D2EEF5"/>
          </w:tcPr>
          <w:p>
            <w:pPr>
              <w:jc w:val="right"/>
              <w:spacing w:after="0"/>
              <w:rPr>
                <w:sz w:val="20"/>
                <w:szCs w:val="20"/>
                <w:color w:val="auto"/>
              </w:rPr>
            </w:pPr>
            <w:r>
              <w:rPr>
                <w:rFonts w:ascii="Arial" w:cs="Arial" w:eastAsia="Arial" w:hAnsi="Arial"/>
                <w:sz w:val="16"/>
                <w:szCs w:val="16"/>
                <w:b w:val="1"/>
                <w:bCs w:val="1"/>
                <w:color w:val="auto"/>
              </w:rPr>
              <w:t>(23,434)</w:t>
            </w:r>
          </w:p>
        </w:tc>
        <w:tc>
          <w:tcPr>
            <w:tcW w:w="80" w:type="dxa"/>
            <w:vAlign w:val="bottom"/>
            <w:shd w:val="clear" w:color="auto" w:fill="D2EEF5"/>
          </w:tcPr>
          <w:p>
            <w:pPr>
              <w:spacing w:after="0"/>
              <w:rPr>
                <w:sz w:val="20"/>
                <w:szCs w:val="20"/>
                <w:color w:val="auto"/>
              </w:rPr>
            </w:pPr>
          </w:p>
        </w:tc>
        <w:tc>
          <w:tcPr>
            <w:tcW w:w="140" w:type="dxa"/>
            <w:vAlign w:val="bottom"/>
            <w:shd w:val="clear" w:color="auto" w:fill="D2EEF5"/>
          </w:tcPr>
          <w:p>
            <w:pPr>
              <w:spacing w:after="0"/>
              <w:rPr>
                <w:sz w:val="20"/>
                <w:szCs w:val="20"/>
                <w:color w:val="auto"/>
              </w:rPr>
            </w:pPr>
          </w:p>
        </w:tc>
        <w:tc>
          <w:tcPr>
            <w:tcW w:w="800" w:type="dxa"/>
            <w:vAlign w:val="bottom"/>
            <w:shd w:val="clear" w:color="auto" w:fill="D2EEF5"/>
          </w:tcPr>
          <w:p>
            <w:pPr>
              <w:jc w:val="right"/>
              <w:ind w:right="3"/>
              <w:spacing w:after="0"/>
              <w:rPr>
                <w:sz w:val="20"/>
                <w:szCs w:val="20"/>
                <w:color w:val="auto"/>
              </w:rPr>
            </w:pPr>
            <w:r>
              <w:rPr>
                <w:rFonts w:ascii="Arial" w:cs="Arial" w:eastAsia="Arial" w:hAnsi="Arial"/>
                <w:sz w:val="16"/>
                <w:szCs w:val="16"/>
                <w:b w:val="1"/>
                <w:bCs w:val="1"/>
                <w:color w:val="auto"/>
                <w:w w:val="98"/>
              </w:rPr>
              <w:t>1,243,778</w:t>
            </w:r>
          </w:p>
        </w:tc>
        <w:tc>
          <w:tcPr>
            <w:tcW w:w="80" w:type="dxa"/>
            <w:vAlign w:val="bottom"/>
            <w:shd w:val="clear" w:color="auto" w:fill="D2EEF5"/>
          </w:tcPr>
          <w:p>
            <w:pPr>
              <w:spacing w:after="0"/>
              <w:rPr>
                <w:sz w:val="20"/>
                <w:szCs w:val="20"/>
                <w:color w:val="auto"/>
              </w:rPr>
            </w:pPr>
          </w:p>
        </w:tc>
        <w:tc>
          <w:tcPr>
            <w:tcW w:w="160" w:type="dxa"/>
            <w:vAlign w:val="bottom"/>
            <w:shd w:val="clear" w:color="auto" w:fill="D2EEF5"/>
          </w:tcPr>
          <w:p>
            <w:pPr>
              <w:spacing w:after="0"/>
              <w:rPr>
                <w:sz w:val="20"/>
                <w:szCs w:val="20"/>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(610,042)</w:t>
            </w:r>
          </w:p>
        </w:tc>
        <w:tc>
          <w:tcPr>
            <w:tcW w:w="8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940" w:type="dxa"/>
            <w:vAlign w:val="bottom"/>
            <w:shd w:val="clear" w:color="auto" w:fill="D2EEF5"/>
          </w:tcPr>
          <w:p>
            <w:pPr>
              <w:jc w:val="right"/>
              <w:spacing w:after="0"/>
              <w:rPr>
                <w:sz w:val="20"/>
                <w:szCs w:val="20"/>
                <w:color w:val="auto"/>
              </w:rPr>
            </w:pPr>
            <w:r>
              <w:rPr>
                <w:rFonts w:ascii="Arial" w:cs="Arial" w:eastAsia="Arial" w:hAnsi="Arial"/>
                <w:sz w:val="16"/>
                <w:szCs w:val="16"/>
                <w:b w:val="1"/>
                <w:bCs w:val="1"/>
                <w:color w:val="auto"/>
              </w:rPr>
              <w:t>(208,251)</w:t>
            </w:r>
          </w:p>
        </w:tc>
        <w:tc>
          <w:tcPr>
            <w:tcW w:w="860" w:type="dxa"/>
            <w:vAlign w:val="bottom"/>
            <w:gridSpan w:val="2"/>
            <w:shd w:val="clear" w:color="auto" w:fill="D2EEF5"/>
          </w:tcPr>
          <w:p>
            <w:pPr>
              <w:jc w:val="right"/>
              <w:ind w:right="6"/>
              <w:spacing w:after="0"/>
              <w:rPr>
                <w:sz w:val="20"/>
                <w:szCs w:val="20"/>
                <w:color w:val="auto"/>
              </w:rPr>
            </w:pPr>
            <w:r>
              <w:rPr>
                <w:rFonts w:ascii="Arial" w:cs="Arial" w:eastAsia="Arial" w:hAnsi="Arial"/>
                <w:sz w:val="16"/>
                <w:szCs w:val="16"/>
                <w:b w:val="1"/>
                <w:bCs w:val="1"/>
                <w:color w:val="auto"/>
              </w:rPr>
              <w:t>404,911</w:t>
            </w:r>
          </w:p>
        </w:tc>
        <w:tc>
          <w:tcPr>
            <w:tcW w:w="0" w:type="dxa"/>
            <w:vAlign w:val="bottom"/>
          </w:tcPr>
          <w:p>
            <w:pPr>
              <w:spacing w:after="0"/>
              <w:rPr>
                <w:sz w:val="1"/>
                <w:szCs w:val="1"/>
                <w:color w:val="auto"/>
              </w:rPr>
            </w:pPr>
          </w:p>
        </w:tc>
      </w:tr>
      <w:tr>
        <w:trPr>
          <w:trHeight w:val="232"/>
        </w:trPr>
        <w:tc>
          <w:tcPr>
            <w:tcW w:w="2820" w:type="dxa"/>
            <w:vAlign w:val="bottom"/>
          </w:tcPr>
          <w:p>
            <w:pPr>
              <w:ind w:left="40"/>
              <w:spacing w:after="0"/>
              <w:rPr>
                <w:sz w:val="20"/>
                <w:szCs w:val="20"/>
                <w:color w:val="auto"/>
              </w:rPr>
            </w:pPr>
            <w:r>
              <w:rPr>
                <w:rFonts w:ascii="Arial" w:cs="Arial" w:eastAsia="Arial" w:hAnsi="Arial"/>
                <w:sz w:val="16"/>
                <w:szCs w:val="16"/>
                <w:color w:val="auto"/>
              </w:rPr>
              <w:t>Share-based compensation plans</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905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
              <w:spacing w:after="0"/>
              <w:rPr>
                <w:sz w:val="20"/>
                <w:szCs w:val="20"/>
                <w:color w:val="auto"/>
              </w:rPr>
            </w:pPr>
            <w:r>
              <w:rPr>
                <w:rFonts w:ascii="Arial" w:cs="Arial" w:eastAsia="Arial" w:hAnsi="Arial"/>
                <w:sz w:val="16"/>
                <w:szCs w:val="16"/>
                <w:color w:val="auto"/>
              </w:rPr>
              <w:t>6,421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18,341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24,762</w:t>
            </w:r>
          </w:p>
        </w:tc>
        <w:tc>
          <w:tcPr>
            <w:tcW w:w="0" w:type="dxa"/>
            <w:vAlign w:val="bottom"/>
          </w:tcPr>
          <w:p>
            <w:pPr>
              <w:spacing w:after="0"/>
              <w:rPr>
                <w:sz w:val="1"/>
                <w:szCs w:val="1"/>
                <w:color w:val="auto"/>
              </w:rPr>
            </w:pPr>
          </w:p>
        </w:tc>
      </w:tr>
      <w:tr>
        <w:trPr>
          <w:trHeight w:val="248"/>
        </w:trPr>
        <w:tc>
          <w:tcPr>
            <w:tcW w:w="2820" w:type="dxa"/>
            <w:vAlign w:val="bottom"/>
            <w:shd w:val="clear" w:color="auto" w:fill="D2EEF5"/>
          </w:tcPr>
          <w:p>
            <w:pPr>
              <w:ind w:left="40"/>
              <w:spacing w:after="0"/>
              <w:rPr>
                <w:sz w:val="20"/>
                <w:szCs w:val="20"/>
                <w:color w:val="auto"/>
              </w:rPr>
            </w:pPr>
            <w:r>
              <w:rPr>
                <w:rFonts w:ascii="Arial" w:cs="Arial" w:eastAsia="Arial" w:hAnsi="Arial"/>
                <w:sz w:val="16"/>
                <w:szCs w:val="16"/>
                <w:color w:val="auto"/>
              </w:rPr>
              <w:t>Comprehensive income (loss):</w:t>
            </w:r>
          </w:p>
        </w:tc>
        <w:tc>
          <w:tcPr>
            <w:tcW w:w="76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54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70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80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78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120" w:type="dxa"/>
            <w:vAlign w:val="bottom"/>
            <w:shd w:val="clear" w:color="auto" w:fill="D2EEF5"/>
          </w:tcPr>
          <w:p>
            <w:pPr>
              <w:spacing w:after="0"/>
              <w:rPr>
                <w:sz w:val="21"/>
                <w:szCs w:val="21"/>
                <w:color w:val="auto"/>
              </w:rPr>
            </w:pPr>
          </w:p>
        </w:tc>
        <w:tc>
          <w:tcPr>
            <w:tcW w:w="940" w:type="dxa"/>
            <w:vAlign w:val="bottom"/>
            <w:shd w:val="clear" w:color="auto" w:fill="D2EEF5"/>
          </w:tcPr>
          <w:p>
            <w:pPr>
              <w:spacing w:after="0"/>
              <w:rPr>
                <w:sz w:val="21"/>
                <w:szCs w:val="21"/>
                <w:color w:val="auto"/>
              </w:rPr>
            </w:pPr>
          </w:p>
        </w:tc>
        <w:tc>
          <w:tcPr>
            <w:tcW w:w="80" w:type="dxa"/>
            <w:vAlign w:val="bottom"/>
            <w:shd w:val="clear" w:color="auto" w:fill="D2EEF5"/>
          </w:tcPr>
          <w:p>
            <w:pPr>
              <w:spacing w:after="0"/>
              <w:rPr>
                <w:sz w:val="21"/>
                <w:szCs w:val="21"/>
                <w:color w:val="auto"/>
              </w:rPr>
            </w:pPr>
          </w:p>
        </w:tc>
        <w:tc>
          <w:tcPr>
            <w:tcW w:w="780" w:type="dxa"/>
            <w:vAlign w:val="bottom"/>
            <w:shd w:val="clear" w:color="auto" w:fill="D2EEF5"/>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220"/>
              <w:spacing w:after="0" w:line="181" w:lineRule="exact"/>
              <w:rPr>
                <w:sz w:val="20"/>
                <w:szCs w:val="20"/>
                <w:color w:val="auto"/>
              </w:rPr>
            </w:pPr>
            <w:r>
              <w:rPr>
                <w:rFonts w:ascii="Arial" w:cs="Arial" w:eastAsia="Arial" w:hAnsi="Arial"/>
                <w:sz w:val="16"/>
                <w:szCs w:val="16"/>
                <w:color w:val="auto"/>
              </w:rPr>
              <w:t>Pension and post-retirement plan</w:t>
            </w:r>
          </w:p>
        </w:tc>
        <w:tc>
          <w:tcPr>
            <w:tcW w:w="7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6"/>
                <w:szCs w:val="16"/>
                <w:color w:val="auto"/>
              </w:rPr>
              <w:t>2,386</w:t>
            </w:r>
          </w:p>
        </w:tc>
        <w:tc>
          <w:tcPr>
            <w:tcW w:w="860" w:type="dxa"/>
            <w:vAlign w:val="bottom"/>
            <w:gridSpan w:val="2"/>
            <w:vMerge w:val="restart"/>
          </w:tcPr>
          <w:p>
            <w:pPr>
              <w:jc w:val="right"/>
              <w:ind w:right="6"/>
              <w:spacing w:after="0"/>
              <w:rPr>
                <w:sz w:val="20"/>
                <w:szCs w:val="20"/>
                <w:color w:val="auto"/>
              </w:rPr>
            </w:pPr>
            <w:r>
              <w:rPr>
                <w:rFonts w:ascii="Arial" w:cs="Arial" w:eastAsia="Arial" w:hAnsi="Arial"/>
                <w:sz w:val="16"/>
                <w:szCs w:val="16"/>
                <w:b w:val="1"/>
                <w:bCs w:val="1"/>
                <w:color w:val="auto"/>
              </w:rPr>
              <w:t>2,386</w:t>
            </w:r>
          </w:p>
        </w:tc>
        <w:tc>
          <w:tcPr>
            <w:tcW w:w="0" w:type="dxa"/>
            <w:vAlign w:val="bottom"/>
          </w:tcPr>
          <w:p>
            <w:pPr>
              <w:spacing w:after="0"/>
              <w:rPr>
                <w:sz w:val="1"/>
                <w:szCs w:val="1"/>
                <w:color w:val="auto"/>
              </w:rPr>
            </w:pPr>
          </w:p>
        </w:tc>
      </w:tr>
      <w:tr>
        <w:trPr>
          <w:trHeight w:val="217"/>
        </w:trPr>
        <w:tc>
          <w:tcPr>
            <w:tcW w:w="2820" w:type="dxa"/>
            <w:vAlign w:val="bottom"/>
          </w:tcPr>
          <w:p>
            <w:pPr>
              <w:ind w:left="400"/>
              <w:spacing w:after="0"/>
              <w:rPr>
                <w:sz w:val="20"/>
                <w:szCs w:val="20"/>
                <w:color w:val="auto"/>
              </w:rPr>
            </w:pPr>
            <w:r>
              <w:rPr>
                <w:rFonts w:ascii="Arial" w:cs="Arial" w:eastAsia="Arial" w:hAnsi="Arial"/>
                <w:sz w:val="16"/>
                <w:szCs w:val="16"/>
                <w:color w:val="auto"/>
              </w:rPr>
              <w:t>adjustments, net of tax</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shd w:val="clear" w:color="auto" w:fill="D2EEF5"/>
          </w:tcPr>
          <w:p>
            <w:pPr>
              <w:ind w:left="220"/>
              <w:spacing w:after="0"/>
              <w:rPr>
                <w:sz w:val="20"/>
                <w:szCs w:val="20"/>
                <w:color w:val="auto"/>
              </w:rPr>
            </w:pPr>
            <w:r>
              <w:rPr>
                <w:rFonts w:ascii="Arial" w:cs="Arial" w:eastAsia="Arial" w:hAnsi="Arial"/>
                <w:sz w:val="16"/>
                <w:szCs w:val="16"/>
                <w:color w:val="auto"/>
              </w:rPr>
              <w:t>Foreign currency translation</w:t>
            </w:r>
          </w:p>
        </w:tc>
        <w:tc>
          <w:tcPr>
            <w:tcW w:w="760" w:type="dxa"/>
            <w:vAlign w:val="bottom"/>
            <w:shd w:val="clear" w:color="auto" w:fill="D2EEF5"/>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540" w:type="dxa"/>
            <w:vAlign w:val="bottom"/>
            <w:shd w:val="clear" w:color="auto" w:fill="D2EEF5"/>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700" w:type="dxa"/>
            <w:vAlign w:val="bottom"/>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40" w:type="dxa"/>
            <w:vAlign w:val="bottom"/>
            <w:shd w:val="clear" w:color="auto" w:fill="D2EEF5"/>
          </w:tcPr>
          <w:p>
            <w:pPr>
              <w:spacing w:after="0"/>
              <w:rPr>
                <w:sz w:val="21"/>
                <w:szCs w:val="21"/>
                <w:color w:val="auto"/>
              </w:rPr>
            </w:pPr>
          </w:p>
        </w:tc>
        <w:tc>
          <w:tcPr>
            <w:tcW w:w="800" w:type="dxa"/>
            <w:vAlign w:val="bottom"/>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780" w:type="dxa"/>
            <w:vAlign w:val="bottom"/>
            <w:shd w:val="clear" w:color="auto" w:fill="D2EEF5"/>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D2EEF5"/>
          </w:tcPr>
          <w:p>
            <w:pPr>
              <w:spacing w:after="0"/>
              <w:rPr>
                <w:sz w:val="21"/>
                <w:szCs w:val="21"/>
                <w:color w:val="auto"/>
              </w:rPr>
            </w:pPr>
          </w:p>
        </w:tc>
        <w:tc>
          <w:tcPr>
            <w:tcW w:w="120" w:type="dxa"/>
            <w:vAlign w:val="bottom"/>
            <w:shd w:val="clear" w:color="auto" w:fill="D2EEF5"/>
          </w:tcPr>
          <w:p>
            <w:pPr>
              <w:spacing w:after="0"/>
              <w:rPr>
                <w:sz w:val="21"/>
                <w:szCs w:val="21"/>
                <w:color w:val="auto"/>
              </w:rPr>
            </w:pPr>
          </w:p>
        </w:tc>
        <w:tc>
          <w:tcPr>
            <w:tcW w:w="940" w:type="dxa"/>
            <w:vAlign w:val="bottom"/>
            <w:shd w:val="clear" w:color="auto" w:fill="D2EEF5"/>
          </w:tcPr>
          <w:p>
            <w:pPr>
              <w:jc w:val="right"/>
              <w:ind w:right="3"/>
              <w:spacing w:after="0"/>
              <w:rPr>
                <w:sz w:val="20"/>
                <w:szCs w:val="20"/>
                <w:color w:val="auto"/>
              </w:rPr>
            </w:pPr>
            <w:r>
              <w:rPr>
                <w:rFonts w:ascii="Arial" w:cs="Arial" w:eastAsia="Arial" w:hAnsi="Arial"/>
                <w:sz w:val="16"/>
                <w:szCs w:val="16"/>
                <w:color w:val="auto"/>
              </w:rPr>
              <w:t>98,115</w:t>
            </w:r>
          </w:p>
        </w:tc>
        <w:tc>
          <w:tcPr>
            <w:tcW w:w="860" w:type="dxa"/>
            <w:vAlign w:val="bottom"/>
            <w:gridSpan w:val="2"/>
            <w:shd w:val="clear" w:color="auto" w:fill="D2EEF5"/>
          </w:tcPr>
          <w:p>
            <w:pPr>
              <w:jc w:val="right"/>
              <w:ind w:right="6"/>
              <w:spacing w:after="0"/>
              <w:rPr>
                <w:sz w:val="20"/>
                <w:szCs w:val="20"/>
                <w:color w:val="auto"/>
              </w:rPr>
            </w:pPr>
            <w:r>
              <w:rPr>
                <w:rFonts w:ascii="Arial" w:cs="Arial" w:eastAsia="Arial" w:hAnsi="Arial"/>
                <w:sz w:val="16"/>
                <w:szCs w:val="16"/>
                <w:b w:val="1"/>
                <w:bCs w:val="1"/>
                <w:color w:val="auto"/>
              </w:rPr>
              <w:t>98,115</w:t>
            </w:r>
          </w:p>
        </w:tc>
        <w:tc>
          <w:tcPr>
            <w:tcW w:w="0" w:type="dxa"/>
            <w:vAlign w:val="bottom"/>
          </w:tcPr>
          <w:p>
            <w:pPr>
              <w:spacing w:after="0"/>
              <w:rPr>
                <w:sz w:val="1"/>
                <w:szCs w:val="1"/>
                <w:color w:val="auto"/>
              </w:rPr>
            </w:pPr>
          </w:p>
        </w:tc>
      </w:tr>
      <w:tr>
        <w:trPr>
          <w:trHeight w:val="232"/>
        </w:trPr>
        <w:tc>
          <w:tcPr>
            <w:tcW w:w="2820" w:type="dxa"/>
            <w:vAlign w:val="bottom"/>
          </w:tcPr>
          <w:p>
            <w:pPr>
              <w:ind w:left="220"/>
              <w:spacing w:after="0"/>
              <w:rPr>
                <w:sz w:val="20"/>
                <w:szCs w:val="20"/>
                <w:color w:val="auto"/>
              </w:rPr>
            </w:pPr>
            <w:r>
              <w:rPr>
                <w:rFonts w:ascii="Arial" w:cs="Arial" w:eastAsia="Arial" w:hAnsi="Arial"/>
                <w:sz w:val="16"/>
                <w:szCs w:val="16"/>
                <w:color w:val="auto"/>
              </w:rPr>
              <w:t>Interest rate derivatives, net of tax</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(2,088)</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(2,088)</w:t>
            </w:r>
          </w:p>
        </w:tc>
        <w:tc>
          <w:tcPr>
            <w:tcW w:w="0" w:type="dxa"/>
            <w:vAlign w:val="bottom"/>
          </w:tcPr>
          <w:p>
            <w:pPr>
              <w:spacing w:after="0"/>
              <w:rPr>
                <w:sz w:val="1"/>
                <w:szCs w:val="1"/>
                <w:color w:val="auto"/>
              </w:rPr>
            </w:pPr>
          </w:p>
        </w:tc>
      </w:tr>
      <w:tr>
        <w:trPr>
          <w:trHeight w:val="255"/>
        </w:trPr>
        <w:tc>
          <w:tcPr>
            <w:tcW w:w="2820" w:type="dxa"/>
            <w:vAlign w:val="bottom"/>
            <w:tcBorders>
              <w:bottom w:val="single" w:sz="8" w:color="D2EEF5"/>
            </w:tcBorders>
            <w:shd w:val="clear" w:color="auto" w:fill="D2EEF5"/>
          </w:tcPr>
          <w:p>
            <w:pPr>
              <w:ind w:left="220"/>
              <w:spacing w:after="0"/>
              <w:rPr>
                <w:sz w:val="20"/>
                <w:szCs w:val="20"/>
                <w:color w:val="auto"/>
              </w:rPr>
            </w:pPr>
            <w:r>
              <w:rPr>
                <w:rFonts w:ascii="Arial" w:cs="Arial" w:eastAsia="Arial" w:hAnsi="Arial"/>
                <w:sz w:val="16"/>
                <w:szCs w:val="16"/>
                <w:color w:val="auto"/>
              </w:rPr>
              <w:t>Net income</w:t>
            </w:r>
          </w:p>
        </w:tc>
        <w:tc>
          <w:tcPr>
            <w:tcW w:w="76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shd w:val="clear" w:color="auto" w:fill="D2EEF5"/>
          </w:tcPr>
          <w:p>
            <w:pPr>
              <w:spacing w:after="0"/>
              <w:rPr>
                <w:sz w:val="22"/>
                <w:szCs w:val="22"/>
                <w:color w:val="auto"/>
              </w:rPr>
            </w:pPr>
          </w:p>
        </w:tc>
        <w:tc>
          <w:tcPr>
            <w:tcW w:w="160" w:type="dxa"/>
            <w:vAlign w:val="bottom"/>
            <w:tcBorders>
              <w:bottom w:val="single" w:sz="8" w:color="auto"/>
            </w:tcBorders>
            <w:shd w:val="clear" w:color="auto" w:fill="D2EEF5"/>
          </w:tcPr>
          <w:p>
            <w:pPr>
              <w:spacing w:after="0"/>
              <w:rPr>
                <w:sz w:val="22"/>
                <w:szCs w:val="22"/>
                <w:color w:val="auto"/>
              </w:rPr>
            </w:pPr>
          </w:p>
        </w:tc>
        <w:tc>
          <w:tcPr>
            <w:tcW w:w="54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shd w:val="clear" w:color="auto" w:fill="D2EEF5"/>
          </w:tcPr>
          <w:p>
            <w:pPr>
              <w:spacing w:after="0"/>
              <w:rPr>
                <w:sz w:val="22"/>
                <w:szCs w:val="22"/>
                <w:color w:val="auto"/>
              </w:rPr>
            </w:pPr>
          </w:p>
        </w:tc>
        <w:tc>
          <w:tcPr>
            <w:tcW w:w="70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shd w:val="clear" w:color="auto" w:fill="D2EEF5"/>
          </w:tcPr>
          <w:p>
            <w:pPr>
              <w:spacing w:after="0"/>
              <w:rPr>
                <w:sz w:val="22"/>
                <w:szCs w:val="22"/>
                <w:color w:val="auto"/>
              </w:rPr>
            </w:pPr>
          </w:p>
        </w:tc>
        <w:tc>
          <w:tcPr>
            <w:tcW w:w="140" w:type="dxa"/>
            <w:vAlign w:val="bottom"/>
            <w:tcBorders>
              <w:bottom w:val="single" w:sz="8" w:color="auto"/>
            </w:tcBorders>
            <w:shd w:val="clear" w:color="auto" w:fill="D2EEF5"/>
          </w:tcPr>
          <w:p>
            <w:pPr>
              <w:spacing w:after="0"/>
              <w:rPr>
                <w:sz w:val="22"/>
                <w:szCs w:val="22"/>
                <w:color w:val="auto"/>
              </w:rPr>
            </w:pPr>
          </w:p>
        </w:tc>
        <w:tc>
          <w:tcPr>
            <w:tcW w:w="80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shd w:val="clear" w:color="auto" w:fill="D2EEF5"/>
          </w:tcPr>
          <w:p>
            <w:pPr>
              <w:spacing w:after="0"/>
              <w:rPr>
                <w:sz w:val="22"/>
                <w:szCs w:val="22"/>
                <w:color w:val="auto"/>
              </w:rPr>
            </w:pPr>
          </w:p>
        </w:tc>
        <w:tc>
          <w:tcPr>
            <w:tcW w:w="160" w:type="dxa"/>
            <w:vAlign w:val="bottom"/>
            <w:tcBorders>
              <w:bottom w:val="single" w:sz="8" w:color="auto"/>
            </w:tcBorders>
            <w:shd w:val="clear" w:color="auto" w:fill="D2EEF5"/>
          </w:tcPr>
          <w:p>
            <w:pPr>
              <w:spacing w:after="0"/>
              <w:rPr>
                <w:sz w:val="22"/>
                <w:szCs w:val="22"/>
                <w:color w:val="auto"/>
              </w:rPr>
            </w:pPr>
          </w:p>
        </w:tc>
        <w:tc>
          <w:tcPr>
            <w:tcW w:w="78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16"/>
                <w:szCs w:val="16"/>
                <w:color w:val="auto"/>
              </w:rPr>
              <w:t>77,949</w:t>
            </w:r>
          </w:p>
        </w:tc>
        <w:tc>
          <w:tcPr>
            <w:tcW w:w="80" w:type="dxa"/>
            <w:vAlign w:val="bottom"/>
            <w:tcBorders>
              <w:bottom w:val="single" w:sz="8" w:color="D2EEF5"/>
            </w:tcBorders>
            <w:shd w:val="clear" w:color="auto" w:fill="D2EEF5"/>
          </w:tcPr>
          <w:p>
            <w:pPr>
              <w:spacing w:after="0"/>
              <w:rPr>
                <w:sz w:val="22"/>
                <w:szCs w:val="22"/>
                <w:color w:val="auto"/>
              </w:rPr>
            </w:pPr>
          </w:p>
        </w:tc>
        <w:tc>
          <w:tcPr>
            <w:tcW w:w="120" w:type="dxa"/>
            <w:vAlign w:val="bottom"/>
            <w:tcBorders>
              <w:bottom w:val="single" w:sz="8" w:color="auto"/>
            </w:tcBorders>
            <w:shd w:val="clear" w:color="auto" w:fill="D2EEF5"/>
          </w:tcPr>
          <w:p>
            <w:pPr>
              <w:spacing w:after="0"/>
              <w:rPr>
                <w:sz w:val="22"/>
                <w:szCs w:val="22"/>
                <w:color w:val="auto"/>
              </w:rPr>
            </w:pPr>
          </w:p>
        </w:tc>
        <w:tc>
          <w:tcPr>
            <w:tcW w:w="94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2EEF5"/>
            </w:tcBorders>
            <w:shd w:val="clear" w:color="auto" w:fill="D2EEF5"/>
          </w:tcPr>
          <w:p>
            <w:pPr>
              <w:spacing w:after="0"/>
              <w:rPr>
                <w:sz w:val="22"/>
                <w:szCs w:val="22"/>
                <w:color w:val="auto"/>
              </w:rPr>
            </w:pPr>
          </w:p>
        </w:tc>
        <w:tc>
          <w:tcPr>
            <w:tcW w:w="780" w:type="dxa"/>
            <w:vAlign w:val="bottom"/>
            <w:tcBorders>
              <w:bottom w:val="single" w:sz="8" w:color="auto"/>
            </w:tcBorders>
            <w:shd w:val="clear" w:color="auto" w:fill="D2EEF5"/>
          </w:tcPr>
          <w:p>
            <w:pPr>
              <w:jc w:val="right"/>
              <w:ind w:right="6"/>
              <w:spacing w:after="0"/>
              <w:rPr>
                <w:sz w:val="20"/>
                <w:szCs w:val="20"/>
                <w:color w:val="auto"/>
              </w:rPr>
            </w:pPr>
            <w:r>
              <w:rPr>
                <w:rFonts w:ascii="Arial" w:cs="Arial" w:eastAsia="Arial" w:hAnsi="Arial"/>
                <w:sz w:val="16"/>
                <w:szCs w:val="16"/>
                <w:b w:val="1"/>
                <w:bCs w:val="1"/>
                <w:color w:val="auto"/>
              </w:rPr>
              <w:t>77,949</w:t>
            </w:r>
          </w:p>
        </w:tc>
        <w:tc>
          <w:tcPr>
            <w:tcW w:w="0" w:type="dxa"/>
            <w:vAlign w:val="bottom"/>
          </w:tcPr>
          <w:p>
            <w:pPr>
              <w:spacing w:after="0"/>
              <w:rPr>
                <w:sz w:val="1"/>
                <w:szCs w:val="1"/>
                <w:color w:val="auto"/>
              </w:rPr>
            </w:pPr>
          </w:p>
        </w:tc>
      </w:tr>
      <w:tr>
        <w:trPr>
          <w:trHeight w:val="183"/>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2025</w:t>
            </w:r>
          </w:p>
        </w:tc>
        <w:tc>
          <w:tcPr>
            <w:tcW w:w="760" w:type="dxa"/>
            <w:vAlign w:val="bottom"/>
          </w:tcPr>
          <w:p>
            <w:pPr>
              <w:jc w:val="right"/>
              <w:ind w:right="2"/>
              <w:spacing w:after="0"/>
              <w:rPr>
                <w:sz w:val="20"/>
                <w:szCs w:val="20"/>
                <w:color w:val="auto"/>
              </w:rPr>
            </w:pPr>
            <w:r>
              <w:rPr>
                <w:rFonts w:ascii="Arial" w:cs="Arial" w:eastAsia="Arial" w:hAnsi="Arial"/>
                <w:sz w:val="16"/>
                <w:szCs w:val="16"/>
                <w:b w:val="1"/>
                <w:bCs w:val="1"/>
                <w:color w:val="auto"/>
              </w:rPr>
              <w:t>284,371</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b w:val="1"/>
                <w:bCs w:val="1"/>
                <w:color w:val="auto"/>
              </w:rPr>
              <w:t>2,860</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 (17,013)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
              <w:spacing w:after="0"/>
              <w:rPr>
                <w:sz w:val="20"/>
                <w:szCs w:val="20"/>
                <w:color w:val="auto"/>
              </w:rPr>
            </w:pPr>
            <w:r>
              <w:rPr>
                <w:rFonts w:ascii="Arial" w:cs="Arial" w:eastAsia="Arial" w:hAnsi="Arial"/>
                <w:sz w:val="16"/>
                <w:szCs w:val="16"/>
                <w:b w:val="1"/>
                <w:bCs w:val="1"/>
                <w:color w:val="auto"/>
                <w:w w:val="98"/>
              </w:rPr>
              <w:t>1,262,119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(532,093)</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(109,838)</w:t>
            </w:r>
          </w:p>
        </w:tc>
        <w:tc>
          <w:tcPr>
            <w:tcW w:w="86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$ 606,035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-43815</wp:posOffset>
            </wp:positionV>
            <wp:extent cx="406400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4064000" cy="5080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notes to consolidated financial statements.</w:t>
      </w:r>
    </w:p>
    <w:p>
      <w:pPr>
        <w:sectPr>
          <w:pgSz w:w="11880" w:h="15480" w:orient="portrait"/>
          <w:cols w:equalWidth="0" w:num="1">
            <w:col w:w="9720"/>
          </w:cols>
          <w:pgMar w:left="820" w:top="405"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720"/>
          </w:cols>
          <w:pgMar w:left="820" w:top="405" w:right="1340" w:bottom="0" w:gutter="0" w:footer="0" w:header="0"/>
          <w:type w:val="continuous"/>
        </w:sectPr>
      </w:pPr>
    </w:p>
    <w:bookmarkStart w:id="77" w:name="page78"/>
    <w:bookmarkEnd w:id="77"/>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200" w:lineRule="exact"/>
        <w:rPr>
          <w:sz w:val="20"/>
          <w:szCs w:val="20"/>
          <w:color w:val="auto"/>
        </w:rPr>
      </w:pPr>
    </w:p>
    <w:p>
      <w:pPr>
        <w:spacing w:after="0" w:line="393" w:lineRule="exact"/>
        <w:rPr>
          <w:sz w:val="20"/>
          <w:szCs w:val="20"/>
          <w:color w:val="auto"/>
        </w:rPr>
      </w:pPr>
    </w:p>
    <w:p>
      <w:pPr>
        <w:ind w:left="370" w:hanging="370"/>
        <w:spacing w:after="0"/>
        <w:tabs>
          <w:tab w:leader="none" w:pos="37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w:t>
      </w:r>
    </w:p>
    <w:p>
      <w:pPr>
        <w:spacing w:after="0" w:line="134" w:lineRule="exact"/>
        <w:rPr>
          <w:sz w:val="20"/>
          <w:szCs w:val="20"/>
          <w:color w:val="auto"/>
        </w:rPr>
      </w:pPr>
    </w:p>
    <w:p>
      <w:pPr>
        <w:ind w:left="10" w:right="80"/>
        <w:spacing w:after="0" w:line="268" w:lineRule="auto"/>
        <w:rPr>
          <w:sz w:val="20"/>
          <w:szCs w:val="20"/>
          <w:color w:val="auto"/>
        </w:rPr>
      </w:pPr>
      <w:r>
        <w:rPr>
          <w:rFonts w:ascii="Arial" w:cs="Arial" w:eastAsia="Arial" w:hAnsi="Arial"/>
          <w:sz w:val="20"/>
          <w:szCs w:val="20"/>
          <w:b w:val="1"/>
          <w:bCs w:val="1"/>
          <w:i w:val="1"/>
          <w:iCs w:val="1"/>
          <w:color w:val="auto"/>
        </w:rPr>
        <w:t xml:space="preserve">Principles of Consolidation </w:t>
      </w:r>
      <w:r>
        <w:rPr>
          <w:rFonts w:ascii="Arial" w:cs="Arial" w:eastAsia="Arial" w:hAnsi="Arial"/>
          <w:sz w:val="20"/>
          <w:szCs w:val="20"/>
          <w:color w:val="auto"/>
        </w:rPr>
        <w:t>– Sotera Health Company (also referred to herein as the “Company,” “we,” “our,” “us” or “its”),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leading global provider of mission-critical end-to-end sterilization solutions, lab testing and advisory services for the healthcare industry with operations primarily in the Americas, Europe and Asia.</w:t>
      </w:r>
    </w:p>
    <w:p>
      <w:pPr>
        <w:spacing w:after="0" w:line="153" w:lineRule="exact"/>
        <w:rPr>
          <w:sz w:val="20"/>
          <w:szCs w:val="20"/>
          <w:color w:val="auto"/>
        </w:rPr>
      </w:pPr>
    </w:p>
    <w:p>
      <w:pPr>
        <w:ind w:left="10" w:right="500"/>
        <w:spacing w:after="0" w:line="266" w:lineRule="auto"/>
        <w:rPr>
          <w:sz w:val="20"/>
          <w:szCs w:val="20"/>
          <w:color w:val="auto"/>
        </w:rPr>
      </w:pPr>
      <w:r>
        <w:rPr>
          <w:rFonts w:ascii="Arial" w:cs="Arial" w:eastAsia="Arial" w:hAnsi="Arial"/>
          <w:sz w:val="20"/>
          <w:szCs w:val="20"/>
          <w:color w:val="auto"/>
        </w:rPr>
        <w:t>The accompanying consolidated financial statements include the assets, liabilities, operating results, and cash flows of the Company and its wholly owned subsidiaries prepared in accordance with U.S. generally accepted accounting principles (“GAAP”).</w:t>
      </w:r>
    </w:p>
    <w:p>
      <w:pPr>
        <w:spacing w:after="0" w:line="155" w:lineRule="exact"/>
        <w:rPr>
          <w:sz w:val="20"/>
          <w:szCs w:val="20"/>
          <w:color w:val="auto"/>
        </w:rPr>
      </w:pPr>
    </w:p>
    <w:p>
      <w:pPr>
        <w:ind w:left="10" w:right="40"/>
        <w:spacing w:after="0" w:line="341" w:lineRule="auto"/>
        <w:rPr>
          <w:sz w:val="20"/>
          <w:szCs w:val="20"/>
          <w:color w:val="auto"/>
        </w:rPr>
      </w:pPr>
      <w:r>
        <w:rPr>
          <w:rFonts w:ascii="Arial" w:cs="Arial" w:eastAsia="Arial" w:hAnsi="Arial"/>
          <w:sz w:val="18"/>
          <w:szCs w:val="18"/>
          <w:color w:val="auto"/>
        </w:rPr>
        <w:t>We operate and report in three segments, Sterigenics, Nordion and Nelson Labs. We describe our reportable segments in Note 21, “Segment and Geographic Information.” All intercompany balances and transactions have been eliminated in consolidation.</w:t>
      </w:r>
    </w:p>
    <w:p>
      <w:pPr>
        <w:spacing w:after="0" w:line="89" w:lineRule="exact"/>
        <w:rPr>
          <w:sz w:val="20"/>
          <w:szCs w:val="20"/>
          <w:color w:val="auto"/>
        </w:rPr>
      </w:pPr>
    </w:p>
    <w:p>
      <w:pPr>
        <w:ind w:left="10" w:right="20"/>
        <w:spacing w:after="0" w:line="288" w:lineRule="auto"/>
        <w:rPr>
          <w:sz w:val="20"/>
          <w:szCs w:val="20"/>
          <w:color w:val="auto"/>
        </w:rPr>
      </w:pPr>
      <w:r>
        <w:rPr>
          <w:rFonts w:ascii="Arial" w:cs="Arial" w:eastAsia="Arial" w:hAnsi="Arial"/>
          <w:sz w:val="19"/>
          <w:szCs w:val="19"/>
          <w:b w:val="1"/>
          <w:bCs w:val="1"/>
          <w:i w:val="1"/>
          <w:iCs w:val="1"/>
          <w:color w:val="auto"/>
        </w:rPr>
        <w:t xml:space="preserve">Use of Estimates </w:t>
      </w:r>
      <w:r>
        <w:rPr>
          <w:rFonts w:ascii="Arial" w:cs="Arial" w:eastAsia="Arial" w:hAnsi="Arial"/>
          <w:sz w:val="19"/>
          <w:szCs w:val="19"/>
          <w:color w:val="auto"/>
        </w:rPr>
        <w:t>– In preparing our consolidated financial statements in conformity with GAAP, we make estimates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assumptions that affect the amounts reported and the accompanying notes. We regularly evaluate the estimates and assumptions used and revise them as new information becomes available. Actual results may vary from those estimates.</w:t>
      </w:r>
    </w:p>
    <w:p>
      <w:pPr>
        <w:spacing w:after="0" w:line="133" w:lineRule="exact"/>
        <w:rPr>
          <w:sz w:val="20"/>
          <w:szCs w:val="20"/>
          <w:color w:val="auto"/>
        </w:rPr>
      </w:pPr>
    </w:p>
    <w:p>
      <w:pPr>
        <w:ind w:left="10" w:right="80"/>
        <w:spacing w:after="0" w:line="268" w:lineRule="auto"/>
        <w:rPr>
          <w:sz w:val="20"/>
          <w:szCs w:val="20"/>
          <w:color w:val="auto"/>
        </w:rPr>
      </w:pPr>
      <w:r>
        <w:rPr>
          <w:rFonts w:ascii="Arial" w:cs="Arial" w:eastAsia="Arial" w:hAnsi="Arial"/>
          <w:sz w:val="20"/>
          <w:szCs w:val="20"/>
          <w:b w:val="1"/>
          <w:bCs w:val="1"/>
          <w:i w:val="1"/>
          <w:iCs w:val="1"/>
          <w:color w:val="auto"/>
        </w:rPr>
        <w:t xml:space="preserve">Cash and Cash Equivalents </w:t>
      </w:r>
      <w:r>
        <w:rPr>
          <w:rFonts w:ascii="Arial" w:cs="Arial" w:eastAsia="Arial" w:hAnsi="Arial"/>
          <w:sz w:val="20"/>
          <w:szCs w:val="20"/>
          <w:color w:val="auto"/>
        </w:rPr>
        <w:t>– We consider all highly liquid investments purchased with an original maturity of three months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less from the date of purchase to be cash equivalents. Cash and cash equivalents may include various deposit accounts and money market funds.</w:t>
      </w:r>
    </w:p>
    <w:p>
      <w:pPr>
        <w:spacing w:after="0" w:line="143" w:lineRule="exact"/>
        <w:rPr>
          <w:sz w:val="20"/>
          <w:szCs w:val="20"/>
          <w:color w:val="auto"/>
        </w:rPr>
      </w:pPr>
    </w:p>
    <w:p>
      <w:pPr>
        <w:ind w:left="10" w:right="100"/>
        <w:spacing w:after="0" w:line="259" w:lineRule="auto"/>
        <w:rPr>
          <w:sz w:val="20"/>
          <w:szCs w:val="20"/>
          <w:color w:val="auto"/>
        </w:rPr>
      </w:pPr>
      <w:r>
        <w:rPr>
          <w:rFonts w:ascii="Arial" w:cs="Arial" w:eastAsia="Arial" w:hAnsi="Arial"/>
          <w:sz w:val="22"/>
          <w:szCs w:val="22"/>
          <w:b w:val="1"/>
          <w:bCs w:val="1"/>
          <w:i w:val="1"/>
          <w:iCs w:val="1"/>
          <w:color w:val="auto"/>
        </w:rPr>
        <w:t>A</w:t>
      </w:r>
      <w:r>
        <w:rPr>
          <w:rFonts w:ascii="Arial" w:cs="Arial" w:eastAsia="Arial" w:hAnsi="Arial"/>
          <w:sz w:val="20"/>
          <w:szCs w:val="20"/>
          <w:b w:val="1"/>
          <w:bCs w:val="1"/>
          <w:i w:val="1"/>
          <w:iCs w:val="1"/>
          <w:color w:val="auto"/>
        </w:rPr>
        <w:t>ccounts Receivable</w:t>
      </w:r>
      <w:r>
        <w:rPr>
          <w:rFonts w:ascii="Arial" w:cs="Arial" w:eastAsia="Arial" w:hAnsi="Arial"/>
          <w:sz w:val="22"/>
          <w:szCs w:val="22"/>
          <w:b w:val="1"/>
          <w:bCs w:val="1"/>
          <w:i w:val="1"/>
          <w:iCs w:val="1"/>
          <w:color w:val="auto"/>
        </w:rPr>
        <w:t xml:space="preserve"> </w:t>
      </w:r>
      <w:r>
        <w:rPr>
          <w:rFonts w:ascii="Arial" w:cs="Arial" w:eastAsia="Arial" w:hAnsi="Arial"/>
          <w:sz w:val="20"/>
          <w:szCs w:val="20"/>
          <w:color w:val="auto"/>
        </w:rPr>
        <w:t>– Accounts receivable consists of amounts billed and currently due from customers. The amounts due are</w:t>
      </w:r>
      <w:r>
        <w:rPr>
          <w:rFonts w:ascii="Arial" w:cs="Arial" w:eastAsia="Arial" w:hAnsi="Arial"/>
          <w:sz w:val="22"/>
          <w:szCs w:val="22"/>
          <w:b w:val="1"/>
          <w:bCs w:val="1"/>
          <w:i w:val="1"/>
          <w:iCs w:val="1"/>
          <w:color w:val="auto"/>
        </w:rPr>
        <w:t xml:space="preserve"> </w:t>
      </w:r>
      <w:r>
        <w:rPr>
          <w:rFonts w:ascii="Arial" w:cs="Arial" w:eastAsia="Arial" w:hAnsi="Arial"/>
          <w:sz w:val="20"/>
          <w:szCs w:val="20"/>
          <w:color w:val="auto"/>
        </w:rPr>
        <w:t>stated net of the allowance for uncollectible accounts. The Company maintains an allowance for uncollectible receivables to provide for the estimated amount of receivables that will not be collected.</w:t>
      </w:r>
    </w:p>
    <w:p>
      <w:pPr>
        <w:spacing w:after="0" w:line="156" w:lineRule="exact"/>
        <w:rPr>
          <w:sz w:val="20"/>
          <w:szCs w:val="20"/>
          <w:color w:val="auto"/>
        </w:rPr>
      </w:pPr>
    </w:p>
    <w:p>
      <w:pPr>
        <w:ind w:left="10"/>
        <w:spacing w:after="0" w:line="256" w:lineRule="auto"/>
        <w:rPr>
          <w:sz w:val="20"/>
          <w:szCs w:val="20"/>
          <w:color w:val="auto"/>
        </w:rPr>
      </w:pPr>
      <w:r>
        <w:rPr>
          <w:rFonts w:ascii="Arial" w:cs="Arial" w:eastAsia="Arial" w:hAnsi="Arial"/>
          <w:sz w:val="20"/>
          <w:szCs w:val="20"/>
          <w:b w:val="1"/>
          <w:bCs w:val="1"/>
          <w:i w:val="1"/>
          <w:iCs w:val="1"/>
          <w:color w:val="auto"/>
        </w:rPr>
        <w:t xml:space="preserve">Allowance for Uncollectible Accounts Receivable </w:t>
      </w:r>
      <w:r>
        <w:rPr>
          <w:rFonts w:ascii="Arial" w:cs="Arial" w:eastAsia="Arial" w:hAnsi="Arial"/>
          <w:sz w:val="20"/>
          <w:szCs w:val="20"/>
          <w:color w:val="auto"/>
        </w:rPr>
        <w:t>– We maintain an allowance for uncollectible accounts receivable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estimated losses in the collection of amounts owed to us by customers. We estimate the allowance based on analyzing a number of factors, including amounts written off historically, customer payment practices, customer financial information and credit ratings, current market conditions as well as the expected future economic conditions that may impact the collection of accounts receivable. We also analyze significant customer accounts on a regular basis and record a specific allowance when we become aware of a specific customer’s inability to pay. We generally do not charge interest on accounts receivable or require collateral from our customers.</w:t>
      </w:r>
    </w:p>
    <w:p>
      <w:pPr>
        <w:spacing w:after="0" w:line="166" w:lineRule="exact"/>
        <w:rPr>
          <w:sz w:val="20"/>
          <w:szCs w:val="20"/>
          <w:color w:val="auto"/>
        </w:rPr>
      </w:pPr>
    </w:p>
    <w:p>
      <w:pPr>
        <w:jc w:val="both"/>
        <w:ind w:left="10" w:right="60"/>
        <w:spacing w:after="0" w:line="279" w:lineRule="auto"/>
        <w:rPr>
          <w:sz w:val="20"/>
          <w:szCs w:val="20"/>
          <w:color w:val="auto"/>
        </w:rPr>
      </w:pPr>
      <w:r>
        <w:rPr>
          <w:rFonts w:ascii="Arial" w:cs="Arial" w:eastAsia="Arial" w:hAnsi="Arial"/>
          <w:sz w:val="19"/>
          <w:szCs w:val="19"/>
          <w:color w:val="auto"/>
        </w:rPr>
        <w:t>We record write-offs against the allowance for uncollectible accounts receivable when all reasonable efforts for collection have been exhausted. As a result, the related accounts receivable are reduced to an amount that we reasonably believe is collectible. These analyses require judgment. If the financial condition of our customers worsens, or economic conditions change, we may be required to make changes to our allowance for uncollectible accounts receivable.</w:t>
      </w:r>
    </w:p>
    <w:p>
      <w:pPr>
        <w:spacing w:after="0" w:line="181" w:lineRule="exact"/>
        <w:rPr>
          <w:sz w:val="20"/>
          <w:szCs w:val="20"/>
          <w:color w:val="auto"/>
        </w:rPr>
      </w:pPr>
    </w:p>
    <w:p>
      <w:pPr>
        <w:ind w:left="10" w:right="200"/>
        <w:spacing w:after="0" w:line="256" w:lineRule="auto"/>
        <w:rPr>
          <w:sz w:val="20"/>
          <w:szCs w:val="20"/>
          <w:color w:val="auto"/>
        </w:rPr>
      </w:pPr>
      <w:r>
        <w:rPr>
          <w:rFonts w:ascii="Arial" w:cs="Arial" w:eastAsia="Arial" w:hAnsi="Arial"/>
          <w:sz w:val="20"/>
          <w:szCs w:val="20"/>
          <w:b w:val="1"/>
          <w:bCs w:val="1"/>
          <w:i w:val="1"/>
          <w:iCs w:val="1"/>
          <w:color w:val="auto"/>
        </w:rPr>
        <w:t xml:space="preserve">Inventories </w:t>
      </w:r>
      <w:r>
        <w:rPr>
          <w:rFonts w:ascii="Arial" w:cs="Arial" w:eastAsia="Arial" w:hAnsi="Arial"/>
          <w:sz w:val="20"/>
          <w:szCs w:val="20"/>
          <w:color w:val="auto"/>
        </w:rPr>
        <w:t>– Inventories as of December 31, 2025 and 2024 are held at Nordion. Inventories are stated at the lower of cost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net realizable value. Cost of material, labor, and manufacturing overhead are determined using standard cost, which approximates average cost. We review inventory on an ongoing basis, considering factors such as deterioration and obsolescence. We record a reserve for excess and obsolete inventory, which was immaterial at December 31, 2025 and 2024,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163" w:lineRule="exact"/>
        <w:rPr>
          <w:sz w:val="20"/>
          <w:szCs w:val="20"/>
          <w:color w:val="auto"/>
        </w:rPr>
      </w:pPr>
    </w:p>
    <w:p>
      <w:pPr>
        <w:ind w:left="10" w:right="140"/>
        <w:spacing w:after="0" w:line="286"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 Property, plant, and equipment is carried at cost, or initially at fair value if acquired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less accumulated depreciation and amortization. Except for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one to five years. For software obtained or developed for internal use, all external direct costs for materials and services and certain</w:t>
      </w:r>
    </w:p>
    <w:p>
      <w:pPr>
        <w:sectPr>
          <w:pgSz w:w="11880" w:h="15480" w:orient="portrait"/>
          <w:cols w:equalWidth="0" w:num="1">
            <w:col w:w="10250"/>
          </w:cols>
          <w:pgMar w:left="810" w:top="422" w:right="82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10250"/>
          </w:cols>
          <w:pgMar w:left="810" w:top="422" w:right="820" w:bottom="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right="360"/>
        <w:spacing w:after="0" w:line="299" w:lineRule="auto"/>
        <w:rPr>
          <w:sz w:val="20"/>
          <w:szCs w:val="20"/>
          <w:color w:val="auto"/>
        </w:rPr>
      </w:pPr>
      <w:r>
        <w:rPr>
          <w:rFonts w:ascii="Arial" w:cs="Arial" w:eastAsia="Arial" w:hAnsi="Arial"/>
          <w:sz w:val="18"/>
          <w:szCs w:val="18"/>
          <w:color w:val="auto"/>
        </w:rPr>
        <w:t>personnel costs incurred to develop the software during the application development stage are capitalized. At December 31, 2025 and 2024, we had undepreciated software costs of $17.1 million and $11.4 million, respectively, included in property, plant, and equipment, net. We recognized $4.8 million, $4.2 million and $3.3 million, of depreciation expense related to software costs for the years ending December 31, 2025, 2024 and 2023, respectively.</w:t>
      </w:r>
    </w:p>
    <w:p>
      <w:pPr>
        <w:sectPr>
          <w:pgSz w:w="11880" w:h="15480" w:orient="portrait"/>
          <w:cols w:equalWidth="0" w:num="1">
            <w:col w:w="10240"/>
          </w:cols>
          <w:pgMar w:left="820" w:top="422" w:right="820" w:bottom="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Depreciation is computed using the assets’ estimated useful lives as presented below:</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20"/>
          <w:szCs w:val="20"/>
          <w:color w:val="auto"/>
        </w:rPr>
        <w:t>Buildings and building improvements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2EEF5"/>
                        </a:solidFill>
                      </wps:spPr>
                      <wps:bodyPr/>
                    </wps:wsp>
                  </a:graphicData>
                </a:graphic>
              </wp:anchor>
            </w:drawing>
          </mc:Choice>
          <mc:Fallback>
            <w:pict>
              <v:rect id="Shape 23" o:spid="_x0000_s1048"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Machinery and equipment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20"/>
          <w:szCs w:val="20"/>
          <w:color w:val="auto"/>
        </w:rPr>
        <w:t>Leasehold improvements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2EEF5"/>
                        </a:solidFill>
                      </wps:spPr>
                      <wps:bodyPr/>
                    </wps:wsp>
                  </a:graphicData>
                </a:graphic>
              </wp:anchor>
            </w:drawing>
          </mc:Choice>
          <mc:Fallback>
            <w:pict>
              <v:rect id="Shape 24" o:spid="_x0000_s1049"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Furniture and fixtures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20"/>
          <w:szCs w:val="20"/>
          <w:color w:val="auto"/>
        </w:rPr>
        <w:t>Computer hardware and software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2EEF5"/>
                        </a:solidFill>
                      </wps:spPr>
                      <wps:bodyPr/>
                    </wps:wsp>
                  </a:graphicData>
                </a:graphic>
              </wp:anchor>
            </w:drawing>
          </mc:Choice>
          <mc:Fallback>
            <w:pict>
              <v:rect id="Shape 25" o:spid="_x0000_s1050"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15–44 years</w:t>
      </w:r>
    </w:p>
    <w:p>
      <w:pPr>
        <w:spacing w:after="0" w:line="90" w:lineRule="exact"/>
        <w:rPr>
          <w:sz w:val="20"/>
          <w:szCs w:val="20"/>
          <w:color w:val="auto"/>
        </w:rPr>
      </w:pPr>
    </w:p>
    <w:p>
      <w:pPr>
        <w:jc w:val="right"/>
        <w:ind w:right="40"/>
        <w:spacing w:after="0"/>
        <w:rPr>
          <w:sz w:val="20"/>
          <w:szCs w:val="20"/>
          <w:color w:val="auto"/>
        </w:rPr>
      </w:pPr>
      <w:r>
        <w:rPr>
          <w:rFonts w:ascii="Arial" w:cs="Arial" w:eastAsia="Arial" w:hAnsi="Arial"/>
          <w:sz w:val="19"/>
          <w:szCs w:val="19"/>
          <w:color w:val="auto"/>
        </w:rPr>
        <w:t>3–30 years</w:t>
      </w:r>
    </w:p>
    <w:p>
      <w:pPr>
        <w:spacing w:after="0" w:line="67" w:lineRule="exact"/>
        <w:rPr>
          <w:sz w:val="20"/>
          <w:szCs w:val="20"/>
          <w:color w:val="auto"/>
        </w:rPr>
      </w:pPr>
    </w:p>
    <w:p>
      <w:pPr>
        <w:jc w:val="right"/>
        <w:ind w:right="40"/>
        <w:spacing w:after="0"/>
        <w:rPr>
          <w:sz w:val="20"/>
          <w:szCs w:val="20"/>
          <w:color w:val="auto"/>
        </w:rPr>
      </w:pPr>
      <w:r>
        <w:rPr>
          <w:rFonts w:ascii="Arial" w:cs="Arial" w:eastAsia="Arial" w:hAnsi="Arial"/>
          <w:sz w:val="19"/>
          <w:szCs w:val="19"/>
          <w:color w:val="auto"/>
        </w:rPr>
        <w:t>2–20 years</w:t>
      </w:r>
    </w:p>
    <w:p>
      <w:pPr>
        <w:spacing w:after="0" w:line="67" w:lineRule="exact"/>
        <w:rPr>
          <w:sz w:val="20"/>
          <w:szCs w:val="20"/>
          <w:color w:val="auto"/>
        </w:rPr>
      </w:pPr>
    </w:p>
    <w:p>
      <w:pPr>
        <w:jc w:val="right"/>
        <w:ind w:right="40"/>
        <w:spacing w:after="0"/>
        <w:rPr>
          <w:sz w:val="20"/>
          <w:szCs w:val="20"/>
          <w:color w:val="auto"/>
        </w:rPr>
      </w:pPr>
      <w:r>
        <w:rPr>
          <w:rFonts w:ascii="Arial" w:cs="Arial" w:eastAsia="Arial" w:hAnsi="Arial"/>
          <w:sz w:val="19"/>
          <w:szCs w:val="19"/>
          <w:color w:val="auto"/>
        </w:rPr>
        <w:t>3–10 years</w:t>
      </w:r>
    </w:p>
    <w:p>
      <w:pPr>
        <w:spacing w:after="0" w:line="67"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1–7 years</w:t>
      </w:r>
    </w:p>
    <w:p>
      <w:pPr>
        <w:spacing w:after="0" w:line="200" w:lineRule="exact"/>
        <w:rPr>
          <w:sz w:val="20"/>
          <w:szCs w:val="20"/>
          <w:color w:val="auto"/>
        </w:rPr>
      </w:pPr>
    </w:p>
    <w:p>
      <w:pPr>
        <w:sectPr>
          <w:pgSz w:w="11880" w:h="15480" w:orient="portrait"/>
          <w:cols w:equalWidth="0" w:num="2">
            <w:col w:w="8500" w:space="720"/>
            <w:col w:w="1020"/>
          </w:cols>
          <w:pgMar w:left="820" w:top="422" w:right="820" w:bottom="0" w:gutter="0" w:footer="0" w:header="0"/>
          <w:type w:val="continuous"/>
        </w:sectPr>
      </w:pPr>
    </w:p>
    <w:p>
      <w:pPr>
        <w:spacing w:after="0" w:line="8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w:t>
      </w:r>
    </w:p>
    <w:p>
      <w:pPr>
        <w:spacing w:after="0" w:line="149" w:lineRule="exact"/>
        <w:rPr>
          <w:sz w:val="20"/>
          <w:szCs w:val="20"/>
          <w:color w:val="auto"/>
        </w:rPr>
      </w:pPr>
    </w:p>
    <w:p>
      <w:pPr>
        <w:ind w:right="420"/>
        <w:spacing w:after="0" w:line="283" w:lineRule="auto"/>
        <w:rPr>
          <w:sz w:val="20"/>
          <w:szCs w:val="20"/>
          <w:color w:val="auto"/>
        </w:rPr>
      </w:pPr>
      <w:r>
        <w:rPr>
          <w:rFonts w:ascii="Arial" w:cs="Arial" w:eastAsia="Arial" w:hAnsi="Arial"/>
          <w:sz w:val="20"/>
          <w:szCs w:val="20"/>
          <w:color w:val="auto"/>
        </w:rPr>
        <w:t>Upon sale or retirement of assets, the cost and related accumulated depreciation is removed from the Consolidated Balance Sheets, and the resulting gain or loss is reflected as a component of operating income.</w:t>
      </w:r>
    </w:p>
    <w:p>
      <w:pPr>
        <w:spacing w:after="0" w:line="135"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b w:val="1"/>
          <w:bCs w:val="1"/>
          <w:i w:val="1"/>
          <w:iCs w:val="1"/>
          <w:color w:val="auto"/>
        </w:rPr>
        <w:t xml:space="preserve">Leases </w:t>
      </w:r>
      <w:r>
        <w:rPr>
          <w:rFonts w:ascii="Arial" w:cs="Arial" w:eastAsia="Arial" w:hAnsi="Arial"/>
          <w:sz w:val="20"/>
          <w:szCs w:val="20"/>
          <w:color w:val="auto"/>
        </w:rPr>
        <w:t>– We determine if an agreement contains a lease and classify our leases as operating or finance at the lease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commencement date. Leases with an initial term of twelve months or less are recognized as lease expense on a straight-line basis over the lease term and are not recorded on the Consolidated Balance Sheets. Non-lease components are accounted for separately from the lease components for all asset classes.</w:t>
      </w:r>
    </w:p>
    <w:p>
      <w:pPr>
        <w:spacing w:after="0" w:line="15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spacing w:after="0" w:line="140"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 We recognize operating lease costs on a straight-line basis over the term of the lease in “Cost of revenues” or “Selling, general and administrative expenses” on the Consolidated Statements of Operations and Comprehensive Income (Loss) depending on the nature of the underlying asset.</w:t>
      </w:r>
    </w:p>
    <w:p>
      <w:pPr>
        <w:spacing w:after="0" w:line="151"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i w:val="1"/>
          <w:iCs w:val="1"/>
          <w:color w:val="auto"/>
        </w:rPr>
        <w:t xml:space="preserve">Goodwill and Other Indefinite-Lived Intangibles </w:t>
      </w:r>
      <w:r>
        <w:rPr>
          <w:rFonts w:ascii="Arial" w:cs="Arial" w:eastAsia="Arial" w:hAnsi="Arial"/>
          <w:sz w:val="20"/>
          <w:szCs w:val="20"/>
          <w:color w:val="auto"/>
        </w:rPr>
        <w:t>– Goodwill and other indefinite-lived intangible assets, primarily certain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regulatory licenses and tradenames, are tested for impairment annually as of October 1. If circumstances change during interim periods between annual tests that would indicate that the carrying amount of such assets may not be recoverable, the Company tests such assets at an interim date for impairment. Factors that necessitate an interim impairment assessment include prolonged negative industry or economic trends and significant underperformance relative to historical or projected future operating results.</w:t>
      </w:r>
    </w:p>
    <w:p>
      <w:pPr>
        <w:spacing w:after="0" w:line="165" w:lineRule="exact"/>
        <w:rPr>
          <w:sz w:val="20"/>
          <w:szCs w:val="20"/>
          <w:color w:val="auto"/>
        </w:rPr>
      </w:pPr>
    </w:p>
    <w:p>
      <w:pPr>
        <w:ind w:right="200"/>
        <w:spacing w:after="0" w:line="341" w:lineRule="auto"/>
        <w:rPr>
          <w:sz w:val="20"/>
          <w:szCs w:val="20"/>
          <w:color w:val="auto"/>
        </w:rPr>
      </w:pPr>
      <w:r>
        <w:rPr>
          <w:rFonts w:ascii="Arial" w:cs="Arial" w:eastAsia="Arial" w:hAnsi="Arial"/>
          <w:sz w:val="18"/>
          <w:szCs w:val="18"/>
          <w:color w:val="auto"/>
        </w:rPr>
        <w:t>We performed a quantitative assessment of all reporting units (Sterigenics, Nordion and Nelson Labs) as of October 1, 2025. The fair value of each reporting unit was calculated using a discounted cash flow analysis which was dependent on subjective</w:t>
      </w:r>
    </w:p>
    <w:p>
      <w:pPr>
        <w:sectPr>
          <w:pgSz w:w="11880" w:h="15480" w:orient="portrait"/>
          <w:cols w:equalWidth="0" w:num="1">
            <w:col w:w="10240"/>
          </w:cols>
          <w:pgMar w:left="820" w:top="422" w:right="820" w:bottom="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0240"/>
          </w:cols>
          <w:pgMar w:left="820" w:top="422" w:right="820" w:bottom="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market participant assumptions determined by management. We further corroborated these discounted cash flow analyses utilizing a market approach to determine the estimated enterprise fair value. Assumptions used in the analyses included discount rates, revenue growth rates and projected operating cash flows. Estimates of future cash flows are based upon relevant data at a point-in-time, are subject to change, and could vary from actual results. The estimated fair value of each reporting unit exceeded its carrying amount by a sufficient margin to support a positive assertion that goodwill is not impaired.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There have been no other significant events or circumstances that occurred since the annual assessment date of October 1 that would change the conclusions reached above.</w:t>
      </w:r>
    </w:p>
    <w:p>
      <w:pPr>
        <w:spacing w:after="0" w:line="139"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 We may enter into derivative instruments and hedging activities to manage, where possible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economically efficient, commodity price risk, foreign currency exchange rate risk and interest rate risk related to borrowings. We also have identified embedded derivatives in certain supply and customer contracts. Certain interest rate derivatives are designated as cash flow hedges allowing for changes in fair value to be recorded through “Other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w:t>
      </w:r>
    </w:p>
    <w:p>
      <w:pPr>
        <w:spacing w:after="0" w:line="141"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b w:val="1"/>
          <w:bCs w:val="1"/>
          <w:i w:val="1"/>
          <w:iCs w:val="1"/>
          <w:color w:val="auto"/>
        </w:rPr>
        <w:t xml:space="preserve">Pension, Post-Retirement and Other Post-Employment Benefit Plans – </w:t>
      </w:r>
      <w:r>
        <w:rPr>
          <w:rFonts w:ascii="Arial" w:cs="Arial" w:eastAsia="Arial" w:hAnsi="Arial"/>
          <w:sz w:val="19"/>
          <w:szCs w:val="19"/>
          <w:color w:val="auto"/>
        </w:rPr>
        <w:t>We sponsor a defined-contribution retirement plan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covers substantially all U.S. employees. We also sponsor various post-employment benefit plans at our Nordion business in Canada, including defined benefit and defined contribution pension plans, retirement compensation arrangements and plans that provide extended health care coverage to retired 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w:t>
      </w:r>
    </w:p>
    <w:p>
      <w:pPr>
        <w:spacing w:after="0" w:line="150"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These costs and obligations are affected by assumptions including the discount rate, the expected long-term rate of return on plan assets, the annual rate of change in compensation for eligible employees, estimated changes in costs of healthcare benefits, and other demographic and economic factors. We review the assumptions used on an annual basis.</w:t>
      </w:r>
    </w:p>
    <w:p>
      <w:pPr>
        <w:spacing w:after="0" w:line="136"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color w:val="auto"/>
        </w:rPr>
        <w:t>We recognize the over/under funded status of defined benefit pension and post-retirement benefits plans in our Consolidated Balance Sheets. This amount is measured as the difference between the fair value of plan assets and the projected benefit obligation (“PBO”). Changes in the funded status of the plans are recorded in other comprehensive income (loss) in the year they occur. We measure plan assets and obligations as of the balance sheet date. We provide additional information about our pension and other post-retirement benefits plans in Note 11, “Employee Benefits.”</w:t>
      </w:r>
    </w:p>
    <w:p>
      <w:pPr>
        <w:spacing w:after="0" w:line="132"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Amortization of net gain or loss included in accumulated other comprehensive income (loss) is reclassified to net periodic pension cost if, as of the beginning of the year, that gain or loss exceeds 10% of the greater of the PBO or the market related value of the plan assets (the ‘corridor’). As most of the plan’s participants are no longer actively accruing benefits, the average remaining life expectancy is used.</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i w:val="1"/>
          <w:iCs w:val="1"/>
          <w:color w:val="auto"/>
        </w:rPr>
        <w:t xml:space="preserve">Asset Retirement Obligations (“ARO”) </w:t>
      </w:r>
      <w:r>
        <w:rPr>
          <w:rFonts w:ascii="Arial" w:cs="Arial" w:eastAsia="Arial" w:hAnsi="Arial"/>
          <w:sz w:val="19"/>
          <w:szCs w:val="19"/>
          <w:color w:val="auto"/>
        </w:rPr>
        <w:t>– ARO are legal obligations associated with the retirement of long-lived assets 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exit of a leased facility. We recognize a liability for an 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w:t>
      </w:r>
    </w:p>
    <w:p>
      <w:pPr>
        <w:sectPr>
          <w:pgSz w:w="11880" w:h="15480" w:orient="portrait"/>
          <w:cols w:equalWidth="0" w:num="1">
            <w:col w:w="10240"/>
          </w:cols>
          <w:pgMar w:left="820" w:top="422" w:right="82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0240"/>
          </w:cols>
          <w:pgMar w:left="820" w:top="422" w:right="820" w:bottom="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57" w:lineRule="exact"/>
        <w:rPr>
          <w:sz w:val="20"/>
          <w:szCs w:val="20"/>
          <w:color w:val="auto"/>
        </w:rPr>
      </w:pPr>
    </w:p>
    <w:p>
      <w:pPr>
        <w:ind w:right="140"/>
        <w:spacing w:after="0" w:line="276" w:lineRule="auto"/>
        <w:rPr>
          <w:sz w:val="20"/>
          <w:szCs w:val="20"/>
          <w:color w:val="auto"/>
        </w:rPr>
      </w:pPr>
      <w:r>
        <w:rPr>
          <w:rFonts w:ascii="Arial" w:cs="Arial" w:eastAsia="Arial" w:hAnsi="Arial"/>
          <w:sz w:val="19"/>
          <w:szCs w:val="19"/>
          <w:b w:val="1"/>
          <w:bCs w:val="1"/>
          <w:i w:val="1"/>
          <w:iCs w:val="1"/>
          <w:color w:val="auto"/>
        </w:rPr>
        <w:t xml:space="preserve">Debt Issuance Costs, Premiums and Discounts </w:t>
      </w:r>
      <w:r>
        <w:rPr>
          <w:rFonts w:ascii="Arial" w:cs="Arial" w:eastAsia="Arial" w:hAnsi="Arial"/>
          <w:sz w:val="19"/>
          <w:szCs w:val="19"/>
          <w:color w:val="auto"/>
        </w:rPr>
        <w:t>– We have incurred costs in connection with obtaining financing as well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premiums and discounts associated with our long-term debt. The portion of these fees that are capitalized are recorded as a reduction of debt on the Consolidated Balance Sheets and amortized into interest expense over the term of the debt agreement. Debt issuance costs associated with the Company’s revolving credit facilities are classified as assets unless there are outstanding borrowings under such arrangements.</w:t>
      </w:r>
    </w:p>
    <w:p>
      <w:pPr>
        <w:spacing w:after="0" w:line="184"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b w:val="1"/>
          <w:bCs w:val="1"/>
          <w:i w:val="1"/>
          <w:iCs w:val="1"/>
          <w:color w:val="auto"/>
        </w:rPr>
        <w:t xml:space="preserve">Concentration of Credit Risk, Other Risks and Uncertainties </w:t>
      </w:r>
      <w:r>
        <w:rPr>
          <w:rFonts w:ascii="Arial" w:cs="Arial" w:eastAsia="Arial" w:hAnsi="Arial"/>
          <w:sz w:val="20"/>
          <w:szCs w:val="20"/>
          <w:color w:val="auto"/>
        </w:rPr>
        <w:t>– We maintain cash and cash equivalents in the form of demand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deposits in accounts with major financial institutions in the U.S. and in countries where our subsidiaries operate. Deposits in these institutions may exceed amounts of insurance provided on such accounts. We have not experienced any losses on our deposits of cash and cash equivalents.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Our net revenues and accounts receivable are derived from customers located primarily in North America and Europe.</w:t>
      </w:r>
    </w:p>
    <w:p>
      <w:pPr>
        <w:spacing w:after="0" w:line="222" w:lineRule="exact"/>
        <w:rPr>
          <w:sz w:val="20"/>
          <w:szCs w:val="20"/>
          <w:color w:val="auto"/>
        </w:rPr>
      </w:pPr>
    </w:p>
    <w:p>
      <w:pPr>
        <w:ind w:right="680"/>
        <w:spacing w:after="0" w:line="283" w:lineRule="auto"/>
        <w:rPr>
          <w:sz w:val="20"/>
          <w:szCs w:val="20"/>
          <w:color w:val="auto"/>
        </w:rPr>
      </w:pPr>
      <w:r>
        <w:rPr>
          <w:rFonts w:ascii="Arial" w:cs="Arial" w:eastAsia="Arial" w:hAnsi="Arial"/>
          <w:sz w:val="20"/>
          <w:szCs w:val="20"/>
          <w:color w:val="auto"/>
        </w:rPr>
        <w:t>No customer accounted for 10% or more of accounts receivable at December 31, 2025 and 2024, or 10% or more of net revenues for the years ended December 31, 2025, 2024 and 2023.</w:t>
      </w:r>
    </w:p>
    <w:p>
      <w:pPr>
        <w:spacing w:after="0" w:line="135"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b w:val="1"/>
          <w:bCs w:val="1"/>
          <w:i w:val="1"/>
          <w:iCs w:val="1"/>
          <w:color w:val="auto"/>
        </w:rPr>
        <w:t xml:space="preserve">Income Taxes </w:t>
      </w:r>
      <w:r>
        <w:rPr>
          <w:rFonts w:ascii="Arial" w:cs="Arial" w:eastAsia="Arial" w:hAnsi="Arial"/>
          <w:sz w:val="20"/>
          <w:szCs w:val="20"/>
          <w:color w:val="auto"/>
        </w:rPr>
        <w:t>– We use the liability method of accounting for income taxes whereby we recognize deferred tax assets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liabilities for the future tax consequences of temporary 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We are subject to a tax on global intangible low taxed income (“GILTI”) which we record as a period cost.</w:t>
      </w:r>
    </w:p>
    <w:p>
      <w:pPr>
        <w:spacing w:after="0" w:line="142" w:lineRule="exact"/>
        <w:rPr>
          <w:sz w:val="20"/>
          <w:szCs w:val="20"/>
          <w:color w:val="auto"/>
        </w:rPr>
      </w:pPr>
    </w:p>
    <w:p>
      <w:pPr>
        <w:ind w:right="80"/>
        <w:spacing w:after="0" w:line="283" w:lineRule="auto"/>
        <w:rPr>
          <w:sz w:val="20"/>
          <w:szCs w:val="20"/>
          <w:color w:val="auto"/>
        </w:rPr>
      </w:pPr>
      <w:r>
        <w:rPr>
          <w:rFonts w:ascii="Arial" w:cs="Arial" w:eastAsia="Arial" w:hAnsi="Arial"/>
          <w:sz w:val="20"/>
          <w:szCs w:val="20"/>
          <w:color w:val="auto"/>
        </w:rPr>
        <w:t>Our policy is to recognize interest and penalties related to income tax matters as a component of the provision for income taxes in our Consolidated Statements of Operations and Comprehensive Income (Loss).</w:t>
      </w:r>
    </w:p>
    <w:p>
      <w:pPr>
        <w:spacing w:after="0" w:line="135" w:lineRule="exact"/>
        <w:rPr>
          <w:sz w:val="20"/>
          <w:szCs w:val="20"/>
          <w:color w:val="auto"/>
        </w:rPr>
      </w:pPr>
    </w:p>
    <w:p>
      <w:pPr>
        <w:ind w:right="300"/>
        <w:spacing w:after="0" w:line="322"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 The functional currency of our foreign subsidiaries is generally the local currency.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Accordingly, assets and liabilities are generally translated into U.S. dollars at the current rates of exchange as of the balance sheet date, and revenues and expenses are translated using weighted-average rates prevailing during the period. Adjustments from foreign currency translation are included as a separate component of accumulated other comprehensive income (loss).</w:t>
      </w:r>
    </w:p>
    <w:p>
      <w:pPr>
        <w:spacing w:after="0" w:line="114" w:lineRule="exact"/>
        <w:rPr>
          <w:sz w:val="20"/>
          <w:szCs w:val="20"/>
          <w:color w:val="auto"/>
        </w:rPr>
      </w:pPr>
    </w:p>
    <w:p>
      <w:pPr>
        <w:ind w:right="200"/>
        <w:spacing w:after="0" w:line="290" w:lineRule="auto"/>
        <w:rPr>
          <w:sz w:val="20"/>
          <w:szCs w:val="20"/>
          <w:color w:val="auto"/>
        </w:rPr>
      </w:pPr>
      <w:r>
        <w:rPr>
          <w:rFonts w:ascii="Arial" w:cs="Arial" w:eastAsia="Arial" w:hAnsi="Arial"/>
          <w:sz w:val="18"/>
          <w:szCs w:val="18"/>
          <w:color w:val="auto"/>
        </w:rPr>
        <w:t>Gains or losses arising from foreign currency transactions are recognized in the Consolidated Statements of Operations and Comprehensive Income (Loss) as foreign exchange loss (gain). The Company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For the years ended December 31, 2025, 2024 and 2023, foreign exchange loss related primarily to short-term losses (offset by short-term gains) on sales denominated in currencies other than the functional currency of our operating entities.</w:t>
      </w:r>
    </w:p>
    <w:p>
      <w:pPr>
        <w:spacing w:after="0" w:line="136"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i w:val="1"/>
          <w:iCs w:val="1"/>
          <w:color w:val="auto"/>
        </w:rPr>
        <w:t xml:space="preserve">Revenue Recognition </w:t>
      </w:r>
      <w:r>
        <w:rPr>
          <w:rFonts w:ascii="Arial" w:cs="Arial" w:eastAsia="Arial" w:hAnsi="Arial"/>
          <w:sz w:val="20"/>
          <w:szCs w:val="20"/>
          <w:color w:val="auto"/>
        </w:rPr>
        <w:t>– Revenue is recognized when control of promised goods or services is transferred to customers in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amount that reflects the consideration to which the Company expects to be entitled in exchange for those goods or services. The majority of our sales agreements contain performance obligations satisfied at a point-in-time when control of promised goods or services have transferred to our customers. Sales recognized over time are generally accounted for using an input measure to determine progress completed as of the end of the period.</w:t>
      </w:r>
    </w:p>
    <w:p>
      <w:pPr>
        <w:sectPr>
          <w:pgSz w:w="11880" w:h="15480" w:orient="portrait"/>
          <w:cols w:equalWidth="0" w:num="1">
            <w:col w:w="10240"/>
          </w:cols>
          <w:pgMar w:left="820" w:top="42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10240"/>
          </w:cols>
          <w:pgMar w:left="820" w:top="422" w:right="820" w:bottom="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right="160"/>
        <w:spacing w:after="0" w:line="283" w:lineRule="auto"/>
        <w:rPr>
          <w:sz w:val="20"/>
          <w:szCs w:val="20"/>
          <w:color w:val="auto"/>
        </w:rPr>
      </w:pPr>
      <w:r>
        <w:rPr>
          <w:rFonts w:ascii="Arial" w:cs="Arial" w:eastAsia="Arial" w:hAnsi="Arial"/>
          <w:sz w:val="20"/>
          <w:szCs w:val="20"/>
          <w:color w:val="auto"/>
        </w:rPr>
        <w:t>Refunds, returns, warranties and other related obligations are not material to any of our segments and we do not incur material incremental costs to secure customer contracts.</w:t>
      </w:r>
    </w:p>
    <w:p>
      <w:pPr>
        <w:spacing w:after="0" w:line="138" w:lineRule="exact"/>
        <w:rPr>
          <w:sz w:val="20"/>
          <w:szCs w:val="20"/>
          <w:color w:val="auto"/>
        </w:rPr>
      </w:pPr>
    </w:p>
    <w:p>
      <w:pPr>
        <w:ind w:right="280"/>
        <w:spacing w:after="0" w:line="290" w:lineRule="auto"/>
        <w:rPr>
          <w:sz w:val="20"/>
          <w:szCs w:val="20"/>
          <w:color w:val="auto"/>
        </w:rPr>
      </w:pPr>
      <w:r>
        <w:rPr>
          <w:rFonts w:ascii="Arial" w:cs="Arial" w:eastAsia="Arial" w:hAnsi="Arial"/>
          <w:sz w:val="18"/>
          <w:szCs w:val="18"/>
          <w:color w:val="auto"/>
        </w:rPr>
        <w:t>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customers’ purchase orders. Given the relatively short turnaround times, performance obligations are generally satisfied at a point-in-time upon the completion of sterilization or irradiation processing and approval by our quality assurance process. Sterigenics segment revenues are included in service revenues in our Consolidated Statements of Operations and Comprehensive Income (Loss).</w:t>
      </w:r>
    </w:p>
    <w:p>
      <w:pPr>
        <w:spacing w:after="0" w:line="139"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Our Nordion segment is a global provider of Co-60 and gamma irradiation systems, which are key components to the gamma sterilization process. Revenue from the sale of Co-60 sources is recognized as product revenue at a point-in-time upon satisfaction of our performance obligations for delivery of existing sources. Revenue from the sale of gamma irradiation systems is recognized as product revenue over time using an input measure of costs incurred and is immaterial to the overall business. Revenues from Co-60 installation and disposal and gamma irradiation systems refurbishments and installations are recognized as service revenue.</w:t>
      </w:r>
    </w:p>
    <w:p>
      <w:pPr>
        <w:spacing w:after="0" w:line="162" w:lineRule="exact"/>
        <w:rPr>
          <w:sz w:val="20"/>
          <w:szCs w:val="20"/>
          <w:color w:val="auto"/>
        </w:rPr>
      </w:pPr>
    </w:p>
    <w:p>
      <w:pPr>
        <w:ind w:right="120"/>
        <w:spacing w:after="0" w:line="288" w:lineRule="auto"/>
        <w:rPr>
          <w:sz w:val="20"/>
          <w:szCs w:val="20"/>
          <w:color w:val="auto"/>
        </w:rPr>
      </w:pPr>
      <w:r>
        <w:rPr>
          <w:rFonts w:ascii="Arial" w:cs="Arial" w:eastAsia="Arial" w:hAnsi="Arial"/>
          <w:sz w:val="18"/>
          <w:szCs w:val="18"/>
          <w:color w:val="auto"/>
        </w:rPr>
        <w:t>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w:t>
      </w:r>
    </w:p>
    <w:p>
      <w:pPr>
        <w:spacing w:after="0" w:line="141"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We do not capitalize sales commissions because substantially all of our sales commission programs have an amortization period of one year or less. Furthermore, costs to fulfill a contract are not material.</w:t>
      </w:r>
    </w:p>
    <w:p>
      <w:pPr>
        <w:spacing w:after="0" w:line="178"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color w:val="auto"/>
        </w:rPr>
        <w:t>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32" w:lineRule="exact"/>
        <w:rPr>
          <w:sz w:val="20"/>
          <w:szCs w:val="20"/>
          <w:color w:val="auto"/>
        </w:rPr>
      </w:pPr>
    </w:p>
    <w:p>
      <w:pPr>
        <w:jc w:val="both"/>
        <w:ind w:right="40"/>
        <w:spacing w:after="0" w:line="266" w:lineRule="auto"/>
        <w:rPr>
          <w:sz w:val="20"/>
          <w:szCs w:val="20"/>
          <w:color w:val="auto"/>
        </w:rPr>
      </w:pPr>
      <w:r>
        <w:rPr>
          <w:rFonts w:ascii="Arial" w:cs="Arial" w:eastAsia="Arial" w:hAnsi="Arial"/>
          <w:sz w:val="20"/>
          <w:szCs w:val="20"/>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52"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b w:val="1"/>
          <w:bCs w:val="1"/>
          <w:i w:val="1"/>
          <w:iCs w:val="1"/>
          <w:color w:val="auto"/>
        </w:rPr>
        <w:t xml:space="preserve">Share-Based Compensation </w:t>
      </w:r>
      <w:r>
        <w:rPr>
          <w:rFonts w:ascii="Arial" w:cs="Arial" w:eastAsia="Arial" w:hAnsi="Arial"/>
          <w:sz w:val="20"/>
          <w:szCs w:val="20"/>
          <w:color w:val="auto"/>
        </w:rPr>
        <w:t>– Equity-based awards issued to employees under the Sotera Health Company 2020 Omnibus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Incentive Plan (“2020 Plan”) include restricted stock units (“RSUs”), performance stock units (“PSUs”) and stock options that vest over time.</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Prior to our initial public offering (the “IPO” as described in Note 14, “Stockholders' Equity”), equity-based awards were issued to employees and non-employee directors in the form of partnership interests in our predecessor, Sotera Health Topco Parent, L.P. (“Topco Parent”), which vested based on either time (“time vesting awards”) or the achievement of certain performance and market conditions (“performance awards” and, together with the time vesting awards, the “pre-IPO awards”). In connection with the IPO, Topco Parent made in-kind distributions of restricted shares of our common stock to holders of pre-IPO awards as described in Note 14, “Stockholders' Equity.” The restricted shares of our common stock distributed in respect of pre-IPO time vesting awards vested through August 2025; expense related to these unvested awards was recognized over the remaining vesting period. Expense attributable to the performance awards was recognized in its entirety in the year ended December 31, 2020 as the related performance conditions were considered probable of achievement and the implied service condition was met.</w:t>
      </w:r>
    </w:p>
    <w:p>
      <w:pPr>
        <w:spacing w:after="0" w:line="160" w:lineRule="exact"/>
        <w:rPr>
          <w:sz w:val="20"/>
          <w:szCs w:val="20"/>
          <w:color w:val="auto"/>
        </w:rPr>
      </w:pPr>
    </w:p>
    <w:p>
      <w:pPr>
        <w:ind w:right="40"/>
        <w:spacing w:after="0" w:line="309" w:lineRule="auto"/>
        <w:rPr>
          <w:sz w:val="20"/>
          <w:szCs w:val="20"/>
          <w:color w:val="auto"/>
        </w:rPr>
      </w:pPr>
      <w:r>
        <w:rPr>
          <w:rFonts w:ascii="Arial" w:cs="Arial" w:eastAsia="Arial" w:hAnsi="Arial"/>
          <w:sz w:val="18"/>
          <w:szCs w:val="18"/>
          <w:color w:val="auto"/>
        </w:rPr>
        <w:t>Share-based compensation expense is recognized in the Consolidated Statements of Operations and Comprehensive Income (Loss) within “Selling, general and administrative expenses” at the grant date fair value over the requisite service period (one to three years for awards granted under the 2020 Plan and five years for time vesting pre-IPO awards on a straight-line basis). We</w:t>
      </w:r>
    </w:p>
    <w:p>
      <w:pPr>
        <w:sectPr>
          <w:pgSz w:w="11880" w:h="15480" w:orient="portrait"/>
          <w:cols w:equalWidth="0" w:num="1">
            <w:col w:w="10240"/>
          </w:cols>
          <w:pgMar w:left="820" w:top="422" w:right="82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0240"/>
          </w:cols>
          <w:pgMar w:left="820" w:top="422" w:right="820" w:bottom="0" w:gutter="0" w:footer="0" w:header="0"/>
          <w:type w:val="continuous"/>
        </w:sectPr>
      </w:pPr>
    </w:p>
    <w:bookmarkStart w:id="82" w:name="page83"/>
    <w:bookmarkEnd w:id="82"/>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left="10" w:right="60"/>
        <w:spacing w:after="0" w:line="258" w:lineRule="auto"/>
        <w:rPr>
          <w:sz w:val="20"/>
          <w:szCs w:val="20"/>
          <w:color w:val="auto"/>
        </w:rPr>
      </w:pPr>
      <w:r>
        <w:rPr>
          <w:rFonts w:ascii="Arial" w:cs="Arial" w:eastAsia="Arial" w:hAnsi="Arial"/>
          <w:sz w:val="20"/>
          <w:szCs w:val="20"/>
          <w:color w:val="auto"/>
        </w:rPr>
        <w:t>use the Black-Scholes option pricing model to measure the grant date fair value of stock options awarded under the 2020 Plan using certain valuation assumptions. Certain RSUs and PSUs contain a performance modifier based on the achievement of growth targets of the market value of the Company’s common stock price. The fair value of these awards is estimated using a Monte Carlo simulation valuation model, as these awards are subject to a market condition. Share-based compensation expense for all awards recognizes forfeitures as they occur.</w:t>
      </w:r>
    </w:p>
    <w:p>
      <w:pPr>
        <w:spacing w:after="0" w:line="201" w:lineRule="exact"/>
        <w:rPr>
          <w:sz w:val="20"/>
          <w:szCs w:val="20"/>
          <w:color w:val="auto"/>
        </w:rPr>
      </w:pPr>
    </w:p>
    <w:p>
      <w:pPr>
        <w:ind w:left="10" w:right="40"/>
        <w:spacing w:after="0" w:line="283"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 In periods in which the Company has net income, earnings per share information is determined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two-class method, which includes the weighted-average number of common shares outstanding during the period and securities that participate in dividends (“participating securities”). Our unvested restricted common stock distributed in respect of partnership interests in Topco Parent (“pre-IPO Class B-1 restricted stock awards”) has the right to receive non-forfeitable dividends or dividend equivalents if the Company declares dividends on its common stock. Under the two-class method, earnings are allocated to both common stock shares and participating securities based on their respective weighted-average shares outstanding for the period. Diluted earnings per common share incorporates the dilutive effect of common stock equivalents on an average basis during the period, if dilutive, in which case the dilutive effect of such securities is calculated using the more dilutive of (a) the two-class method, or (b) treasury stock method, as applicable, to the potentially dilutive instruments. Unvested restricted common stock is not included in the weighted average common shares outstanding figure within earnings per share until the period in which the vesting condition is satisfied. In periods in which the Company has a net loss, the two-class method is not applicable because the pre-IPO Class B-1 restricted stock awards do not participate in losses. Refer to Note 16, “Earnings Per Share” for additional information.</w:t>
      </w:r>
    </w:p>
    <w:p>
      <w:pPr>
        <w:spacing w:after="0" w:line="187" w:lineRule="exact"/>
        <w:rPr>
          <w:sz w:val="20"/>
          <w:szCs w:val="20"/>
          <w:color w:val="auto"/>
        </w:rPr>
      </w:pPr>
    </w:p>
    <w:p>
      <w:pPr>
        <w:ind w:left="10" w:right="80"/>
        <w:spacing w:after="0" w:line="262" w:lineRule="auto"/>
        <w:rPr>
          <w:sz w:val="20"/>
          <w:szCs w:val="20"/>
          <w:color w:val="auto"/>
        </w:rPr>
      </w:pPr>
      <w:r>
        <w:rPr>
          <w:rFonts w:ascii="Arial" w:cs="Arial" w:eastAsia="Arial" w:hAnsi="Arial"/>
          <w:sz w:val="20"/>
          <w:szCs w:val="20"/>
          <w:b w:val="1"/>
          <w:bCs w:val="1"/>
          <w:i w:val="1"/>
          <w:iCs w:val="1"/>
          <w:color w:val="auto"/>
        </w:rPr>
        <w:t xml:space="preserve">Treasury Stock </w:t>
      </w:r>
      <w:r>
        <w:rPr>
          <w:rFonts w:ascii="Arial" w:cs="Arial" w:eastAsia="Arial" w:hAnsi="Arial"/>
          <w:sz w:val="20"/>
          <w:szCs w:val="20"/>
          <w:color w:val="auto"/>
        </w:rPr>
        <w:t>– The Company records repurchases of its own common stock at cost. Repurchased common stock is presented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a reduction of equity in the Consolidated Balance Sheets. The difference between the repurchase and reissue price of the Company’s own stock is added to or deducted from additional paid-in capital. The cost of treasury stock reissued is calculated using a weighted average cost method.</w:t>
      </w:r>
    </w:p>
    <w:p>
      <w:pPr>
        <w:spacing w:after="0" w:line="196" w:lineRule="exact"/>
        <w:rPr>
          <w:sz w:val="20"/>
          <w:szCs w:val="20"/>
          <w:color w:val="auto"/>
        </w:rPr>
      </w:pPr>
    </w:p>
    <w:p>
      <w:pPr>
        <w:ind w:left="10" w:right="100"/>
        <w:spacing w:after="0" w:line="289" w:lineRule="auto"/>
        <w:rPr>
          <w:sz w:val="20"/>
          <w:szCs w:val="20"/>
          <w:color w:val="auto"/>
        </w:rPr>
      </w:pPr>
      <w:r>
        <w:rPr>
          <w:rFonts w:ascii="Arial" w:cs="Arial" w:eastAsia="Arial" w:hAnsi="Arial"/>
          <w:sz w:val="18"/>
          <w:szCs w:val="18"/>
          <w:b w:val="1"/>
          <w:bCs w:val="1"/>
          <w:i w:val="1"/>
          <w:iCs w:val="1"/>
          <w:color w:val="auto"/>
        </w:rPr>
        <w:t xml:space="preserve">Commitments and Contingencies </w:t>
      </w:r>
      <w:r>
        <w:rPr>
          <w:rFonts w:ascii="Arial" w:cs="Arial" w:eastAsia="Arial" w:hAnsi="Arial"/>
          <w:sz w:val="18"/>
          <w:szCs w:val="18"/>
          <w:color w:val="auto"/>
        </w:rPr>
        <w:t>– Certain conditions may exist as of the date of the consolidated financial statements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result in a loss to the Company but will only be resolved when one or more future events occur or fail to occur. Such liabilities for loss contingencies arising from claims, assessments, litigation, fines, penalties, settlement agreements,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pacing w:after="0" w:line="291" w:lineRule="exact"/>
        <w:rPr>
          <w:sz w:val="20"/>
          <w:szCs w:val="20"/>
          <w:color w:val="auto"/>
        </w:rPr>
      </w:pPr>
    </w:p>
    <w:p>
      <w:pPr>
        <w:ind w:left="370" w:hanging="370"/>
        <w:spacing w:after="0"/>
        <w:tabs>
          <w:tab w:leader="none" w:pos="37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Recent Accounting Standards</w:t>
      </w:r>
    </w:p>
    <w:p>
      <w:pPr>
        <w:spacing w:after="0" w:line="209"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Adoption of Accounting Standard Updates</w:t>
      </w:r>
    </w:p>
    <w:p>
      <w:pPr>
        <w:spacing w:after="0" w:line="218" w:lineRule="exact"/>
        <w:rPr>
          <w:sz w:val="20"/>
          <w:szCs w:val="20"/>
          <w:color w:val="auto"/>
        </w:rPr>
      </w:pPr>
    </w:p>
    <w:p>
      <w:pPr>
        <w:ind w:left="10"/>
        <w:spacing w:after="0" w:line="275" w:lineRule="auto"/>
        <w:rPr>
          <w:sz w:val="20"/>
          <w:szCs w:val="20"/>
          <w:color w:val="auto"/>
        </w:rPr>
      </w:pPr>
      <w:r>
        <w:rPr>
          <w:rFonts w:ascii="Arial" w:cs="Arial" w:eastAsia="Arial" w:hAnsi="Arial"/>
          <w:sz w:val="19"/>
          <w:szCs w:val="19"/>
          <w:color w:val="auto"/>
        </w:rPr>
        <w:t>In the year ended December 31, 2025, we adopted Accounting Standards Update (“ASU”) 2023-09-Income Taxes (Topic 740): Improvements to Income Tax Disclosures. The amendments in this ASU require entities to disclose, on an annual basis, specific categories in the reconciliation of the provision (benefit) for income taxes to the statutory rate and provide additional information for reconciling items that meet a quantitative threshold. Additionally, the ASU requires entities to disclose a disaggregation of taxes paid by category (federal, state and foreign taxes) as well as individual jurisdictions.</w:t>
      </w:r>
    </w:p>
    <w:p>
      <w:pPr>
        <w:spacing w:after="0" w:line="140"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ASUs Issued But Not Yet Adopted</w:t>
      </w:r>
    </w:p>
    <w:p>
      <w:pPr>
        <w:spacing w:after="0" w:line="218" w:lineRule="exact"/>
        <w:rPr>
          <w:sz w:val="20"/>
          <w:szCs w:val="20"/>
          <w:color w:val="auto"/>
        </w:rPr>
      </w:pPr>
    </w:p>
    <w:p>
      <w:pPr>
        <w:ind w:left="10" w:right="200"/>
        <w:spacing w:after="0" w:line="271" w:lineRule="auto"/>
        <w:rPr>
          <w:sz w:val="20"/>
          <w:szCs w:val="20"/>
          <w:color w:val="auto"/>
        </w:rPr>
      </w:pPr>
      <w:r>
        <w:rPr>
          <w:rFonts w:ascii="Arial" w:cs="Arial" w:eastAsia="Arial" w:hAnsi="Arial"/>
          <w:sz w:val="19"/>
          <w:szCs w:val="19"/>
          <w:color w:val="auto"/>
        </w:rPr>
        <w:t>In November 2024, the FASB issued ASU 2024-03-Income Statement-Reporting Comprehensive Income-Expense Disaggregation Disclosures (Subtopic 220-40): Disaggregation of Income Statement Expenses. The amendments in this ASU requires entities to disaggregate certain expense captions into specified categories in disclosures within the footnotes to the financial statements. In January 2025, the FASB issued ASU 2025-01, which revises the effective date of ASU 2024-03 and clarifies that entities are required to adopt the guidance in annual reporting periods beginning after December 15, 2026, and interim periods within annual reporting periods beginning after December 15, 2027. The Company expects that this ASU will increase disclosures in the annual and interim periods when adopted.</w:t>
      </w:r>
    </w:p>
    <w:p>
      <w:pPr>
        <w:sectPr>
          <w:pgSz w:w="11880" w:h="15480" w:orient="portrait"/>
          <w:cols w:equalWidth="0" w:num="1">
            <w:col w:w="10250"/>
          </w:cols>
          <w:pgMar w:left="810" w:top="42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10250"/>
          </w:cols>
          <w:pgMar w:left="810" w:top="422" w:right="820" w:bottom="0" w:gutter="0" w:footer="0" w:header="0"/>
          <w:type w:val="continuous"/>
        </w:sectPr>
      </w:pPr>
    </w:p>
    <w:bookmarkStart w:id="83" w:name="page84"/>
    <w:bookmarkEnd w:id="83"/>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353" w:lineRule="exact"/>
        <w:rPr>
          <w:sz w:val="20"/>
          <w:szCs w:val="20"/>
          <w:color w:val="auto"/>
        </w:rPr>
      </w:pPr>
    </w:p>
    <w:p>
      <w:pPr>
        <w:ind w:left="370" w:hanging="370"/>
        <w:spacing w:after="0"/>
        <w:tabs>
          <w:tab w:leader="none" w:pos="37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37" w:lineRule="exact"/>
        <w:rPr>
          <w:sz w:val="20"/>
          <w:szCs w:val="20"/>
          <w:color w:val="auto"/>
        </w:rPr>
      </w:pPr>
    </w:p>
    <w:p>
      <w:pPr>
        <w:ind w:left="10" w:right="460"/>
        <w:spacing w:after="0" w:line="283" w:lineRule="auto"/>
        <w:rPr>
          <w:sz w:val="20"/>
          <w:szCs w:val="20"/>
          <w:color w:val="auto"/>
        </w:rPr>
      </w:pPr>
      <w:r>
        <w:rPr>
          <w:rFonts w:ascii="Arial" w:cs="Arial" w:eastAsia="Arial" w:hAnsi="Arial"/>
          <w:sz w:val="20"/>
          <w:szCs w:val="20"/>
          <w:color w:val="auto"/>
        </w:rPr>
        <w:t>The following table shows disaggregated net revenues from contracts with external customers by timing of revenue and by segment for the years ended December 31, 2025, 2024 and 2023:</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6"/>
                <w:szCs w:val="16"/>
                <w:b w:val="1"/>
                <w:bCs w:val="1"/>
                <w:color w:val="auto"/>
                <w:w w:val="90"/>
              </w:rPr>
              <w:t>Year Ended December 31, 2025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0"/>
        </w:trPr>
        <w:tc>
          <w:tcPr>
            <w:tcW w:w="510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w w:val="88"/>
              </w:rPr>
              <w:t>Sterigenics</w:t>
            </w:r>
          </w:p>
        </w:tc>
        <w:tc>
          <w:tcPr>
            <w:tcW w:w="120" w:type="dxa"/>
            <w:vAlign w:val="bottom"/>
            <w:tcBorders>
              <w:bottom w:val="single" w:sz="8" w:color="D2EE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6"/>
                <w:szCs w:val="16"/>
                <w:b w:val="1"/>
                <w:bCs w:val="1"/>
                <w:color w:val="auto"/>
              </w:rPr>
              <w:t>Nordion</w:t>
            </w:r>
          </w:p>
        </w:tc>
        <w:tc>
          <w:tcPr>
            <w:tcW w:w="120" w:type="dxa"/>
            <w:vAlign w:val="bottom"/>
            <w:tcBorders>
              <w:bottom w:val="single" w:sz="8" w:color="D2EE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88"/>
              </w:rPr>
              <w:t>Nelson Labs</w:t>
            </w:r>
          </w:p>
        </w:tc>
        <w:tc>
          <w:tcPr>
            <w:tcW w:w="12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w w:val="86"/>
              </w:rPr>
              <w:t>Consolidated</w:t>
            </w:r>
          </w:p>
        </w:tc>
      </w:tr>
      <w:tr>
        <w:trPr>
          <w:trHeight w:val="275"/>
        </w:trPr>
        <w:tc>
          <w:tcPr>
            <w:tcW w:w="5100" w:type="dxa"/>
            <w:vAlign w:val="bottom"/>
            <w:shd w:val="clear" w:color="auto" w:fill="D2EEF5"/>
          </w:tcPr>
          <w:p>
            <w:pPr>
              <w:ind w:left="40"/>
              <w:spacing w:after="0"/>
              <w:rPr>
                <w:sz w:val="20"/>
                <w:szCs w:val="20"/>
                <w:color w:val="auto"/>
              </w:rPr>
            </w:pPr>
            <w:r>
              <w:rPr>
                <w:rFonts w:ascii="Arial" w:cs="Arial" w:eastAsia="Arial" w:hAnsi="Arial"/>
                <w:sz w:val="20"/>
                <w:szCs w:val="20"/>
                <w:b w:val="1"/>
                <w:bCs w:val="1"/>
                <w:color w:val="auto"/>
              </w:rPr>
              <w:t>Point in time</w:t>
            </w:r>
          </w:p>
        </w:tc>
        <w:tc>
          <w:tcPr>
            <w:tcW w:w="1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755,780</w:t>
            </w:r>
          </w:p>
        </w:tc>
        <w:tc>
          <w:tcPr>
            <w:tcW w:w="28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EF5"/>
          </w:tcPr>
          <w:p>
            <w:pPr>
              <w:jc w:val="right"/>
              <w:ind w:right="8"/>
              <w:spacing w:after="0"/>
              <w:rPr>
                <w:sz w:val="20"/>
                <w:szCs w:val="20"/>
                <w:color w:val="auto"/>
              </w:rPr>
            </w:pPr>
            <w:r>
              <w:rPr>
                <w:rFonts w:ascii="Arial" w:cs="Arial" w:eastAsia="Arial" w:hAnsi="Arial"/>
                <w:sz w:val="20"/>
                <w:szCs w:val="20"/>
                <w:color w:val="auto"/>
              </w:rPr>
              <w:t>182,822</w:t>
            </w:r>
          </w:p>
        </w:tc>
        <w:tc>
          <w:tcPr>
            <w:tcW w:w="28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w:t>
            </w:r>
          </w:p>
        </w:tc>
        <w:tc>
          <w:tcPr>
            <w:tcW w:w="26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938,602</w:t>
            </w:r>
          </w:p>
        </w:tc>
      </w:tr>
      <w:tr>
        <w:trPr>
          <w:trHeight w:val="275"/>
        </w:trPr>
        <w:tc>
          <w:tcPr>
            <w:tcW w:w="5100" w:type="dxa"/>
            <w:vAlign w:val="bottom"/>
            <w:tcBorders>
              <w:bottom w:val="single" w:sz="8" w:color="D2EEF5"/>
            </w:tcBorders>
          </w:tcPr>
          <w:p>
            <w:pPr>
              <w:ind w:left="40"/>
              <w:spacing w:after="0"/>
              <w:rPr>
                <w:sz w:val="20"/>
                <w:szCs w:val="20"/>
                <w:color w:val="auto"/>
              </w:rPr>
            </w:pPr>
            <w:r>
              <w:rPr>
                <w:rFonts w:ascii="Arial" w:cs="Arial" w:eastAsia="Arial" w:hAnsi="Arial"/>
                <w:sz w:val="20"/>
                <w:szCs w:val="20"/>
                <w:b w:val="1"/>
                <w:bCs w:val="1"/>
                <w:color w:val="auto"/>
              </w:rPr>
              <w:t>Over time</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D2EEF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20"/>
                <w:szCs w:val="20"/>
                <w:color w:val="auto"/>
              </w:rPr>
              <w:t>4,796</w:t>
            </w:r>
          </w:p>
        </w:tc>
        <w:tc>
          <w:tcPr>
            <w:tcW w:w="120" w:type="dxa"/>
            <w:vAlign w:val="bottom"/>
            <w:tcBorders>
              <w:bottom w:val="single" w:sz="8" w:color="D2EEF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220,219</w:t>
            </w:r>
          </w:p>
        </w:tc>
        <w:tc>
          <w:tcPr>
            <w:tcW w:w="120" w:type="dxa"/>
            <w:vAlign w:val="bottom"/>
            <w:tcBorders>
              <w:bottom w:val="single" w:sz="8" w:color="D2EEF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225,015</w:t>
            </w:r>
          </w:p>
        </w:tc>
      </w:tr>
      <w:tr>
        <w:trPr>
          <w:trHeight w:val="270"/>
        </w:trPr>
        <w:tc>
          <w:tcPr>
            <w:tcW w:w="510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20"/>
                <w:szCs w:val="20"/>
                <w:b w:val="1"/>
                <w:bCs w:val="1"/>
                <w:color w:val="auto"/>
              </w:rPr>
              <w:t>Total</w:t>
            </w: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755,780</w:t>
            </w:r>
          </w:p>
        </w:tc>
        <w:tc>
          <w:tcPr>
            <w:tcW w:w="12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shd w:val="clear" w:color="auto" w:fill="D2EEF5"/>
          </w:tcPr>
          <w:p>
            <w:pPr>
              <w:jc w:val="right"/>
              <w:ind w:right="8"/>
              <w:spacing w:after="0"/>
              <w:rPr>
                <w:sz w:val="20"/>
                <w:szCs w:val="20"/>
                <w:color w:val="auto"/>
              </w:rPr>
            </w:pPr>
            <w:r>
              <w:rPr>
                <w:rFonts w:ascii="Arial" w:cs="Arial" w:eastAsia="Arial" w:hAnsi="Arial"/>
                <w:sz w:val="20"/>
                <w:szCs w:val="20"/>
                <w:b w:val="1"/>
                <w:bCs w:val="1"/>
                <w:color w:val="auto"/>
              </w:rPr>
              <w:t>187,618</w:t>
            </w:r>
          </w:p>
        </w:tc>
        <w:tc>
          <w:tcPr>
            <w:tcW w:w="12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220,219</w:t>
            </w:r>
          </w:p>
        </w:tc>
        <w:tc>
          <w:tcPr>
            <w:tcW w:w="120" w:type="dxa"/>
            <w:vAlign w:val="bottom"/>
            <w:tcBorders>
              <w:bottom w:val="single" w:sz="8" w:color="D2EEF5"/>
            </w:tcBorders>
            <w:shd w:val="clear" w:color="auto" w:fill="D2EEF5"/>
          </w:tcPr>
          <w:p>
            <w:pPr>
              <w:spacing w:after="0"/>
              <w:rPr>
                <w:sz w:val="23"/>
                <w:szCs w:val="23"/>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auto"/>
            </w:tcBorders>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1,163,617</w:t>
            </w:r>
          </w:p>
        </w:tc>
      </w:tr>
      <w:tr>
        <w:trPr>
          <w:trHeight w:val="20"/>
        </w:trPr>
        <w:tc>
          <w:tcPr>
            <w:tcW w:w="5100" w:type="dxa"/>
            <w:vAlign w:val="bottom"/>
            <w:tcBorders>
              <w:top w:val="single" w:sz="8" w:color="D2EEF5"/>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102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104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200" w:type="dxa"/>
            <w:vAlign w:val="bottom"/>
            <w:tcBorders>
              <w:top w:val="single" w:sz="8" w:color="D2EEF5"/>
              <w:bottom w:val="single" w:sz="8" w:color="auto"/>
            </w:tcBorders>
            <w:gridSpan w:val="2"/>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40" w:type="dxa"/>
            <w:vAlign w:val="bottom"/>
            <w:tcBorders>
              <w:top w:val="single" w:sz="8" w:color="D2EEF5"/>
              <w:bottom w:val="single" w:sz="8" w:color="auto"/>
            </w:tcBorders>
          </w:tcPr>
          <w:p>
            <w:pPr>
              <w:spacing w:after="0" w:line="20" w:lineRule="exact"/>
              <w:rPr>
                <w:sz w:val="1"/>
                <w:szCs w:val="1"/>
                <w:color w:val="auto"/>
              </w:rPr>
            </w:pPr>
          </w:p>
        </w:tc>
        <w:tc>
          <w:tcPr>
            <w:tcW w:w="1060" w:type="dxa"/>
            <w:vAlign w:val="bottom"/>
            <w:tcBorders>
              <w:top w:val="single" w:sz="8" w:color="D2EEF5"/>
              <w:bottom w:val="single" w:sz="8" w:color="auto"/>
            </w:tcBorders>
          </w:tcPr>
          <w:p>
            <w:pPr>
              <w:spacing w:after="0" w:line="20" w:lineRule="exact"/>
              <w:rPr>
                <w:sz w:val="1"/>
                <w:szCs w:val="1"/>
                <w:color w:val="auto"/>
              </w:rPr>
            </w:pPr>
          </w:p>
        </w:tc>
      </w:tr>
      <w:tr>
        <w:trPr>
          <w:trHeight w:val="520"/>
        </w:trPr>
        <w:tc>
          <w:tcPr>
            <w:tcW w:w="5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6"/>
                <w:szCs w:val="16"/>
                <w:b w:val="1"/>
                <w:bCs w:val="1"/>
                <w:color w:val="auto"/>
                <w:w w:val="90"/>
              </w:rPr>
              <w:t>Year Ended December 31, 2024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0"/>
        </w:trPr>
        <w:tc>
          <w:tcPr>
            <w:tcW w:w="510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w w:val="88"/>
              </w:rPr>
              <w:t>Sterigenics</w:t>
            </w:r>
          </w:p>
        </w:tc>
        <w:tc>
          <w:tcPr>
            <w:tcW w:w="120" w:type="dxa"/>
            <w:vAlign w:val="bottom"/>
            <w:tcBorders>
              <w:bottom w:val="single" w:sz="8" w:color="D2EE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6"/>
                <w:szCs w:val="16"/>
                <w:b w:val="1"/>
                <w:bCs w:val="1"/>
                <w:color w:val="auto"/>
              </w:rPr>
              <w:t>Nordion</w:t>
            </w:r>
          </w:p>
        </w:tc>
        <w:tc>
          <w:tcPr>
            <w:tcW w:w="120" w:type="dxa"/>
            <w:vAlign w:val="bottom"/>
            <w:tcBorders>
              <w:bottom w:val="single" w:sz="8" w:color="D2EE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88"/>
              </w:rPr>
              <w:t>Nelson Labs</w:t>
            </w:r>
          </w:p>
        </w:tc>
        <w:tc>
          <w:tcPr>
            <w:tcW w:w="12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w w:val="86"/>
              </w:rPr>
              <w:t>Consolidated</w:t>
            </w:r>
          </w:p>
        </w:tc>
      </w:tr>
      <w:tr>
        <w:trPr>
          <w:trHeight w:val="275"/>
        </w:trPr>
        <w:tc>
          <w:tcPr>
            <w:tcW w:w="5100" w:type="dxa"/>
            <w:vAlign w:val="bottom"/>
            <w:shd w:val="clear" w:color="auto" w:fill="D2EEF5"/>
          </w:tcPr>
          <w:p>
            <w:pPr>
              <w:ind w:left="40"/>
              <w:spacing w:after="0"/>
              <w:rPr>
                <w:sz w:val="20"/>
                <w:szCs w:val="20"/>
                <w:color w:val="auto"/>
              </w:rPr>
            </w:pPr>
            <w:r>
              <w:rPr>
                <w:rFonts w:ascii="Arial" w:cs="Arial" w:eastAsia="Arial" w:hAnsi="Arial"/>
                <w:sz w:val="20"/>
                <w:szCs w:val="20"/>
                <w:b w:val="1"/>
                <w:bCs w:val="1"/>
                <w:color w:val="auto"/>
              </w:rPr>
              <w:t>Point in time</w:t>
            </w:r>
          </w:p>
        </w:tc>
        <w:tc>
          <w:tcPr>
            <w:tcW w:w="1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697,853</w:t>
            </w:r>
          </w:p>
        </w:tc>
        <w:tc>
          <w:tcPr>
            <w:tcW w:w="28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EF5"/>
          </w:tcPr>
          <w:p>
            <w:pPr>
              <w:jc w:val="right"/>
              <w:ind w:right="8"/>
              <w:spacing w:after="0"/>
              <w:rPr>
                <w:sz w:val="20"/>
                <w:szCs w:val="20"/>
                <w:color w:val="auto"/>
              </w:rPr>
            </w:pPr>
            <w:r>
              <w:rPr>
                <w:rFonts w:ascii="Arial" w:cs="Arial" w:eastAsia="Arial" w:hAnsi="Arial"/>
                <w:sz w:val="20"/>
                <w:szCs w:val="20"/>
                <w:color w:val="auto"/>
              </w:rPr>
              <w:t>171,285</w:t>
            </w:r>
          </w:p>
        </w:tc>
        <w:tc>
          <w:tcPr>
            <w:tcW w:w="28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w:t>
            </w:r>
          </w:p>
        </w:tc>
        <w:tc>
          <w:tcPr>
            <w:tcW w:w="26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869,138</w:t>
            </w:r>
          </w:p>
        </w:tc>
      </w:tr>
      <w:tr>
        <w:trPr>
          <w:trHeight w:val="275"/>
        </w:trPr>
        <w:tc>
          <w:tcPr>
            <w:tcW w:w="5100" w:type="dxa"/>
            <w:vAlign w:val="bottom"/>
            <w:tcBorders>
              <w:bottom w:val="single" w:sz="8" w:color="D2EEF5"/>
            </w:tcBorders>
          </w:tcPr>
          <w:p>
            <w:pPr>
              <w:ind w:left="40"/>
              <w:spacing w:after="0"/>
              <w:rPr>
                <w:sz w:val="20"/>
                <w:szCs w:val="20"/>
                <w:color w:val="auto"/>
              </w:rPr>
            </w:pPr>
            <w:r>
              <w:rPr>
                <w:rFonts w:ascii="Arial" w:cs="Arial" w:eastAsia="Arial" w:hAnsi="Arial"/>
                <w:sz w:val="20"/>
                <w:szCs w:val="20"/>
                <w:b w:val="1"/>
                <w:bCs w:val="1"/>
                <w:color w:val="auto"/>
              </w:rPr>
              <w:t>Over time</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D2EEF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20"/>
                <w:szCs w:val="20"/>
                <w:color w:val="auto"/>
              </w:rPr>
              <w:t>2,070</w:t>
            </w:r>
          </w:p>
        </w:tc>
        <w:tc>
          <w:tcPr>
            <w:tcW w:w="120" w:type="dxa"/>
            <w:vAlign w:val="bottom"/>
            <w:tcBorders>
              <w:bottom w:val="single" w:sz="8" w:color="D2EEF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229,233</w:t>
            </w:r>
          </w:p>
        </w:tc>
        <w:tc>
          <w:tcPr>
            <w:tcW w:w="120" w:type="dxa"/>
            <w:vAlign w:val="bottom"/>
            <w:tcBorders>
              <w:bottom w:val="single" w:sz="8" w:color="D2EEF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231,303</w:t>
            </w:r>
          </w:p>
        </w:tc>
      </w:tr>
      <w:tr>
        <w:trPr>
          <w:trHeight w:val="270"/>
        </w:trPr>
        <w:tc>
          <w:tcPr>
            <w:tcW w:w="510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20"/>
                <w:szCs w:val="20"/>
                <w:b w:val="1"/>
                <w:bCs w:val="1"/>
                <w:color w:val="auto"/>
              </w:rPr>
              <w:t>Total</w:t>
            </w: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697,853</w:t>
            </w:r>
          </w:p>
        </w:tc>
        <w:tc>
          <w:tcPr>
            <w:tcW w:w="12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shd w:val="clear" w:color="auto" w:fill="D2EEF5"/>
          </w:tcPr>
          <w:p>
            <w:pPr>
              <w:jc w:val="right"/>
              <w:ind w:right="8"/>
              <w:spacing w:after="0"/>
              <w:rPr>
                <w:sz w:val="20"/>
                <w:szCs w:val="20"/>
                <w:color w:val="auto"/>
              </w:rPr>
            </w:pPr>
            <w:r>
              <w:rPr>
                <w:rFonts w:ascii="Arial" w:cs="Arial" w:eastAsia="Arial" w:hAnsi="Arial"/>
                <w:sz w:val="20"/>
                <w:szCs w:val="20"/>
                <w:b w:val="1"/>
                <w:bCs w:val="1"/>
                <w:color w:val="auto"/>
              </w:rPr>
              <w:t>173,355</w:t>
            </w:r>
          </w:p>
        </w:tc>
        <w:tc>
          <w:tcPr>
            <w:tcW w:w="12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229,233</w:t>
            </w:r>
          </w:p>
        </w:tc>
        <w:tc>
          <w:tcPr>
            <w:tcW w:w="120" w:type="dxa"/>
            <w:vAlign w:val="bottom"/>
            <w:tcBorders>
              <w:bottom w:val="single" w:sz="8" w:color="D2EEF5"/>
            </w:tcBorders>
            <w:shd w:val="clear" w:color="auto" w:fill="D2EEF5"/>
          </w:tcPr>
          <w:p>
            <w:pPr>
              <w:spacing w:after="0"/>
              <w:rPr>
                <w:sz w:val="23"/>
                <w:szCs w:val="23"/>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auto"/>
            </w:tcBorders>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1,100,441</w:t>
            </w:r>
          </w:p>
        </w:tc>
      </w:tr>
      <w:tr>
        <w:trPr>
          <w:trHeight w:val="20"/>
        </w:trPr>
        <w:tc>
          <w:tcPr>
            <w:tcW w:w="5100" w:type="dxa"/>
            <w:vAlign w:val="bottom"/>
            <w:tcBorders>
              <w:top w:val="single" w:sz="8" w:color="D2EEF5"/>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102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104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200" w:type="dxa"/>
            <w:vAlign w:val="bottom"/>
            <w:tcBorders>
              <w:top w:val="single" w:sz="8" w:color="D2EEF5"/>
              <w:bottom w:val="single" w:sz="8" w:color="auto"/>
            </w:tcBorders>
            <w:gridSpan w:val="2"/>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40" w:type="dxa"/>
            <w:vAlign w:val="bottom"/>
            <w:tcBorders>
              <w:top w:val="single" w:sz="8" w:color="D2EEF5"/>
              <w:bottom w:val="single" w:sz="8" w:color="auto"/>
            </w:tcBorders>
          </w:tcPr>
          <w:p>
            <w:pPr>
              <w:spacing w:after="0" w:line="20" w:lineRule="exact"/>
              <w:rPr>
                <w:sz w:val="1"/>
                <w:szCs w:val="1"/>
                <w:color w:val="auto"/>
              </w:rPr>
            </w:pPr>
          </w:p>
        </w:tc>
        <w:tc>
          <w:tcPr>
            <w:tcW w:w="1060" w:type="dxa"/>
            <w:vAlign w:val="bottom"/>
            <w:tcBorders>
              <w:top w:val="single" w:sz="8" w:color="D2EEF5"/>
              <w:bottom w:val="single" w:sz="8" w:color="auto"/>
            </w:tcBorders>
          </w:tcPr>
          <w:p>
            <w:pPr>
              <w:spacing w:after="0" w:line="20" w:lineRule="exact"/>
              <w:rPr>
                <w:sz w:val="1"/>
                <w:szCs w:val="1"/>
                <w:color w:val="auto"/>
              </w:rPr>
            </w:pPr>
          </w:p>
        </w:tc>
      </w:tr>
      <w:tr>
        <w:trPr>
          <w:trHeight w:val="520"/>
        </w:trPr>
        <w:tc>
          <w:tcPr>
            <w:tcW w:w="5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6"/>
                <w:szCs w:val="16"/>
                <w:b w:val="1"/>
                <w:bCs w:val="1"/>
                <w:color w:val="auto"/>
                <w:w w:val="90"/>
              </w:rPr>
              <w:t>Year Ended December 31, 2023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0"/>
        </w:trPr>
        <w:tc>
          <w:tcPr>
            <w:tcW w:w="5100" w:type="dxa"/>
            <w:vAlign w:val="bottom"/>
            <w:tcBorders>
              <w:bottom w:val="single" w:sz="8" w:color="D2EE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w w:val="88"/>
              </w:rPr>
              <w:t>Sterigenics</w:t>
            </w:r>
          </w:p>
        </w:tc>
        <w:tc>
          <w:tcPr>
            <w:tcW w:w="120" w:type="dxa"/>
            <w:vAlign w:val="bottom"/>
            <w:tcBorders>
              <w:bottom w:val="single" w:sz="8" w:color="D2EE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6"/>
                <w:szCs w:val="16"/>
                <w:b w:val="1"/>
                <w:bCs w:val="1"/>
                <w:color w:val="auto"/>
              </w:rPr>
              <w:t>Nordion</w:t>
            </w:r>
          </w:p>
        </w:tc>
        <w:tc>
          <w:tcPr>
            <w:tcW w:w="120" w:type="dxa"/>
            <w:vAlign w:val="bottom"/>
            <w:tcBorders>
              <w:bottom w:val="single" w:sz="8" w:color="D2EE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88"/>
              </w:rPr>
              <w:t>Nelson Labs</w:t>
            </w:r>
          </w:p>
        </w:tc>
        <w:tc>
          <w:tcPr>
            <w:tcW w:w="120" w:type="dxa"/>
            <w:vAlign w:val="bottom"/>
            <w:tcBorders>
              <w:bottom w:val="single" w:sz="8" w:color="D2EE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w w:val="86"/>
              </w:rPr>
              <w:t>Consolidated</w:t>
            </w:r>
          </w:p>
        </w:tc>
      </w:tr>
      <w:tr>
        <w:trPr>
          <w:trHeight w:val="275"/>
        </w:trPr>
        <w:tc>
          <w:tcPr>
            <w:tcW w:w="5100" w:type="dxa"/>
            <w:vAlign w:val="bottom"/>
            <w:shd w:val="clear" w:color="auto" w:fill="D2EEF5"/>
          </w:tcPr>
          <w:p>
            <w:pPr>
              <w:ind w:left="40"/>
              <w:spacing w:after="0"/>
              <w:rPr>
                <w:sz w:val="20"/>
                <w:szCs w:val="20"/>
                <w:color w:val="auto"/>
              </w:rPr>
            </w:pPr>
            <w:r>
              <w:rPr>
                <w:rFonts w:ascii="Arial" w:cs="Arial" w:eastAsia="Arial" w:hAnsi="Arial"/>
                <w:sz w:val="20"/>
                <w:szCs w:val="20"/>
                <w:b w:val="1"/>
                <w:bCs w:val="1"/>
                <w:color w:val="auto"/>
              </w:rPr>
              <w:t>Point in time</w:t>
            </w:r>
          </w:p>
        </w:tc>
        <w:tc>
          <w:tcPr>
            <w:tcW w:w="1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667,130</w:t>
            </w:r>
          </w:p>
        </w:tc>
        <w:tc>
          <w:tcPr>
            <w:tcW w:w="28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EF5"/>
          </w:tcPr>
          <w:p>
            <w:pPr>
              <w:jc w:val="right"/>
              <w:ind w:right="8"/>
              <w:spacing w:after="0"/>
              <w:rPr>
                <w:sz w:val="20"/>
                <w:szCs w:val="20"/>
                <w:color w:val="auto"/>
              </w:rPr>
            </w:pPr>
            <w:r>
              <w:rPr>
                <w:rFonts w:ascii="Arial" w:cs="Arial" w:eastAsia="Arial" w:hAnsi="Arial"/>
                <w:sz w:val="20"/>
                <w:szCs w:val="20"/>
                <w:color w:val="auto"/>
              </w:rPr>
              <w:t>153,747</w:t>
            </w:r>
          </w:p>
        </w:tc>
        <w:tc>
          <w:tcPr>
            <w:tcW w:w="28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w:t>
            </w:r>
          </w:p>
        </w:tc>
        <w:tc>
          <w:tcPr>
            <w:tcW w:w="26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820,877</w:t>
            </w:r>
          </w:p>
        </w:tc>
      </w:tr>
      <w:tr>
        <w:trPr>
          <w:trHeight w:val="275"/>
        </w:trPr>
        <w:tc>
          <w:tcPr>
            <w:tcW w:w="5100" w:type="dxa"/>
            <w:vAlign w:val="bottom"/>
            <w:tcBorders>
              <w:bottom w:val="single" w:sz="8" w:color="D2EEF5"/>
            </w:tcBorders>
          </w:tcPr>
          <w:p>
            <w:pPr>
              <w:ind w:left="40"/>
              <w:spacing w:after="0"/>
              <w:rPr>
                <w:sz w:val="20"/>
                <w:szCs w:val="20"/>
                <w:color w:val="auto"/>
              </w:rPr>
            </w:pPr>
            <w:r>
              <w:rPr>
                <w:rFonts w:ascii="Arial" w:cs="Arial" w:eastAsia="Arial" w:hAnsi="Arial"/>
                <w:sz w:val="20"/>
                <w:szCs w:val="20"/>
                <w:b w:val="1"/>
                <w:bCs w:val="1"/>
                <w:color w:val="auto"/>
              </w:rPr>
              <w:t>Over time</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D2EEF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20"/>
                <w:szCs w:val="20"/>
                <w:color w:val="auto"/>
              </w:rPr>
              <w:t>6,712</w:t>
            </w:r>
          </w:p>
        </w:tc>
        <w:tc>
          <w:tcPr>
            <w:tcW w:w="120" w:type="dxa"/>
            <w:vAlign w:val="bottom"/>
            <w:tcBorders>
              <w:bottom w:val="single" w:sz="8" w:color="D2EEF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221,699</w:t>
            </w:r>
          </w:p>
        </w:tc>
        <w:tc>
          <w:tcPr>
            <w:tcW w:w="120" w:type="dxa"/>
            <w:vAlign w:val="bottom"/>
            <w:tcBorders>
              <w:bottom w:val="single" w:sz="8" w:color="D2EEF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228,411</w:t>
            </w:r>
          </w:p>
        </w:tc>
      </w:tr>
      <w:tr>
        <w:trPr>
          <w:trHeight w:val="270"/>
        </w:trPr>
        <w:tc>
          <w:tcPr>
            <w:tcW w:w="510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20"/>
                <w:szCs w:val="20"/>
                <w:b w:val="1"/>
                <w:bCs w:val="1"/>
                <w:color w:val="auto"/>
              </w:rPr>
              <w:t>Total</w:t>
            </w: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667,130</w:t>
            </w:r>
          </w:p>
        </w:tc>
        <w:tc>
          <w:tcPr>
            <w:tcW w:w="12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shd w:val="clear" w:color="auto" w:fill="D2EEF5"/>
          </w:tcPr>
          <w:p>
            <w:pPr>
              <w:jc w:val="right"/>
              <w:ind w:right="8"/>
              <w:spacing w:after="0"/>
              <w:rPr>
                <w:sz w:val="20"/>
                <w:szCs w:val="20"/>
                <w:color w:val="auto"/>
              </w:rPr>
            </w:pPr>
            <w:r>
              <w:rPr>
                <w:rFonts w:ascii="Arial" w:cs="Arial" w:eastAsia="Arial" w:hAnsi="Arial"/>
                <w:sz w:val="20"/>
                <w:szCs w:val="20"/>
                <w:b w:val="1"/>
                <w:bCs w:val="1"/>
                <w:color w:val="auto"/>
              </w:rPr>
              <w:t>160,459</w:t>
            </w:r>
          </w:p>
        </w:tc>
        <w:tc>
          <w:tcPr>
            <w:tcW w:w="12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221,699</w:t>
            </w:r>
          </w:p>
        </w:tc>
        <w:tc>
          <w:tcPr>
            <w:tcW w:w="120" w:type="dxa"/>
            <w:vAlign w:val="bottom"/>
            <w:tcBorders>
              <w:bottom w:val="single" w:sz="8" w:color="D2EEF5"/>
            </w:tcBorders>
            <w:shd w:val="clear" w:color="auto" w:fill="D2EEF5"/>
          </w:tcPr>
          <w:p>
            <w:pPr>
              <w:spacing w:after="0"/>
              <w:rPr>
                <w:sz w:val="23"/>
                <w:szCs w:val="23"/>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auto"/>
            </w:tcBorders>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1,049,288</w:t>
            </w:r>
          </w:p>
        </w:tc>
      </w:tr>
      <w:tr>
        <w:trPr>
          <w:trHeight w:val="20"/>
        </w:trPr>
        <w:tc>
          <w:tcPr>
            <w:tcW w:w="5100" w:type="dxa"/>
            <w:vAlign w:val="bottom"/>
            <w:tcBorders>
              <w:top w:val="single" w:sz="8" w:color="D2EEF5"/>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102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104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104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40" w:type="dxa"/>
            <w:vAlign w:val="bottom"/>
            <w:tcBorders>
              <w:top w:val="single" w:sz="8" w:color="D2EEF5"/>
              <w:bottom w:val="single" w:sz="8" w:color="auto"/>
            </w:tcBorders>
          </w:tcPr>
          <w:p>
            <w:pPr>
              <w:spacing w:after="0" w:line="20" w:lineRule="exact"/>
              <w:rPr>
                <w:sz w:val="1"/>
                <w:szCs w:val="1"/>
                <w:color w:val="auto"/>
              </w:rPr>
            </w:pPr>
          </w:p>
        </w:tc>
        <w:tc>
          <w:tcPr>
            <w:tcW w:w="1060" w:type="dxa"/>
            <w:vAlign w:val="bottom"/>
            <w:tcBorders>
              <w:top w:val="single" w:sz="8" w:color="D2EE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-2171065</wp:posOffset>
            </wp:positionV>
            <wp:extent cx="3302000"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3302000" cy="5080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-1107440</wp:posOffset>
            </wp:positionV>
            <wp:extent cx="330200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3302000" cy="5080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-43815</wp:posOffset>
            </wp:positionV>
            <wp:extent cx="330200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3302000" cy="50800"/>
                    </a:xfrm>
                    <a:prstGeom prst="rect">
                      <a:avLst/>
                    </a:prstGeom>
                    <a:noFill/>
                  </pic:spPr>
                </pic:pic>
              </a:graphicData>
            </a:graphic>
          </wp:anchor>
        </w:drawing>
      </w:r>
    </w:p>
    <w:p>
      <w:pPr>
        <w:spacing w:after="0" w:line="227" w:lineRule="exact"/>
        <w:rPr>
          <w:sz w:val="20"/>
          <w:szCs w:val="20"/>
          <w:color w:val="auto"/>
        </w:rPr>
      </w:pPr>
    </w:p>
    <w:p>
      <w:pPr>
        <w:ind w:left="10" w:right="220"/>
        <w:spacing w:after="0" w:line="261" w:lineRule="auto"/>
        <w:rPr>
          <w:sz w:val="20"/>
          <w:szCs w:val="20"/>
          <w:color w:val="auto"/>
        </w:rPr>
      </w:pPr>
      <w:r>
        <w:rPr>
          <w:rFonts w:ascii="Arial" w:cs="Arial" w:eastAsia="Arial" w:hAnsi="Arial"/>
          <w:sz w:val="20"/>
          <w:szCs w:val="20"/>
          <w:color w:val="auto"/>
        </w:rPr>
        <w:t>When we receive consideration from a customer prior to transferring goods or services under the terms of a sales contract, we record deferred revenue, which represents a contract liability. Deferred revenue totaled $18.0 million and $15.1 million at December 31, 2025 and 2024, respectively. We recognize deferred revenue after we have transferred control of the goods or services to the customer and all revenue recognition criteria are met.</w:t>
      </w:r>
    </w:p>
    <w:p>
      <w:pPr>
        <w:spacing w:after="0" w:line="313" w:lineRule="exact"/>
        <w:rPr>
          <w:sz w:val="20"/>
          <w:szCs w:val="20"/>
          <w:color w:val="auto"/>
        </w:rPr>
      </w:pPr>
    </w:p>
    <w:p>
      <w:pPr>
        <w:ind w:left="370" w:hanging="370"/>
        <w:spacing w:after="0"/>
        <w:tabs>
          <w:tab w:leader="none" w:pos="37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Inventories</w:t>
      </w:r>
    </w:p>
    <w:p>
      <w:pPr>
        <w:spacing w:after="0" w:line="137" w:lineRule="exact"/>
        <w:rPr>
          <w:sz w:val="20"/>
          <w:szCs w:val="20"/>
          <w:color w:val="auto"/>
        </w:rPr>
      </w:pPr>
    </w:p>
    <w:p>
      <w:pPr>
        <w:ind w:left="10"/>
        <w:spacing w:after="0"/>
        <w:rPr>
          <w:sz w:val="20"/>
          <w:szCs w:val="20"/>
          <w:color w:val="auto"/>
        </w:rPr>
      </w:pPr>
      <w:r>
        <w:rPr>
          <w:rFonts w:ascii="Arial" w:cs="Arial" w:eastAsia="Arial" w:hAnsi="Arial"/>
          <w:sz w:val="20"/>
          <w:szCs w:val="20"/>
          <w:color w:val="auto"/>
        </w:rPr>
        <w:t>Inventories consisted of the following:</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9"/>
                <w:szCs w:val="19"/>
                <w:color w:val="auto"/>
              </w:rPr>
            </w:pPr>
          </w:p>
        </w:tc>
        <w:tc>
          <w:tcPr>
            <w:tcW w:w="920" w:type="dxa"/>
            <w:vAlign w:val="bottom"/>
          </w:tcPr>
          <w:p>
            <w:pPr>
              <w:jc w:val="right"/>
              <w:ind w:right="34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3"/>
              <w:spacing w:after="0"/>
              <w:rPr>
                <w:sz w:val="20"/>
                <w:szCs w:val="20"/>
                <w:color w:val="auto"/>
              </w:rPr>
            </w:pPr>
            <w:r>
              <w:rPr>
                <w:rFonts w:ascii="Arial" w:cs="Arial" w:eastAsia="Arial" w:hAnsi="Arial"/>
                <w:sz w:val="16"/>
                <w:szCs w:val="16"/>
                <w:b w:val="1"/>
                <w:bCs w:val="1"/>
                <w:color w:val="auto"/>
              </w:rPr>
              <w:t>2024</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420" w:type="dxa"/>
            <w:vAlign w:val="bottom"/>
            <w:tcBorders>
              <w:bottom w:val="single" w:sz="8" w:color="D2EEF5"/>
            </w:tcBorders>
          </w:tcPr>
          <w:p>
            <w:pPr>
              <w:spacing w:after="0" w:line="20" w:lineRule="exact"/>
              <w:rPr>
                <w:sz w:val="1"/>
                <w:szCs w:val="1"/>
                <w:color w:val="auto"/>
              </w:rPr>
            </w:pPr>
          </w:p>
        </w:tc>
        <w:tc>
          <w:tcPr>
            <w:tcW w:w="596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Raw materials and supplies</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45,569</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42,408</w:t>
            </w: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Work-in-process</w:t>
            </w: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Arial" w:cs="Arial" w:eastAsia="Arial" w:hAnsi="Arial"/>
                <w:sz w:val="20"/>
                <w:szCs w:val="20"/>
                <w:b w:val="1"/>
                <w:bCs w:val="1"/>
                <w:color w:val="auto"/>
              </w:rPr>
              <w:t>2,436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Arial" w:cs="Arial" w:eastAsia="Arial" w:hAnsi="Arial"/>
                <w:sz w:val="20"/>
                <w:szCs w:val="20"/>
                <w:color w:val="auto"/>
              </w:rPr>
              <w:t>929</w:t>
            </w:r>
          </w:p>
        </w:tc>
      </w:tr>
      <w:tr>
        <w:trPr>
          <w:trHeight w:val="281"/>
        </w:trPr>
        <w:tc>
          <w:tcPr>
            <w:tcW w:w="40" w:type="dxa"/>
            <w:vAlign w:val="bottom"/>
            <w:tcBorders>
              <w:bottom w:val="single" w:sz="8" w:color="D2EEF5"/>
            </w:tcBorders>
            <w:shd w:val="clear" w:color="auto" w:fill="D2EEF5"/>
          </w:tcPr>
          <w:p>
            <w:pPr>
              <w:spacing w:after="0"/>
              <w:rPr>
                <w:sz w:val="24"/>
                <w:szCs w:val="24"/>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Finished goods</w:t>
            </w: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6,622</w:t>
            </w:r>
          </w:p>
        </w:tc>
        <w:tc>
          <w:tcPr>
            <w:tcW w:w="120" w:type="dxa"/>
            <w:vAlign w:val="bottom"/>
            <w:tcBorders>
              <w:bottom w:val="single" w:sz="8" w:color="D2EEF5"/>
            </w:tcBorders>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20"/>
                <w:szCs w:val="20"/>
                <w:color w:val="auto"/>
              </w:rPr>
              <w:t>6,039</w:t>
            </w: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20"/>
                <w:szCs w:val="20"/>
                <w:b w:val="1"/>
                <w:bCs w:val="1"/>
                <w:color w:val="auto"/>
              </w:rPr>
              <w:t>54,627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20"/>
                <w:szCs w:val="20"/>
                <w:color w:val="auto"/>
              </w:rPr>
              <w:t>49,376</w:t>
            </w:r>
          </w:p>
        </w:tc>
      </w:tr>
      <w:tr>
        <w:trPr>
          <w:trHeight w:val="298"/>
        </w:trPr>
        <w:tc>
          <w:tcPr>
            <w:tcW w:w="40" w:type="dxa"/>
            <w:vAlign w:val="bottom"/>
            <w:tcBorders>
              <w:bottom w:val="single" w:sz="8" w:color="D2EEF5"/>
            </w:tcBorders>
            <w:shd w:val="clear" w:color="auto" w:fill="D2EEF5"/>
          </w:tcPr>
          <w:p>
            <w:pPr>
              <w:spacing w:after="0"/>
              <w:rPr>
                <w:sz w:val="24"/>
                <w:szCs w:val="24"/>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Reserve for excess and obsolete inventory</w:t>
            </w: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(252)</w:t>
            </w:r>
          </w:p>
        </w:tc>
        <w:tc>
          <w:tcPr>
            <w:tcW w:w="120" w:type="dxa"/>
            <w:vAlign w:val="bottom"/>
            <w:tcBorders>
              <w:bottom w:val="single" w:sz="8" w:color="D2EEF5"/>
            </w:tcBorders>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(218)</w:t>
            </w:r>
          </w:p>
        </w:tc>
      </w:tr>
      <w:tr>
        <w:trPr>
          <w:trHeight w:val="226"/>
        </w:trPr>
        <w:tc>
          <w:tcPr>
            <w:tcW w:w="40" w:type="dxa"/>
            <w:vAlign w:val="bottom"/>
          </w:tcPr>
          <w:p>
            <w:pPr>
              <w:spacing w:after="0"/>
              <w:rPr>
                <w:sz w:val="19"/>
                <w:szCs w:val="19"/>
                <w:color w:val="auto"/>
              </w:rPr>
            </w:pPr>
          </w:p>
        </w:tc>
        <w:tc>
          <w:tcPr>
            <w:tcW w:w="7700" w:type="dxa"/>
            <w:vAlign w:val="bottom"/>
            <w:gridSpan w:val="3"/>
          </w:tcPr>
          <w:p>
            <w:pPr>
              <w:spacing w:after="0" w:line="227" w:lineRule="exact"/>
              <w:rPr>
                <w:sz w:val="20"/>
                <w:szCs w:val="20"/>
                <w:color w:val="auto"/>
              </w:rPr>
            </w:pPr>
            <w:r>
              <w:rPr>
                <w:rFonts w:ascii="Arial" w:cs="Arial" w:eastAsia="Arial" w:hAnsi="Arial"/>
                <w:sz w:val="20"/>
                <w:szCs w:val="20"/>
                <w:b w:val="1"/>
                <w:bCs w:val="1"/>
                <w:color w:val="auto"/>
              </w:rPr>
              <w:t>Inventories, net</w:t>
            </w:r>
          </w:p>
        </w:tc>
        <w:tc>
          <w:tcPr>
            <w:tcW w:w="280" w:type="dxa"/>
            <w:vAlign w:val="bottom"/>
          </w:tcPr>
          <w:p>
            <w:pPr>
              <w:jc w:val="right"/>
              <w:ind w:right="40"/>
              <w:spacing w:after="0" w:line="227" w:lineRule="exact"/>
              <w:rPr>
                <w:sz w:val="20"/>
                <w:szCs w:val="20"/>
                <w:color w:val="auto"/>
              </w:rPr>
            </w:pPr>
            <w:r>
              <w:rPr>
                <w:rFonts w:ascii="Arial" w:cs="Arial" w:eastAsia="Arial" w:hAnsi="Arial"/>
                <w:sz w:val="20"/>
                <w:szCs w:val="20"/>
                <w:b w:val="1"/>
                <w:bCs w:val="1"/>
                <w:color w:val="auto"/>
              </w:rPr>
              <w:t>$</w:t>
            </w:r>
          </w:p>
        </w:tc>
        <w:tc>
          <w:tcPr>
            <w:tcW w:w="920" w:type="dxa"/>
            <w:vAlign w:val="bottom"/>
          </w:tcPr>
          <w:p>
            <w:pPr>
              <w:jc w:val="right"/>
              <w:ind w:right="3"/>
              <w:spacing w:after="0" w:line="227" w:lineRule="exact"/>
              <w:rPr>
                <w:sz w:val="20"/>
                <w:szCs w:val="20"/>
                <w:color w:val="auto"/>
              </w:rPr>
            </w:pPr>
            <w:r>
              <w:rPr>
                <w:rFonts w:ascii="Arial" w:cs="Arial" w:eastAsia="Arial" w:hAnsi="Arial"/>
                <w:sz w:val="20"/>
                <w:szCs w:val="20"/>
                <w:b w:val="1"/>
                <w:bCs w:val="1"/>
                <w:color w:val="auto"/>
              </w:rPr>
              <w:t>54,375</w:t>
            </w:r>
          </w:p>
        </w:tc>
        <w:tc>
          <w:tcPr>
            <w:tcW w:w="400" w:type="dxa"/>
            <w:vAlign w:val="bottom"/>
            <w:gridSpan w:val="2"/>
          </w:tcPr>
          <w:p>
            <w:pPr>
              <w:jc w:val="right"/>
              <w:ind w:right="140"/>
              <w:spacing w:after="0" w:line="227" w:lineRule="exact"/>
              <w:rPr>
                <w:sz w:val="20"/>
                <w:szCs w:val="20"/>
                <w:color w:val="auto"/>
              </w:rPr>
            </w:pPr>
            <w:r>
              <w:rPr>
                <w:rFonts w:ascii="Arial" w:cs="Arial" w:eastAsia="Arial" w:hAnsi="Arial"/>
                <w:sz w:val="20"/>
                <w:szCs w:val="20"/>
                <w:color w:val="auto"/>
              </w:rPr>
              <w:t>$</w:t>
            </w:r>
          </w:p>
        </w:tc>
        <w:tc>
          <w:tcPr>
            <w:tcW w:w="920" w:type="dxa"/>
            <w:vAlign w:val="bottom"/>
          </w:tcPr>
          <w:p>
            <w:pPr>
              <w:jc w:val="right"/>
              <w:ind w:right="3"/>
              <w:spacing w:after="0" w:line="227" w:lineRule="exact"/>
              <w:rPr>
                <w:sz w:val="20"/>
                <w:szCs w:val="20"/>
                <w:color w:val="auto"/>
              </w:rPr>
            </w:pPr>
            <w:r>
              <w:rPr>
                <w:rFonts w:ascii="Arial" w:cs="Arial" w:eastAsia="Arial" w:hAnsi="Arial"/>
                <w:sz w:val="20"/>
                <w:szCs w:val="20"/>
                <w:color w:val="auto"/>
              </w:rPr>
              <w:t>49,158</w:t>
            </w: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-43815</wp:posOffset>
            </wp:positionV>
            <wp:extent cx="1625600"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1625600" cy="50800"/>
                    </a:xfrm>
                    <a:prstGeom prst="rect">
                      <a:avLst/>
                    </a:prstGeom>
                    <a:noFill/>
                  </pic:spPr>
                </pic:pic>
              </a:graphicData>
            </a:graphic>
          </wp:anchor>
        </w:drawing>
      </w:r>
    </w:p>
    <w:p>
      <w:pPr>
        <w:sectPr>
          <w:pgSz w:w="11880" w:h="15480" w:orient="portrait"/>
          <w:cols w:equalWidth="0" w:num="1">
            <w:col w:w="10270"/>
          </w:cols>
          <w:pgMar w:left="81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0270"/>
          </w:cols>
          <w:pgMar w:left="810" w:top="422" w:right="800" w:bottom="0" w:gutter="0" w:footer="0" w:header="0"/>
          <w:type w:val="continuous"/>
        </w:sectPr>
      </w:pPr>
    </w:p>
    <w:bookmarkStart w:id="84" w:name="page85"/>
    <w:bookmarkEnd w:id="84"/>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353" w:lineRule="exact"/>
        <w:rPr>
          <w:sz w:val="20"/>
          <w:szCs w:val="20"/>
          <w:color w:val="auto"/>
        </w:rPr>
      </w:pPr>
    </w:p>
    <w:p>
      <w:pPr>
        <w:ind w:left="370" w:hanging="370"/>
        <w:spacing w:after="0"/>
        <w:tabs>
          <w:tab w:leader="none" w:pos="37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Prepaid Expenses and Other Current Assets</w:t>
      </w:r>
    </w:p>
    <w:p>
      <w:pPr>
        <w:spacing w:after="0" w:line="137" w:lineRule="exact"/>
        <w:rPr>
          <w:sz w:val="20"/>
          <w:szCs w:val="20"/>
          <w:color w:val="auto"/>
        </w:rPr>
      </w:pPr>
    </w:p>
    <w:p>
      <w:pPr>
        <w:ind w:left="10"/>
        <w:spacing w:after="0"/>
        <w:rPr>
          <w:sz w:val="20"/>
          <w:szCs w:val="20"/>
          <w:color w:val="auto"/>
        </w:rPr>
      </w:pPr>
      <w:r>
        <w:rPr>
          <w:rFonts w:ascii="Arial" w:cs="Arial" w:eastAsia="Arial" w:hAnsi="Arial"/>
          <w:sz w:val="20"/>
          <w:szCs w:val="20"/>
          <w:color w:val="auto"/>
        </w:rPr>
        <w:t>Prepaid expenses and other current assets consisted of the following:</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20" w:type="dxa"/>
            <w:vAlign w:val="bottom"/>
          </w:tcPr>
          <w:p>
            <w:pPr>
              <w:spacing w:after="0"/>
              <w:rPr>
                <w:sz w:val="19"/>
                <w:szCs w:val="19"/>
                <w:color w:val="auto"/>
              </w:rPr>
            </w:pPr>
          </w:p>
        </w:tc>
        <w:tc>
          <w:tcPr>
            <w:tcW w:w="980" w:type="dxa"/>
            <w:vAlign w:val="bottom"/>
          </w:tcPr>
          <w:p>
            <w:pPr>
              <w:jc w:val="right"/>
              <w:ind w:right="342"/>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420" w:type="dxa"/>
            <w:vAlign w:val="bottom"/>
            <w:tcBorders>
              <w:bottom w:val="single" w:sz="8" w:color="D2EEF5"/>
            </w:tcBorders>
          </w:tcPr>
          <w:p>
            <w:pPr>
              <w:spacing w:after="0" w:line="20" w:lineRule="exact"/>
              <w:rPr>
                <w:sz w:val="1"/>
                <w:szCs w:val="1"/>
                <w:color w:val="auto"/>
              </w:rPr>
            </w:pPr>
          </w:p>
        </w:tc>
        <w:tc>
          <w:tcPr>
            <w:tcW w:w="596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Prepaid taxes</w:t>
            </w:r>
          </w:p>
        </w:tc>
        <w:tc>
          <w:tcPr>
            <w:tcW w:w="2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5,212</w:t>
            </w:r>
          </w:p>
        </w:tc>
        <w:tc>
          <w:tcPr>
            <w:tcW w:w="340" w:type="dxa"/>
            <w:vAlign w:val="bottom"/>
            <w:gridSpan w:val="2"/>
            <w:shd w:val="clear" w:color="auto" w:fill="D2EEF5"/>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4,993</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Prepaid business insurance</w:t>
            </w: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b w:val="1"/>
                <w:bCs w:val="1"/>
                <w:color w:val="auto"/>
              </w:rPr>
              <w:t>3,974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color w:val="auto"/>
              </w:rPr>
              <w:t>6,993</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Prepaid rent</w:t>
            </w: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4,466</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1,223</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Customer contract assets</w:t>
            </w: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b w:val="1"/>
                <w:bCs w:val="1"/>
                <w:color w:val="auto"/>
              </w:rPr>
              <w:t>24,410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color w:val="auto"/>
              </w:rPr>
              <w:t>15,213</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Current deposits</w:t>
            </w: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283</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807</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Prepaid maintenance contracts</w:t>
            </w: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b w:val="1"/>
                <w:bCs w:val="1"/>
                <w:color w:val="auto"/>
              </w:rPr>
              <w:t>490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color w:val="auto"/>
              </w:rPr>
              <w:t>638</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Value added tax receivable</w:t>
            </w: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4,527</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3,614</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Prepaid software licensing</w:t>
            </w: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b w:val="1"/>
                <w:bCs w:val="1"/>
                <w:color w:val="auto"/>
              </w:rPr>
              <w:t>2,661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color w:val="auto"/>
              </w:rPr>
              <w:t>2,590</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Stock supplies</w:t>
            </w: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5,012</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4,025</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Embedded derivatives</w:t>
            </w: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b w:val="1"/>
                <w:bCs w:val="1"/>
                <w:color w:val="auto"/>
              </w:rPr>
              <w:t>1,162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color w:val="auto"/>
              </w:rPr>
              <w:t>2,689</w:t>
            </w:r>
          </w:p>
        </w:tc>
        <w:tc>
          <w:tcPr>
            <w:tcW w:w="0" w:type="dxa"/>
            <w:vAlign w:val="bottom"/>
          </w:tcPr>
          <w:p>
            <w:pPr>
              <w:spacing w:after="0"/>
              <w:rPr>
                <w:sz w:val="1"/>
                <w:szCs w:val="1"/>
                <w:color w:val="auto"/>
              </w:rPr>
            </w:pP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Other</w:t>
            </w: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13,053</w:t>
            </w: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20"/>
                <w:szCs w:val="20"/>
                <w:color w:val="auto"/>
              </w:rPr>
              <w:t>8,246</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7700" w:type="dxa"/>
            <w:vAlign w:val="bottom"/>
            <w:gridSpan w:val="3"/>
          </w:tcPr>
          <w:p>
            <w:pPr>
              <w:spacing w:after="0" w:line="227" w:lineRule="exact"/>
              <w:rPr>
                <w:sz w:val="20"/>
                <w:szCs w:val="20"/>
                <w:color w:val="auto"/>
              </w:rPr>
            </w:pPr>
            <w:r>
              <w:rPr>
                <w:rFonts w:ascii="Arial" w:cs="Arial" w:eastAsia="Arial" w:hAnsi="Arial"/>
                <w:sz w:val="20"/>
                <w:szCs w:val="20"/>
                <w:b w:val="1"/>
                <w:bCs w:val="1"/>
                <w:color w:val="auto"/>
              </w:rPr>
              <w:t>Prepaid expenses and other current assets</w:t>
            </w:r>
          </w:p>
        </w:tc>
        <w:tc>
          <w:tcPr>
            <w:tcW w:w="22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980" w:type="dxa"/>
            <w:vAlign w:val="bottom"/>
          </w:tcPr>
          <w:p>
            <w:pPr>
              <w:jc w:val="right"/>
              <w:ind w:right="2"/>
              <w:spacing w:after="0" w:line="227" w:lineRule="exact"/>
              <w:rPr>
                <w:sz w:val="20"/>
                <w:szCs w:val="20"/>
                <w:color w:val="auto"/>
              </w:rPr>
            </w:pPr>
            <w:r>
              <w:rPr>
                <w:rFonts w:ascii="Arial" w:cs="Arial" w:eastAsia="Arial" w:hAnsi="Arial"/>
                <w:sz w:val="20"/>
                <w:szCs w:val="20"/>
                <w:b w:val="1"/>
                <w:bCs w:val="1"/>
                <w:color w:val="auto"/>
              </w:rPr>
              <w:t>65,250</w:t>
            </w:r>
          </w:p>
        </w:tc>
        <w:tc>
          <w:tcPr>
            <w:tcW w:w="340" w:type="dxa"/>
            <w:vAlign w:val="bottom"/>
            <w:gridSpan w:val="2"/>
          </w:tcPr>
          <w:p>
            <w:pPr>
              <w:jc w:val="right"/>
              <w:ind w:right="80"/>
              <w:spacing w:after="0" w:line="227" w:lineRule="exact"/>
              <w:rPr>
                <w:sz w:val="20"/>
                <w:szCs w:val="20"/>
                <w:color w:val="auto"/>
              </w:rPr>
            </w:pPr>
            <w:r>
              <w:rPr>
                <w:rFonts w:ascii="Arial" w:cs="Arial" w:eastAsia="Arial" w:hAnsi="Arial"/>
                <w:sz w:val="20"/>
                <w:szCs w:val="20"/>
                <w:color w:val="auto"/>
              </w:rPr>
              <w:t>$</w:t>
            </w:r>
          </w:p>
        </w:tc>
        <w:tc>
          <w:tcPr>
            <w:tcW w:w="980" w:type="dxa"/>
            <w:vAlign w:val="bottom"/>
          </w:tcPr>
          <w:p>
            <w:pPr>
              <w:jc w:val="right"/>
              <w:ind w:right="2"/>
              <w:spacing w:after="0" w:line="227" w:lineRule="exact"/>
              <w:rPr>
                <w:sz w:val="20"/>
                <w:szCs w:val="20"/>
                <w:color w:val="auto"/>
              </w:rPr>
            </w:pPr>
            <w:r>
              <w:rPr>
                <w:rFonts w:ascii="Arial" w:cs="Arial" w:eastAsia="Arial" w:hAnsi="Arial"/>
                <w:sz w:val="20"/>
                <w:szCs w:val="20"/>
                <w:color w:val="auto"/>
              </w:rPr>
              <w:t>51,031</w:t>
            </w:r>
          </w:p>
        </w:tc>
        <w:tc>
          <w:tcPr>
            <w:tcW w:w="0" w:type="dxa"/>
            <w:vAlign w:val="bottom"/>
          </w:tcPr>
          <w:p>
            <w:pPr>
              <w:spacing w:after="0"/>
              <w:rPr>
                <w:sz w:val="1"/>
                <w:szCs w:val="1"/>
                <w:color w:val="auto"/>
              </w:rPr>
            </w:pPr>
          </w:p>
        </w:tc>
      </w:tr>
      <w:tr>
        <w:trPr>
          <w:trHeight w:val="20"/>
        </w:trPr>
        <w:tc>
          <w:tcPr>
            <w:tcW w:w="77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6.  Property, Plant and Equipment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774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740" w:type="dxa"/>
            <w:vAlign w:val="bottom"/>
            <w:gridSpan w:val="4"/>
          </w:tcPr>
          <w:p>
            <w:pPr>
              <w:spacing w:after="0"/>
              <w:rPr>
                <w:sz w:val="20"/>
                <w:szCs w:val="20"/>
                <w:color w:val="auto"/>
              </w:rPr>
            </w:pPr>
            <w:r>
              <w:rPr>
                <w:rFonts w:ascii="Arial" w:cs="Arial" w:eastAsia="Arial" w:hAnsi="Arial"/>
                <w:sz w:val="20"/>
                <w:szCs w:val="20"/>
                <w:color w:val="auto"/>
              </w:rPr>
              <w:t>Property, plant, and equipment, net, consisted of the following:</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0" w:type="dxa"/>
            <w:vAlign w:val="bottom"/>
          </w:tcPr>
          <w:p>
            <w:pPr>
              <w:spacing w:after="0"/>
              <w:rPr>
                <w:sz w:val="24"/>
                <w:szCs w:val="24"/>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20" w:type="dxa"/>
            <w:vAlign w:val="bottom"/>
          </w:tcPr>
          <w:p>
            <w:pPr>
              <w:spacing w:after="0"/>
              <w:rPr>
                <w:sz w:val="19"/>
                <w:szCs w:val="19"/>
                <w:color w:val="auto"/>
              </w:rPr>
            </w:pPr>
          </w:p>
        </w:tc>
        <w:tc>
          <w:tcPr>
            <w:tcW w:w="980" w:type="dxa"/>
            <w:vAlign w:val="bottom"/>
          </w:tcPr>
          <w:p>
            <w:pPr>
              <w:jc w:val="right"/>
              <w:ind w:right="342"/>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420" w:type="dxa"/>
            <w:vAlign w:val="bottom"/>
            <w:tcBorders>
              <w:bottom w:val="single" w:sz="8" w:color="D2EEF5"/>
            </w:tcBorders>
          </w:tcPr>
          <w:p>
            <w:pPr>
              <w:spacing w:after="0" w:line="20" w:lineRule="exact"/>
              <w:rPr>
                <w:sz w:val="1"/>
                <w:szCs w:val="1"/>
                <w:color w:val="auto"/>
              </w:rPr>
            </w:pPr>
          </w:p>
        </w:tc>
        <w:tc>
          <w:tcPr>
            <w:tcW w:w="596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Land and buildings</w:t>
            </w:r>
          </w:p>
        </w:tc>
        <w:tc>
          <w:tcPr>
            <w:tcW w:w="2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470,905</w:t>
            </w:r>
          </w:p>
        </w:tc>
        <w:tc>
          <w:tcPr>
            <w:tcW w:w="340" w:type="dxa"/>
            <w:vAlign w:val="bottom"/>
            <w:gridSpan w:val="2"/>
            <w:shd w:val="clear" w:color="auto" w:fill="D2EEF5"/>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418,038</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Leasehold improvements</w:t>
            </w: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b w:val="1"/>
                <w:bCs w:val="1"/>
                <w:color w:val="auto"/>
              </w:rPr>
              <w:t>128,313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color w:val="auto"/>
              </w:rPr>
              <w:t>98,028</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Machinery, equipment, including Co-60</w:t>
            </w: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853,195</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757,568</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Furniture and fixtures</w:t>
            </w: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b w:val="1"/>
                <w:bCs w:val="1"/>
                <w:color w:val="auto"/>
              </w:rPr>
              <w:t>9,472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color w:val="auto"/>
              </w:rPr>
              <w:t>9,118</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Computer hardware and software</w:t>
            </w: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72,694</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58,767</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Asset retirement costs</w:t>
            </w: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b w:val="1"/>
                <w:bCs w:val="1"/>
                <w:color w:val="auto"/>
              </w:rPr>
              <w:t>7,925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color w:val="auto"/>
              </w:rPr>
              <w:t>7,368</w:t>
            </w:r>
          </w:p>
        </w:tc>
        <w:tc>
          <w:tcPr>
            <w:tcW w:w="0" w:type="dxa"/>
            <w:vAlign w:val="bottom"/>
          </w:tcPr>
          <w:p>
            <w:pPr>
              <w:spacing w:after="0"/>
              <w:rPr>
                <w:sz w:val="1"/>
                <w:szCs w:val="1"/>
                <w:color w:val="auto"/>
              </w:rPr>
            </w:pPr>
          </w:p>
        </w:tc>
      </w:tr>
      <w:tr>
        <w:trPr>
          <w:trHeight w:val="282"/>
        </w:trPr>
        <w:tc>
          <w:tcPr>
            <w:tcW w:w="40" w:type="dxa"/>
            <w:vAlign w:val="bottom"/>
            <w:tcBorders>
              <w:bottom w:val="single" w:sz="8" w:color="D2EEF5"/>
            </w:tcBorders>
            <w:shd w:val="clear" w:color="auto" w:fill="D2EEF5"/>
          </w:tcPr>
          <w:p>
            <w:pPr>
              <w:spacing w:after="0"/>
              <w:rPr>
                <w:sz w:val="24"/>
                <w:szCs w:val="24"/>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Construction-in-progress</w:t>
            </w: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259,919</w:t>
            </w: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20"/>
                <w:szCs w:val="20"/>
                <w:color w:val="auto"/>
              </w:rPr>
              <w:t>250,418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b w:val="1"/>
                <w:bCs w:val="1"/>
                <w:color w:val="auto"/>
                <w:w w:val="96"/>
              </w:rPr>
              <w:t>1,802,423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color w:val="auto"/>
                <w:w w:val="96"/>
              </w:rPr>
              <w:t>1,599,305</w:t>
            </w:r>
          </w:p>
        </w:tc>
        <w:tc>
          <w:tcPr>
            <w:tcW w:w="0" w:type="dxa"/>
            <w:vAlign w:val="bottom"/>
          </w:tcPr>
          <w:p>
            <w:pPr>
              <w:spacing w:after="0"/>
              <w:rPr>
                <w:sz w:val="1"/>
                <w:szCs w:val="1"/>
                <w:color w:val="auto"/>
              </w:rPr>
            </w:pPr>
          </w:p>
        </w:tc>
      </w:tr>
      <w:tr>
        <w:trPr>
          <w:trHeight w:val="298"/>
        </w:trPr>
        <w:tc>
          <w:tcPr>
            <w:tcW w:w="40" w:type="dxa"/>
            <w:vAlign w:val="bottom"/>
            <w:tcBorders>
              <w:bottom w:val="single" w:sz="8" w:color="D2EEF5"/>
            </w:tcBorders>
            <w:shd w:val="clear" w:color="auto" w:fill="D2EEF5"/>
          </w:tcPr>
          <w:p>
            <w:pPr>
              <w:spacing w:after="0"/>
              <w:rPr>
                <w:sz w:val="24"/>
                <w:szCs w:val="24"/>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Less accumulated depreciation</w:t>
            </w: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(671,859)</w:t>
            </w: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(562,413)</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7700" w:type="dxa"/>
            <w:vAlign w:val="bottom"/>
            <w:gridSpan w:val="3"/>
          </w:tcPr>
          <w:p>
            <w:pPr>
              <w:spacing w:after="0" w:line="227" w:lineRule="exact"/>
              <w:rPr>
                <w:sz w:val="20"/>
                <w:szCs w:val="20"/>
                <w:color w:val="auto"/>
              </w:rPr>
            </w:pPr>
            <w:r>
              <w:rPr>
                <w:rFonts w:ascii="Arial" w:cs="Arial" w:eastAsia="Arial" w:hAnsi="Arial"/>
                <w:sz w:val="20"/>
                <w:szCs w:val="20"/>
                <w:b w:val="1"/>
                <w:bCs w:val="1"/>
                <w:color w:val="auto"/>
              </w:rPr>
              <w:t>Property, plant and equipment, net</w:t>
            </w:r>
          </w:p>
        </w:tc>
        <w:tc>
          <w:tcPr>
            <w:tcW w:w="22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980" w:type="dxa"/>
            <w:vAlign w:val="bottom"/>
          </w:tcPr>
          <w:p>
            <w:pPr>
              <w:jc w:val="right"/>
              <w:ind w:right="2"/>
              <w:spacing w:after="0" w:line="227" w:lineRule="exact"/>
              <w:rPr>
                <w:sz w:val="20"/>
                <w:szCs w:val="20"/>
                <w:color w:val="auto"/>
              </w:rPr>
            </w:pPr>
            <w:r>
              <w:rPr>
                <w:rFonts w:ascii="Arial" w:cs="Arial" w:eastAsia="Arial" w:hAnsi="Arial"/>
                <w:sz w:val="20"/>
                <w:szCs w:val="20"/>
                <w:b w:val="1"/>
                <w:bCs w:val="1"/>
                <w:color w:val="auto"/>
                <w:w w:val="96"/>
              </w:rPr>
              <w:t>1,130,564</w:t>
            </w:r>
          </w:p>
        </w:tc>
        <w:tc>
          <w:tcPr>
            <w:tcW w:w="340" w:type="dxa"/>
            <w:vAlign w:val="bottom"/>
            <w:gridSpan w:val="2"/>
          </w:tcPr>
          <w:p>
            <w:pPr>
              <w:jc w:val="right"/>
              <w:ind w:right="80"/>
              <w:spacing w:after="0" w:line="227" w:lineRule="exact"/>
              <w:rPr>
                <w:sz w:val="20"/>
                <w:szCs w:val="20"/>
                <w:color w:val="auto"/>
              </w:rPr>
            </w:pPr>
            <w:r>
              <w:rPr>
                <w:rFonts w:ascii="Arial" w:cs="Arial" w:eastAsia="Arial" w:hAnsi="Arial"/>
                <w:sz w:val="20"/>
                <w:szCs w:val="20"/>
                <w:color w:val="auto"/>
              </w:rPr>
              <w:t>$</w:t>
            </w:r>
          </w:p>
        </w:tc>
        <w:tc>
          <w:tcPr>
            <w:tcW w:w="980" w:type="dxa"/>
            <w:vAlign w:val="bottom"/>
          </w:tcPr>
          <w:p>
            <w:pPr>
              <w:jc w:val="right"/>
              <w:ind w:right="2"/>
              <w:spacing w:after="0" w:line="227" w:lineRule="exact"/>
              <w:rPr>
                <w:sz w:val="20"/>
                <w:szCs w:val="20"/>
                <w:color w:val="auto"/>
              </w:rPr>
            </w:pPr>
            <w:r>
              <w:rPr>
                <w:rFonts w:ascii="Arial" w:cs="Arial" w:eastAsia="Arial" w:hAnsi="Arial"/>
                <w:sz w:val="20"/>
                <w:szCs w:val="20"/>
                <w:color w:val="auto"/>
                <w:w w:val="96"/>
              </w:rPr>
              <w:t>1,036,892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-2907665</wp:posOffset>
            </wp:positionV>
            <wp:extent cx="162560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1625600" cy="5080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-43815</wp:posOffset>
            </wp:positionV>
            <wp:extent cx="1625600"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1625600" cy="50800"/>
                    </a:xfrm>
                    <a:prstGeom prst="rect">
                      <a:avLst/>
                    </a:prstGeom>
                    <a:noFill/>
                  </pic:spPr>
                </pic:pic>
              </a:graphicData>
            </a:graphic>
          </wp:anchor>
        </w:drawing>
      </w:r>
    </w:p>
    <w:p>
      <w:pPr>
        <w:spacing w:after="0" w:line="227" w:lineRule="exact"/>
        <w:rPr>
          <w:sz w:val="20"/>
          <w:szCs w:val="20"/>
          <w:color w:val="auto"/>
        </w:rPr>
      </w:pPr>
    </w:p>
    <w:p>
      <w:pPr>
        <w:ind w:left="10" w:right="200"/>
        <w:spacing w:after="0" w:line="258" w:lineRule="auto"/>
        <w:rPr>
          <w:sz w:val="20"/>
          <w:szCs w:val="20"/>
          <w:color w:val="auto"/>
        </w:rPr>
      </w:pPr>
      <w:r>
        <w:rPr>
          <w:rFonts w:ascii="Arial" w:cs="Arial" w:eastAsia="Arial" w:hAnsi="Arial"/>
          <w:sz w:val="20"/>
          <w:szCs w:val="20"/>
          <w:color w:val="auto"/>
        </w:rPr>
        <w:t>Depreciation and amortization expense for property, plant, and equipment, including property under finance leases, was $94.9 million, $84.3 million and $76.6 million for the years ended December 31, 2025, 2024 and 2023, respectively. Capitalized interest totaled $12.6 million, $16.2 million and $12.2 million for the years ended December 31, 2025, 2024 and 2023, respectively, and was recorded as a reduction in “Interest expense, net” in the Consolidated Statements of Operations and Comprehensive Income (Loss).</w:t>
      </w:r>
    </w:p>
    <w:p>
      <w:pPr>
        <w:sectPr>
          <w:pgSz w:w="11880" w:h="15480" w:orient="portrait"/>
          <w:cols w:equalWidth="0" w:num="1">
            <w:col w:w="10270"/>
          </w:cols>
          <w:pgMar w:left="81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10270"/>
          </w:cols>
          <w:pgMar w:left="810" w:top="422" w:right="800" w:bottom="0" w:gutter="0" w:footer="0" w:header="0"/>
          <w:type w:val="continuous"/>
        </w:sectPr>
      </w:pPr>
    </w:p>
    <w:bookmarkStart w:id="85" w:name="page86"/>
    <w:bookmarkEnd w:id="85"/>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353" w:lineRule="exact"/>
        <w:rPr>
          <w:sz w:val="20"/>
          <w:szCs w:val="20"/>
          <w:color w:val="auto"/>
        </w:rPr>
      </w:pPr>
    </w:p>
    <w:p>
      <w:pPr>
        <w:ind w:left="370" w:hanging="370"/>
        <w:spacing w:after="0"/>
        <w:tabs>
          <w:tab w:leader="none" w:pos="37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137" w:lineRule="exact"/>
        <w:rPr>
          <w:sz w:val="20"/>
          <w:szCs w:val="20"/>
          <w:color w:val="auto"/>
        </w:rPr>
      </w:pPr>
    </w:p>
    <w:p>
      <w:pPr>
        <w:ind w:left="10"/>
        <w:spacing w:after="0"/>
        <w:rPr>
          <w:sz w:val="20"/>
          <w:szCs w:val="20"/>
          <w:color w:val="auto"/>
        </w:rPr>
      </w:pPr>
      <w:r>
        <w:rPr>
          <w:rFonts w:ascii="Arial" w:cs="Arial" w:eastAsia="Arial" w:hAnsi="Arial"/>
          <w:sz w:val="20"/>
          <w:szCs w:val="20"/>
          <w:color w:val="auto"/>
        </w:rPr>
        <w:t>Changes to goodwill during the years ended December 31, 2025 and 2024 were as follows:</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0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180" w:type="dxa"/>
            <w:vAlign w:val="bottom"/>
          </w:tcPr>
          <w:p>
            <w:pPr>
              <w:spacing w:after="0"/>
              <w:rPr>
                <w:sz w:val="16"/>
                <w:szCs w:val="16"/>
                <w:color w:val="auto"/>
              </w:rPr>
            </w:pPr>
          </w:p>
        </w:tc>
        <w:tc>
          <w:tcPr>
            <w:tcW w:w="1020" w:type="dxa"/>
            <w:vAlign w:val="bottom"/>
          </w:tcPr>
          <w:p>
            <w:pPr>
              <w:jc w:val="right"/>
              <w:ind w:right="143"/>
              <w:spacing w:after="0"/>
              <w:rPr>
                <w:sz w:val="20"/>
                <w:szCs w:val="20"/>
                <w:color w:val="auto"/>
              </w:rPr>
            </w:pPr>
            <w:r>
              <w:rPr>
                <w:rFonts w:ascii="Arial" w:cs="Arial" w:eastAsia="Arial" w:hAnsi="Arial"/>
                <w:sz w:val="16"/>
                <w:szCs w:val="16"/>
                <w:b w:val="1"/>
                <w:bCs w:val="1"/>
                <w:color w:val="auto"/>
                <w:w w:val="88"/>
              </w:rPr>
              <w:t>Sterigenics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23"/>
              <w:spacing w:after="0"/>
              <w:rPr>
                <w:sz w:val="20"/>
                <w:szCs w:val="20"/>
                <w:color w:val="auto"/>
              </w:rPr>
            </w:pPr>
            <w:r>
              <w:rPr>
                <w:rFonts w:ascii="Arial" w:cs="Arial" w:eastAsia="Arial" w:hAnsi="Arial"/>
                <w:sz w:val="16"/>
                <w:szCs w:val="16"/>
                <w:b w:val="1"/>
                <w:bCs w:val="1"/>
                <w:color w:val="auto"/>
              </w:rPr>
              <w:t>Nordion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w w:val="88"/>
              </w:rPr>
              <w:t>Nelson Labs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41"/>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680" w:type="dxa"/>
            <w:vAlign w:val="bottom"/>
            <w:tcBorders>
              <w:top w:val="single" w:sz="8" w:color="auto"/>
              <w:bottom w:val="single" w:sz="8" w:color="D2EEF5"/>
            </w:tcBorders>
          </w:tcPr>
          <w:p>
            <w:pPr>
              <w:spacing w:after="0" w:line="20" w:lineRule="exact"/>
              <w:rPr>
                <w:sz w:val="1"/>
                <w:szCs w:val="1"/>
                <w:color w:val="auto"/>
              </w:rPr>
            </w:pPr>
          </w:p>
        </w:tc>
        <w:tc>
          <w:tcPr>
            <w:tcW w:w="60" w:type="dxa"/>
            <w:vAlign w:val="bottom"/>
            <w:tcBorders>
              <w:top w:val="single" w:sz="8" w:color="auto"/>
              <w:bottom w:val="single" w:sz="8" w:color="D2EEF5"/>
            </w:tcBorders>
          </w:tcPr>
          <w:p>
            <w:pPr>
              <w:spacing w:after="0" w:line="20" w:lineRule="exact"/>
              <w:rPr>
                <w:sz w:val="1"/>
                <w:szCs w:val="1"/>
                <w:color w:val="auto"/>
              </w:rPr>
            </w:pPr>
          </w:p>
        </w:tc>
        <w:tc>
          <w:tcPr>
            <w:tcW w:w="332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506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Goodwill at January 1, 2024</w:t>
            </w:r>
          </w:p>
        </w:tc>
        <w:tc>
          <w:tcPr>
            <w:tcW w:w="1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659,888</w:t>
            </w:r>
          </w:p>
        </w:tc>
        <w:tc>
          <w:tcPr>
            <w:tcW w:w="34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276,929</w:t>
            </w:r>
          </w:p>
        </w:tc>
        <w:tc>
          <w:tcPr>
            <w:tcW w:w="280" w:type="dxa"/>
            <w:vAlign w:val="bottom"/>
            <w:gridSpan w:val="2"/>
            <w:shd w:val="clear" w:color="auto" w:fill="D2EEF5"/>
          </w:tcPr>
          <w:p>
            <w:pPr>
              <w:ind w:left="160"/>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174,373</w:t>
            </w:r>
          </w:p>
        </w:tc>
        <w:tc>
          <w:tcPr>
            <w:tcW w:w="34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w w:val="96"/>
              </w:rPr>
              <w:t>1,111,190</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506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Changes due to foreign currency exchange rates</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(6,666)</w:t>
            </w:r>
          </w:p>
        </w:tc>
        <w:tc>
          <w:tcPr>
            <w:tcW w:w="12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(21,444)</w:t>
            </w:r>
          </w:p>
        </w:tc>
        <w:tc>
          <w:tcPr>
            <w:tcW w:w="120" w:type="dxa"/>
            <w:vAlign w:val="bottom"/>
            <w:tcBorders>
              <w:bottom w:val="single" w:sz="8" w:color="D2EEF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(2,007)</w:t>
            </w:r>
          </w:p>
        </w:tc>
        <w:tc>
          <w:tcPr>
            <w:tcW w:w="12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(30,117)</w:t>
            </w: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506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Goodwill at December 31, 2024</w:t>
            </w:r>
          </w:p>
        </w:tc>
        <w:tc>
          <w:tcPr>
            <w:tcW w:w="180" w:type="dxa"/>
            <w:vAlign w:val="bottom"/>
            <w:shd w:val="clear" w:color="auto" w:fill="D2EEF5"/>
          </w:tcPr>
          <w:p>
            <w:pPr>
              <w:spacing w:after="0"/>
              <w:rPr>
                <w:sz w:val="23"/>
                <w:szCs w:val="23"/>
                <w:color w:val="auto"/>
              </w:rPr>
            </w:pPr>
          </w:p>
        </w:tc>
        <w:tc>
          <w:tcPr>
            <w:tcW w:w="102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653,222</w:t>
            </w:r>
          </w:p>
        </w:tc>
        <w:tc>
          <w:tcPr>
            <w:tcW w:w="12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98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255,485</w:t>
            </w:r>
          </w:p>
        </w:tc>
        <w:tc>
          <w:tcPr>
            <w:tcW w:w="12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104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172,366</w:t>
            </w:r>
          </w:p>
        </w:tc>
        <w:tc>
          <w:tcPr>
            <w:tcW w:w="12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w w:val="96"/>
              </w:rPr>
              <w:t>1,081,073</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506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Changes due to foreign currency exchange rates</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5,697</w:t>
            </w:r>
          </w:p>
        </w:tc>
        <w:tc>
          <w:tcPr>
            <w:tcW w:w="12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12,286</w:t>
            </w:r>
          </w:p>
        </w:tc>
        <w:tc>
          <w:tcPr>
            <w:tcW w:w="120" w:type="dxa"/>
            <w:vAlign w:val="bottom"/>
            <w:tcBorders>
              <w:bottom w:val="single" w:sz="8" w:color="D2EEF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4,176</w:t>
            </w:r>
          </w:p>
        </w:tc>
        <w:tc>
          <w:tcPr>
            <w:tcW w:w="12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22,159</w:t>
            </w:r>
          </w:p>
        </w:tc>
        <w:tc>
          <w:tcPr>
            <w:tcW w:w="0" w:type="dxa"/>
            <w:vAlign w:val="bottom"/>
          </w:tcPr>
          <w:p>
            <w:pPr>
              <w:spacing w:after="0"/>
              <w:rPr>
                <w:sz w:val="1"/>
                <w:szCs w:val="1"/>
                <w:color w:val="auto"/>
              </w:rPr>
            </w:pPr>
          </w:p>
        </w:tc>
      </w:tr>
      <w:tr>
        <w:trPr>
          <w:trHeight w:val="270"/>
        </w:trPr>
        <w:tc>
          <w:tcPr>
            <w:tcW w:w="40" w:type="dxa"/>
            <w:vAlign w:val="bottom"/>
            <w:tcBorders>
              <w:bottom w:val="single" w:sz="8" w:color="D2EEF5"/>
            </w:tcBorders>
            <w:shd w:val="clear" w:color="auto" w:fill="D2EEF5"/>
          </w:tcPr>
          <w:p>
            <w:pPr>
              <w:spacing w:after="0"/>
              <w:rPr>
                <w:sz w:val="23"/>
                <w:szCs w:val="23"/>
                <w:color w:val="auto"/>
              </w:rPr>
            </w:pPr>
          </w:p>
        </w:tc>
        <w:tc>
          <w:tcPr>
            <w:tcW w:w="506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b w:val="1"/>
                <w:bCs w:val="1"/>
                <w:color w:val="auto"/>
              </w:rPr>
              <w:t>Goodwill at December 31, 2025</w:t>
            </w: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658,919</w:t>
            </w:r>
          </w:p>
        </w:tc>
        <w:tc>
          <w:tcPr>
            <w:tcW w:w="12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267,771</w:t>
            </w:r>
          </w:p>
        </w:tc>
        <w:tc>
          <w:tcPr>
            <w:tcW w:w="12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ind w:left="40"/>
              <w:spacing w:after="0"/>
              <w:rPr>
                <w:sz w:val="20"/>
                <w:szCs w:val="20"/>
                <w:color w:val="auto"/>
              </w:rPr>
            </w:pPr>
            <w:r>
              <w:rPr>
                <w:rFonts w:ascii="Arial" w:cs="Arial" w:eastAsia="Arial" w:hAnsi="Arial"/>
                <w:sz w:val="20"/>
                <w:szCs w:val="20"/>
                <w:b w:val="1"/>
                <w:bCs w:val="1"/>
                <w:color w:val="auto"/>
                <w:w w:val="89"/>
              </w:rPr>
              <w:t>$</w:t>
            </w:r>
          </w:p>
        </w:tc>
        <w:tc>
          <w:tcPr>
            <w:tcW w:w="104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176,542</w:t>
            </w:r>
          </w:p>
        </w:tc>
        <w:tc>
          <w:tcPr>
            <w:tcW w:w="12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20"/>
                <w:szCs w:val="20"/>
                <w:b w:val="1"/>
                <w:bCs w:val="1"/>
                <w:color w:val="auto"/>
                <w:w w:val="96"/>
              </w:rPr>
              <w:t>1,103,232</w:t>
            </w:r>
          </w:p>
        </w:tc>
        <w:tc>
          <w:tcPr>
            <w:tcW w:w="0" w:type="dxa"/>
            <w:vAlign w:val="bottom"/>
          </w:tcPr>
          <w:p>
            <w:pPr>
              <w:spacing w:after="0"/>
              <w:rPr>
                <w:sz w:val="1"/>
                <w:szCs w:val="1"/>
                <w:color w:val="auto"/>
              </w:rPr>
            </w:pPr>
          </w:p>
        </w:tc>
      </w:tr>
      <w:tr>
        <w:trPr>
          <w:trHeight w:val="20"/>
        </w:trPr>
        <w:tc>
          <w:tcPr>
            <w:tcW w:w="5100" w:type="dxa"/>
            <w:vAlign w:val="bottom"/>
            <w:tcBorders>
              <w:top w:val="single" w:sz="8" w:color="D2EEF5"/>
              <w:bottom w:val="single" w:sz="8" w:color="D2EEF5"/>
            </w:tcBorders>
            <w:gridSpan w:val="4"/>
            <w:vMerge w:val="restart"/>
          </w:tcPr>
          <w:p>
            <w:pPr>
              <w:spacing w:after="0"/>
              <w:rPr>
                <w:sz w:val="20"/>
                <w:szCs w:val="20"/>
                <w:color w:val="auto"/>
              </w:rPr>
            </w:pPr>
            <w:r>
              <w:rPr>
                <w:rFonts w:ascii="Arial" w:cs="Arial" w:eastAsia="Arial" w:hAnsi="Arial"/>
                <w:sz w:val="20"/>
                <w:szCs w:val="20"/>
                <w:color w:val="auto"/>
              </w:rPr>
              <w:t>Other intangible assets consisted of the following:</w:t>
            </w: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102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20" w:type="dxa"/>
            <w:vAlign w:val="bottom"/>
            <w:tcBorders>
              <w:top w:val="single" w:sz="8" w:color="D2EEF5"/>
              <w:bottom w:val="single" w:sz="8" w:color="auto"/>
            </w:tcBorders>
          </w:tcPr>
          <w:p>
            <w:pPr>
              <w:spacing w:after="0" w:line="20" w:lineRule="exact"/>
              <w:rPr>
                <w:sz w:val="1"/>
                <w:szCs w:val="1"/>
                <w:color w:val="auto"/>
              </w:rPr>
            </w:pPr>
          </w:p>
        </w:tc>
        <w:tc>
          <w:tcPr>
            <w:tcW w:w="98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104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20" w:type="dxa"/>
            <w:vAlign w:val="bottom"/>
            <w:tcBorders>
              <w:top w:val="single" w:sz="8" w:color="D2EEF5"/>
              <w:bottom w:val="single" w:sz="8" w:color="auto"/>
            </w:tcBorders>
          </w:tcPr>
          <w:p>
            <w:pPr>
              <w:spacing w:after="0" w:line="20" w:lineRule="exact"/>
              <w:rPr>
                <w:sz w:val="1"/>
                <w:szCs w:val="1"/>
                <w:color w:val="auto"/>
              </w:rPr>
            </w:pPr>
          </w:p>
        </w:tc>
        <w:tc>
          <w:tcPr>
            <w:tcW w:w="980" w:type="dxa"/>
            <w:vAlign w:val="bottom"/>
            <w:tcBorders>
              <w:top w:val="single" w:sz="8" w:color="D2EE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10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4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6"/>
              </w:rPr>
              <w:t>Gross Carrying</w:t>
            </w:r>
          </w:p>
        </w:tc>
        <w:tc>
          <w:tcPr>
            <w:tcW w:w="120" w:type="dxa"/>
            <w:vAlign w:val="bottom"/>
          </w:tcPr>
          <w:p>
            <w:pPr>
              <w:spacing w:after="0"/>
              <w:rPr>
                <w:sz w:val="24"/>
                <w:szCs w:val="24"/>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0" w:type="dxa"/>
            <w:vAlign w:val="bottom"/>
          </w:tcPr>
          <w:p>
            <w:pPr>
              <w:spacing w:after="0"/>
              <w:rPr>
                <w:sz w:val="1"/>
                <w:szCs w:val="1"/>
                <w:color w:val="auto"/>
              </w:rPr>
            </w:pPr>
          </w:p>
        </w:tc>
      </w:tr>
      <w:tr>
        <w:trPr>
          <w:trHeight w:val="32"/>
        </w:trPr>
        <w:tc>
          <w:tcPr>
            <w:tcW w:w="51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As of December 31, 2025</w:t>
            </w: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10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242"/>
              <w:spacing w:after="0" w:line="174"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5"/>
                <w:szCs w:val="15"/>
                <w:color w:val="auto"/>
              </w:rPr>
            </w:pPr>
          </w:p>
        </w:tc>
        <w:tc>
          <w:tcPr>
            <w:tcW w:w="1200" w:type="dxa"/>
            <w:vAlign w:val="bottom"/>
            <w:gridSpan w:val="2"/>
          </w:tcPr>
          <w:p>
            <w:pPr>
              <w:jc w:val="center"/>
              <w:spacing w:after="0" w:line="174" w:lineRule="exact"/>
              <w:rPr>
                <w:sz w:val="20"/>
                <w:szCs w:val="20"/>
                <w:color w:val="auto"/>
              </w:rPr>
            </w:pPr>
            <w:r>
              <w:rPr>
                <w:rFonts w:ascii="Arial" w:cs="Arial" w:eastAsia="Arial" w:hAnsi="Arial"/>
                <w:sz w:val="16"/>
                <w:szCs w:val="16"/>
                <w:b w:val="1"/>
                <w:bCs w:val="1"/>
                <w:color w:val="auto"/>
                <w:w w:val="91"/>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680" w:type="dxa"/>
            <w:vAlign w:val="bottom"/>
            <w:tcBorders>
              <w:top w:val="single" w:sz="8" w:color="auto"/>
              <w:bottom w:val="single" w:sz="8" w:color="D2EEF5"/>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332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D2EEF5"/>
            </w:tcBorders>
          </w:tcPr>
          <w:p>
            <w:pPr>
              <w:spacing w:after="0" w:line="20" w:lineRule="exact"/>
              <w:rPr>
                <w:sz w:val="1"/>
                <w:szCs w:val="1"/>
                <w:color w:val="auto"/>
              </w:rPr>
            </w:pPr>
          </w:p>
        </w:tc>
        <w:tc>
          <w:tcPr>
            <w:tcW w:w="1020" w:type="dxa"/>
            <w:vAlign w:val="bottom"/>
            <w:tcBorders>
              <w:bottom w:val="single" w:sz="8" w:color="D2EEF5"/>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D2EEF5"/>
            </w:tcBorders>
          </w:tcPr>
          <w:p>
            <w:pPr>
              <w:spacing w:after="0" w:line="20" w:lineRule="exact"/>
              <w:rPr>
                <w:sz w:val="1"/>
                <w:szCs w:val="1"/>
                <w:color w:val="auto"/>
              </w:rPr>
            </w:pPr>
          </w:p>
        </w:tc>
        <w:tc>
          <w:tcPr>
            <w:tcW w:w="980" w:type="dxa"/>
            <w:vAlign w:val="bottom"/>
            <w:tcBorders>
              <w:bottom w:val="single" w:sz="8" w:color="D2EEF5"/>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5060" w:type="dxa"/>
            <w:vAlign w:val="bottom"/>
            <w:gridSpan w:val="3"/>
            <w:shd w:val="clear" w:color="auto" w:fill="D2EEF5"/>
          </w:tcPr>
          <w:p>
            <w:pPr>
              <w:spacing w:after="0"/>
              <w:rPr>
                <w:sz w:val="20"/>
                <w:szCs w:val="20"/>
                <w:color w:val="auto"/>
              </w:rPr>
            </w:pPr>
            <w:r>
              <w:rPr>
                <w:rFonts w:ascii="Arial" w:cs="Arial" w:eastAsia="Arial" w:hAnsi="Arial"/>
                <w:sz w:val="20"/>
                <w:szCs w:val="20"/>
                <w:b w:val="1"/>
                <w:bCs w:val="1"/>
                <w:i w:val="1"/>
                <w:iCs w:val="1"/>
                <w:color w:val="auto"/>
              </w:rPr>
              <w:t>Finite-lived intangible assets</w:t>
            </w:r>
          </w:p>
        </w:tc>
        <w:tc>
          <w:tcPr>
            <w:tcW w:w="180" w:type="dxa"/>
            <w:vAlign w:val="bottom"/>
            <w:shd w:val="clear" w:color="auto" w:fill="D2EEF5"/>
          </w:tcPr>
          <w:p>
            <w:pPr>
              <w:spacing w:after="0"/>
              <w:rPr>
                <w:sz w:val="23"/>
                <w:szCs w:val="23"/>
                <w:color w:val="auto"/>
              </w:rPr>
            </w:pPr>
          </w:p>
        </w:tc>
        <w:tc>
          <w:tcPr>
            <w:tcW w:w="102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98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104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980" w:type="dxa"/>
            <w:vAlign w:val="bottom"/>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060" w:type="dxa"/>
            <w:vAlign w:val="bottom"/>
            <w:gridSpan w:val="3"/>
          </w:tcPr>
          <w:p>
            <w:pPr>
              <w:ind w:left="480"/>
              <w:spacing w:after="0"/>
              <w:rPr>
                <w:sz w:val="20"/>
                <w:szCs w:val="20"/>
                <w:color w:val="auto"/>
              </w:rPr>
            </w:pPr>
            <w:r>
              <w:rPr>
                <w:rFonts w:ascii="Arial" w:cs="Arial" w:eastAsia="Arial" w:hAnsi="Arial"/>
                <w:sz w:val="20"/>
                <w:szCs w:val="20"/>
                <w:color w:val="auto"/>
              </w:rPr>
              <w:t>Customer relationships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gridSpan w:val="2"/>
          </w:tcPr>
          <w:p>
            <w:pPr>
              <w:ind w:left="160"/>
              <w:spacing w:after="0"/>
              <w:rPr>
                <w:sz w:val="20"/>
                <w:szCs w:val="20"/>
                <w:color w:val="auto"/>
              </w:rPr>
            </w:pPr>
            <w:r>
              <w:rPr>
                <w:rFonts w:ascii="Arial" w:cs="Arial" w:eastAsia="Arial" w:hAnsi="Arial"/>
                <w:sz w:val="20"/>
                <w:szCs w:val="20"/>
                <w:b w:val="1"/>
                <w:bCs w:val="1"/>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20"/>
                <w:szCs w:val="20"/>
                <w:b w:val="1"/>
                <w:bCs w:val="1"/>
                <w:color w:val="auto"/>
              </w:rPr>
              <w:t>167,313</w:t>
            </w:r>
          </w:p>
        </w:tc>
        <w:tc>
          <w:tcPr>
            <w:tcW w:w="34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b w:val="1"/>
                <w:bCs w:val="1"/>
                <w:color w:val="auto"/>
              </w:rPr>
              <w:t>84,083</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506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Proprietary technology</w:t>
            </w:r>
          </w:p>
        </w:tc>
        <w:tc>
          <w:tcPr>
            <w:tcW w:w="1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04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37,775</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19,253</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060" w:type="dxa"/>
            <w:vAlign w:val="bottom"/>
            <w:gridSpan w:val="3"/>
          </w:tcPr>
          <w:p>
            <w:pPr>
              <w:ind w:left="480"/>
              <w:spacing w:after="0"/>
              <w:rPr>
                <w:sz w:val="20"/>
                <w:szCs w:val="20"/>
                <w:color w:val="auto"/>
              </w:rPr>
            </w:pPr>
            <w:r>
              <w:rPr>
                <w:rFonts w:ascii="Arial" w:cs="Arial" w:eastAsia="Arial" w:hAnsi="Arial"/>
                <w:sz w:val="20"/>
                <w:szCs w:val="20"/>
                <w:color w:val="auto"/>
              </w:rPr>
              <w:t>Trade names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Arial" w:cs="Arial" w:eastAsia="Arial" w:hAnsi="Arial"/>
                <w:sz w:val="20"/>
                <w:szCs w:val="20"/>
                <w:b w:val="1"/>
                <w:bCs w:val="1"/>
                <w:color w:val="auto"/>
              </w:rPr>
              <w:t>2,400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b w:val="1"/>
                <w:bCs w:val="1"/>
                <w:color w:val="auto"/>
              </w:rPr>
              <w:t>2,000</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506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Land-use rights</w:t>
            </w:r>
          </w:p>
        </w:tc>
        <w:tc>
          <w:tcPr>
            <w:tcW w:w="1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04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8,861</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2,313</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060" w:type="dxa"/>
            <w:vAlign w:val="bottom"/>
            <w:gridSpan w:val="3"/>
          </w:tcPr>
          <w:p>
            <w:pPr>
              <w:ind w:left="480"/>
              <w:spacing w:after="0"/>
              <w:rPr>
                <w:sz w:val="20"/>
                <w:szCs w:val="20"/>
                <w:color w:val="auto"/>
              </w:rPr>
            </w:pPr>
            <w:r>
              <w:rPr>
                <w:rFonts w:ascii="Arial" w:cs="Arial" w:eastAsia="Arial" w:hAnsi="Arial"/>
                <w:sz w:val="20"/>
                <w:szCs w:val="20"/>
                <w:color w:val="auto"/>
              </w:rPr>
              <w:t>Sealed source and supply agreements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Arial" w:cs="Arial" w:eastAsia="Arial" w:hAnsi="Arial"/>
                <w:sz w:val="20"/>
                <w:szCs w:val="20"/>
                <w:b w:val="1"/>
                <w:bCs w:val="1"/>
                <w:color w:val="auto"/>
              </w:rPr>
              <w:t>168,740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b w:val="1"/>
                <w:bCs w:val="1"/>
                <w:color w:val="auto"/>
              </w:rPr>
              <w:t>91,405</w:t>
            </w:r>
          </w:p>
        </w:tc>
        <w:tc>
          <w:tcPr>
            <w:tcW w:w="0" w:type="dxa"/>
            <w:vAlign w:val="bottom"/>
          </w:tcPr>
          <w:p>
            <w:pPr>
              <w:spacing w:after="0"/>
              <w:rPr>
                <w:sz w:val="1"/>
                <w:szCs w:val="1"/>
                <w:color w:val="auto"/>
              </w:rPr>
            </w:pP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5060" w:type="dxa"/>
            <w:vAlign w:val="bottom"/>
            <w:tcBorders>
              <w:bottom w:val="single" w:sz="8" w:color="D2EEF5"/>
            </w:tcBorders>
            <w:gridSpan w:val="3"/>
            <w:shd w:val="clear" w:color="auto" w:fill="D2EEF5"/>
          </w:tcPr>
          <w:p>
            <w:pPr>
              <w:ind w:left="480"/>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D2EEF5"/>
            </w:tcBorders>
            <w:shd w:val="clear" w:color="auto" w:fill="D2EEF5"/>
          </w:tcPr>
          <w:p>
            <w:pPr>
              <w:spacing w:after="0"/>
              <w:rPr>
                <w:sz w:val="24"/>
                <w:szCs w:val="24"/>
                <w:color w:val="auto"/>
              </w:rPr>
            </w:pPr>
          </w:p>
        </w:tc>
        <w:tc>
          <w:tcPr>
            <w:tcW w:w="1020" w:type="dxa"/>
            <w:vAlign w:val="bottom"/>
            <w:tcBorders>
              <w:bottom w:val="single" w:sz="8" w:color="D2EEF5"/>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D2EEF5"/>
            </w:tcBorders>
            <w:shd w:val="clear" w:color="auto" w:fill="D2EEF5"/>
          </w:tcPr>
          <w:p>
            <w:pPr>
              <w:spacing w:after="0"/>
              <w:rPr>
                <w:sz w:val="24"/>
                <w:szCs w:val="24"/>
                <w:color w:val="auto"/>
              </w:rPr>
            </w:pPr>
          </w:p>
        </w:tc>
        <w:tc>
          <w:tcPr>
            <w:tcW w:w="980" w:type="dxa"/>
            <w:vAlign w:val="bottom"/>
            <w:tcBorders>
              <w:bottom w:val="single" w:sz="8" w:color="D2EEF5"/>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160" w:type="dxa"/>
            <w:vAlign w:val="bottom"/>
            <w:tcBorders>
              <w:bottom w:val="single" w:sz="8" w:color="auto"/>
            </w:tcBorders>
            <w:shd w:val="clear" w:color="auto" w:fill="D2EEF5"/>
          </w:tcPr>
          <w:p>
            <w:pPr>
              <w:spacing w:after="0"/>
              <w:rPr>
                <w:sz w:val="24"/>
                <w:szCs w:val="24"/>
                <w:color w:val="auto"/>
              </w:rPr>
            </w:pPr>
          </w:p>
        </w:tc>
        <w:tc>
          <w:tcPr>
            <w:tcW w:w="104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900</w:t>
            </w: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790</w:t>
            </w: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5060" w:type="dxa"/>
            <w:vAlign w:val="bottom"/>
            <w:gridSpan w:val="3"/>
          </w:tcPr>
          <w:p>
            <w:pPr>
              <w:spacing w:after="0"/>
              <w:rPr>
                <w:sz w:val="20"/>
                <w:szCs w:val="20"/>
                <w:color w:val="auto"/>
              </w:rPr>
            </w:pPr>
            <w:r>
              <w:rPr>
                <w:rFonts w:ascii="Arial" w:cs="Arial" w:eastAsia="Arial" w:hAnsi="Arial"/>
                <w:sz w:val="20"/>
                <w:szCs w:val="20"/>
                <w:b w:val="1"/>
                <w:bCs w:val="1"/>
                <w:color w:val="auto"/>
              </w:rPr>
              <w:t>Total finite-lived intangible assets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Arial" w:cs="Arial" w:eastAsia="Arial" w:hAnsi="Arial"/>
                <w:sz w:val="20"/>
                <w:szCs w:val="20"/>
                <w:b w:val="1"/>
                <w:bCs w:val="1"/>
                <w:color w:val="auto"/>
              </w:rPr>
              <w:t>385,989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b w:val="1"/>
                <w:bCs w:val="1"/>
                <w:color w:val="auto"/>
              </w:rPr>
              <w:t>199,844</w:t>
            </w:r>
          </w:p>
        </w:tc>
        <w:tc>
          <w:tcPr>
            <w:tcW w:w="0" w:type="dxa"/>
            <w:vAlign w:val="bottom"/>
          </w:tcPr>
          <w:p>
            <w:pPr>
              <w:spacing w:after="0"/>
              <w:rPr>
                <w:sz w:val="1"/>
                <w:szCs w:val="1"/>
                <w:color w:val="auto"/>
              </w:rPr>
            </w:pPr>
          </w:p>
        </w:tc>
      </w:tr>
      <w:tr>
        <w:trPr>
          <w:trHeight w:val="290"/>
        </w:trPr>
        <w:tc>
          <w:tcPr>
            <w:tcW w:w="40" w:type="dxa"/>
            <w:vAlign w:val="bottom"/>
            <w:shd w:val="clear" w:color="auto" w:fill="D2EEF5"/>
          </w:tcPr>
          <w:p>
            <w:pPr>
              <w:spacing w:after="0"/>
              <w:rPr>
                <w:sz w:val="24"/>
                <w:szCs w:val="24"/>
                <w:color w:val="auto"/>
              </w:rPr>
            </w:pPr>
          </w:p>
        </w:tc>
        <w:tc>
          <w:tcPr>
            <w:tcW w:w="1680" w:type="dxa"/>
            <w:vAlign w:val="bottom"/>
            <w:shd w:val="clear" w:color="auto" w:fill="D2EEF5"/>
          </w:tcPr>
          <w:p>
            <w:pPr>
              <w:spacing w:after="0"/>
              <w:rPr>
                <w:sz w:val="24"/>
                <w:szCs w:val="24"/>
                <w:color w:val="auto"/>
              </w:rPr>
            </w:pPr>
          </w:p>
        </w:tc>
        <w:tc>
          <w:tcPr>
            <w:tcW w:w="3380" w:type="dxa"/>
            <w:vAlign w:val="bottom"/>
            <w:gridSpan w:val="2"/>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0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Indefinite-lived intangible 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506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Regulatory licenses and other</w:t>
            </w:r>
            <w:r>
              <w:rPr>
                <w:rFonts w:ascii="Arial" w:cs="Arial" w:eastAsia="Arial" w:hAnsi="Arial"/>
                <w:sz w:val="13"/>
                <w:szCs w:val="13"/>
                <w:color w:val="auto"/>
              </w:rPr>
              <w:t>(a)</w:t>
            </w:r>
          </w:p>
        </w:tc>
        <w:tc>
          <w:tcPr>
            <w:tcW w:w="1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04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76,064</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5060" w:type="dxa"/>
            <w:vAlign w:val="bottom"/>
            <w:tcBorders>
              <w:bottom w:val="single" w:sz="8" w:color="D2EEF5"/>
            </w:tcBorders>
            <w:gridSpan w:val="3"/>
          </w:tcPr>
          <w:p>
            <w:pPr>
              <w:ind w:left="480"/>
              <w:spacing w:after="0"/>
              <w:rPr>
                <w:sz w:val="20"/>
                <w:szCs w:val="20"/>
                <w:color w:val="auto"/>
              </w:rPr>
            </w:pPr>
            <w:r>
              <w:rPr>
                <w:rFonts w:ascii="Arial" w:cs="Arial" w:eastAsia="Arial" w:hAnsi="Arial"/>
                <w:sz w:val="20"/>
                <w:szCs w:val="20"/>
                <w:color w:val="auto"/>
              </w:rPr>
              <w:t>Trade names / trademarks</w:t>
            </w:r>
          </w:p>
        </w:tc>
        <w:tc>
          <w:tcPr>
            <w:tcW w:w="180" w:type="dxa"/>
            <w:vAlign w:val="bottom"/>
            <w:tcBorders>
              <w:bottom w:val="single" w:sz="8" w:color="D2EEF5"/>
            </w:tcBorders>
          </w:tcPr>
          <w:p>
            <w:pPr>
              <w:spacing w:after="0"/>
              <w:rPr>
                <w:sz w:val="23"/>
                <w:szCs w:val="23"/>
                <w:color w:val="auto"/>
              </w:rPr>
            </w:pPr>
          </w:p>
        </w:tc>
        <w:tc>
          <w:tcPr>
            <w:tcW w:w="1020" w:type="dxa"/>
            <w:vAlign w:val="bottom"/>
            <w:tcBorders>
              <w:bottom w:val="single" w:sz="8" w:color="D2EEF5"/>
            </w:tcBorders>
          </w:tcPr>
          <w:p>
            <w:pPr>
              <w:spacing w:after="0"/>
              <w:rPr>
                <w:sz w:val="23"/>
                <w:szCs w:val="23"/>
                <w:color w:val="auto"/>
              </w:rPr>
            </w:pPr>
          </w:p>
        </w:tc>
        <w:tc>
          <w:tcPr>
            <w:tcW w:w="120" w:type="dxa"/>
            <w:vAlign w:val="bottom"/>
            <w:tcBorders>
              <w:bottom w:val="single" w:sz="8" w:color="D2EEF5"/>
            </w:tcBorders>
          </w:tcPr>
          <w:p>
            <w:pPr>
              <w:spacing w:after="0"/>
              <w:rPr>
                <w:sz w:val="23"/>
                <w:szCs w:val="23"/>
                <w:color w:val="auto"/>
              </w:rPr>
            </w:pPr>
          </w:p>
        </w:tc>
        <w:tc>
          <w:tcPr>
            <w:tcW w:w="220" w:type="dxa"/>
            <w:vAlign w:val="bottom"/>
            <w:tcBorders>
              <w:bottom w:val="single" w:sz="8" w:color="D2EEF5"/>
            </w:tcBorders>
          </w:tcPr>
          <w:p>
            <w:pPr>
              <w:spacing w:after="0"/>
              <w:rPr>
                <w:sz w:val="23"/>
                <w:szCs w:val="23"/>
                <w:color w:val="auto"/>
              </w:rPr>
            </w:pPr>
          </w:p>
        </w:tc>
        <w:tc>
          <w:tcPr>
            <w:tcW w:w="980" w:type="dxa"/>
            <w:vAlign w:val="bottom"/>
            <w:tcBorders>
              <w:bottom w:val="single" w:sz="8" w:color="D2EEF5"/>
            </w:tcBorders>
          </w:tcPr>
          <w:p>
            <w:pPr>
              <w:spacing w:after="0"/>
              <w:rPr>
                <w:sz w:val="23"/>
                <w:szCs w:val="23"/>
                <w:color w:val="auto"/>
              </w:rPr>
            </w:pPr>
          </w:p>
        </w:tc>
        <w:tc>
          <w:tcPr>
            <w:tcW w:w="120" w:type="dxa"/>
            <w:vAlign w:val="bottom"/>
            <w:tcBorders>
              <w:bottom w:val="single" w:sz="8" w:color="D2EEF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26,018</w:t>
            </w:r>
          </w:p>
        </w:tc>
        <w:tc>
          <w:tcPr>
            <w:tcW w:w="12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40" w:type="dxa"/>
            <w:vAlign w:val="bottom"/>
            <w:tcBorders>
              <w:bottom w:val="single" w:sz="8" w:color="D2EEF5"/>
            </w:tcBorders>
            <w:shd w:val="clear" w:color="auto" w:fill="D2EEF5"/>
          </w:tcPr>
          <w:p>
            <w:pPr>
              <w:spacing w:after="0"/>
              <w:rPr>
                <w:sz w:val="24"/>
                <w:szCs w:val="24"/>
                <w:color w:val="auto"/>
              </w:rPr>
            </w:pPr>
          </w:p>
        </w:tc>
        <w:tc>
          <w:tcPr>
            <w:tcW w:w="506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b w:val="1"/>
                <w:bCs w:val="1"/>
                <w:color w:val="auto"/>
              </w:rPr>
              <w:t>Total indefinite-lived intangible assets</w:t>
            </w:r>
          </w:p>
        </w:tc>
        <w:tc>
          <w:tcPr>
            <w:tcW w:w="180" w:type="dxa"/>
            <w:vAlign w:val="bottom"/>
            <w:tcBorders>
              <w:bottom w:val="single" w:sz="8" w:color="D2EEF5"/>
            </w:tcBorders>
            <w:shd w:val="clear" w:color="auto" w:fill="D2EEF5"/>
          </w:tcPr>
          <w:p>
            <w:pPr>
              <w:spacing w:after="0"/>
              <w:rPr>
                <w:sz w:val="24"/>
                <w:szCs w:val="24"/>
                <w:color w:val="auto"/>
              </w:rPr>
            </w:pPr>
          </w:p>
        </w:tc>
        <w:tc>
          <w:tcPr>
            <w:tcW w:w="1020" w:type="dxa"/>
            <w:vAlign w:val="bottom"/>
            <w:tcBorders>
              <w:bottom w:val="single" w:sz="8" w:color="D2EEF5"/>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D2EEF5"/>
            </w:tcBorders>
            <w:shd w:val="clear" w:color="auto" w:fill="D2EEF5"/>
          </w:tcPr>
          <w:p>
            <w:pPr>
              <w:spacing w:after="0"/>
              <w:rPr>
                <w:sz w:val="24"/>
                <w:szCs w:val="24"/>
                <w:color w:val="auto"/>
              </w:rPr>
            </w:pPr>
          </w:p>
        </w:tc>
        <w:tc>
          <w:tcPr>
            <w:tcW w:w="980" w:type="dxa"/>
            <w:vAlign w:val="bottom"/>
            <w:tcBorders>
              <w:bottom w:val="single" w:sz="8" w:color="D2EEF5"/>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160" w:type="dxa"/>
            <w:vAlign w:val="bottom"/>
            <w:tcBorders>
              <w:bottom w:val="single" w:sz="8" w:color="auto"/>
            </w:tcBorders>
            <w:shd w:val="clear" w:color="auto" w:fill="D2EEF5"/>
          </w:tcPr>
          <w:p>
            <w:pPr>
              <w:spacing w:after="0"/>
              <w:rPr>
                <w:sz w:val="24"/>
                <w:szCs w:val="24"/>
                <w:color w:val="auto"/>
              </w:rPr>
            </w:pPr>
          </w:p>
        </w:tc>
        <w:tc>
          <w:tcPr>
            <w:tcW w:w="104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102,082</w:t>
            </w: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060" w:type="dxa"/>
            <w:vAlign w:val="bottom"/>
            <w:gridSpan w:val="3"/>
          </w:tcPr>
          <w:p>
            <w:pPr>
              <w:spacing w:after="0" w:line="225" w:lineRule="exact"/>
              <w:rPr>
                <w:sz w:val="20"/>
                <w:szCs w:val="20"/>
                <w:color w:val="auto"/>
              </w:rPr>
            </w:pPr>
            <w:r>
              <w:rPr>
                <w:rFonts w:ascii="Arial" w:cs="Arial" w:eastAsia="Arial" w:hAnsi="Arial"/>
                <w:sz w:val="20"/>
                <w:szCs w:val="20"/>
                <w:b w:val="1"/>
                <w:bCs w:val="1"/>
                <w:color w:val="auto"/>
              </w:rPr>
              <w:t>Total</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40"/>
              <w:spacing w:after="0" w:line="225" w:lineRule="exact"/>
              <w:rPr>
                <w:sz w:val="20"/>
                <w:szCs w:val="20"/>
                <w:color w:val="auto"/>
              </w:rPr>
            </w:pPr>
            <w:r>
              <w:rPr>
                <w:rFonts w:ascii="Arial" w:cs="Arial" w:eastAsia="Arial" w:hAnsi="Arial"/>
                <w:sz w:val="20"/>
                <w:szCs w:val="20"/>
                <w:b w:val="1"/>
                <w:bCs w:val="1"/>
                <w:color w:val="auto"/>
                <w:w w:val="89"/>
              </w:rPr>
              <w:t>$</w:t>
            </w:r>
          </w:p>
        </w:tc>
        <w:tc>
          <w:tcPr>
            <w:tcW w:w="1040" w:type="dxa"/>
            <w:vAlign w:val="bottom"/>
            <w:tcBorders>
              <w:bottom w:val="single" w:sz="8" w:color="auto"/>
            </w:tcBorders>
          </w:tcPr>
          <w:p>
            <w:pPr>
              <w:jc w:val="right"/>
              <w:ind w:right="2"/>
              <w:spacing w:after="0" w:line="225" w:lineRule="exact"/>
              <w:rPr>
                <w:sz w:val="20"/>
                <w:szCs w:val="20"/>
                <w:color w:val="auto"/>
              </w:rPr>
            </w:pPr>
            <w:r>
              <w:rPr>
                <w:rFonts w:ascii="Arial" w:cs="Arial" w:eastAsia="Arial" w:hAnsi="Arial"/>
                <w:sz w:val="20"/>
                <w:szCs w:val="20"/>
                <w:b w:val="1"/>
                <w:bCs w:val="1"/>
                <w:color w:val="auto"/>
              </w:rPr>
              <w:t>488,071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5" w:lineRule="exact"/>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tcPr>
          <w:p>
            <w:pPr>
              <w:jc w:val="right"/>
              <w:ind w:right="1"/>
              <w:spacing w:after="0" w:line="225" w:lineRule="exact"/>
              <w:rPr>
                <w:sz w:val="20"/>
                <w:szCs w:val="20"/>
                <w:color w:val="auto"/>
              </w:rPr>
            </w:pPr>
            <w:r>
              <w:rPr>
                <w:rFonts w:ascii="Arial" w:cs="Arial" w:eastAsia="Arial" w:hAnsi="Arial"/>
                <w:sz w:val="20"/>
                <w:szCs w:val="20"/>
                <w:b w:val="1"/>
                <w:bCs w:val="1"/>
                <w:color w:val="auto"/>
              </w:rPr>
              <w:t>199,844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50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As of December 31, 2024</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w w:val="96"/>
              </w:rPr>
              <w:t>Gross Carrying</w:t>
            </w:r>
          </w:p>
        </w:tc>
        <w:tc>
          <w:tcPr>
            <w:tcW w:w="12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50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242"/>
              <w:spacing w:after="0" w:line="174"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5"/>
                <w:szCs w:val="15"/>
                <w:color w:val="auto"/>
              </w:rPr>
            </w:pPr>
          </w:p>
        </w:tc>
        <w:tc>
          <w:tcPr>
            <w:tcW w:w="1200" w:type="dxa"/>
            <w:vAlign w:val="bottom"/>
            <w:gridSpan w:val="2"/>
          </w:tcPr>
          <w:p>
            <w:pPr>
              <w:jc w:val="center"/>
              <w:spacing w:after="0" w:line="174" w:lineRule="exact"/>
              <w:rPr>
                <w:sz w:val="20"/>
                <w:szCs w:val="20"/>
                <w:color w:val="auto"/>
              </w:rPr>
            </w:pPr>
            <w:r>
              <w:rPr>
                <w:rFonts w:ascii="Arial" w:cs="Arial" w:eastAsia="Arial" w:hAnsi="Arial"/>
                <w:sz w:val="16"/>
                <w:szCs w:val="16"/>
                <w:b w:val="1"/>
                <w:bCs w:val="1"/>
                <w:color w:val="auto"/>
                <w:w w:val="91"/>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680" w:type="dxa"/>
            <w:vAlign w:val="bottom"/>
            <w:tcBorders>
              <w:top w:val="single" w:sz="8" w:color="auto"/>
              <w:bottom w:val="single" w:sz="8" w:color="D2EEF5"/>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332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D2EEF5"/>
            </w:tcBorders>
          </w:tcPr>
          <w:p>
            <w:pPr>
              <w:spacing w:after="0" w:line="20" w:lineRule="exact"/>
              <w:rPr>
                <w:sz w:val="1"/>
                <w:szCs w:val="1"/>
                <w:color w:val="auto"/>
              </w:rPr>
            </w:pPr>
          </w:p>
        </w:tc>
        <w:tc>
          <w:tcPr>
            <w:tcW w:w="1020" w:type="dxa"/>
            <w:vAlign w:val="bottom"/>
            <w:tcBorders>
              <w:bottom w:val="single" w:sz="8" w:color="D2EEF5"/>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D2EEF5"/>
            </w:tcBorders>
          </w:tcPr>
          <w:p>
            <w:pPr>
              <w:spacing w:after="0" w:line="20" w:lineRule="exact"/>
              <w:rPr>
                <w:sz w:val="1"/>
                <w:szCs w:val="1"/>
                <w:color w:val="auto"/>
              </w:rPr>
            </w:pPr>
          </w:p>
        </w:tc>
        <w:tc>
          <w:tcPr>
            <w:tcW w:w="980" w:type="dxa"/>
            <w:vAlign w:val="bottom"/>
            <w:tcBorders>
              <w:bottom w:val="single" w:sz="8" w:color="D2EEF5"/>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5060" w:type="dxa"/>
            <w:vAlign w:val="bottom"/>
            <w:gridSpan w:val="3"/>
            <w:shd w:val="clear" w:color="auto" w:fill="D2EEF5"/>
          </w:tcPr>
          <w:p>
            <w:pPr>
              <w:spacing w:after="0"/>
              <w:rPr>
                <w:sz w:val="20"/>
                <w:szCs w:val="20"/>
                <w:color w:val="auto"/>
              </w:rPr>
            </w:pPr>
            <w:r>
              <w:rPr>
                <w:rFonts w:ascii="Arial" w:cs="Arial" w:eastAsia="Arial" w:hAnsi="Arial"/>
                <w:sz w:val="20"/>
                <w:szCs w:val="20"/>
                <w:b w:val="1"/>
                <w:bCs w:val="1"/>
                <w:i w:val="1"/>
                <w:iCs w:val="1"/>
                <w:color w:val="auto"/>
              </w:rPr>
              <w:t>Finite-lived intangible assets</w:t>
            </w:r>
          </w:p>
        </w:tc>
        <w:tc>
          <w:tcPr>
            <w:tcW w:w="180" w:type="dxa"/>
            <w:vAlign w:val="bottom"/>
            <w:shd w:val="clear" w:color="auto" w:fill="D2EEF5"/>
          </w:tcPr>
          <w:p>
            <w:pPr>
              <w:spacing w:after="0"/>
              <w:rPr>
                <w:sz w:val="23"/>
                <w:szCs w:val="23"/>
                <w:color w:val="auto"/>
              </w:rPr>
            </w:pPr>
          </w:p>
        </w:tc>
        <w:tc>
          <w:tcPr>
            <w:tcW w:w="102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98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104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980" w:type="dxa"/>
            <w:vAlign w:val="bottom"/>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060" w:type="dxa"/>
            <w:vAlign w:val="bottom"/>
            <w:gridSpan w:val="3"/>
          </w:tcPr>
          <w:p>
            <w:pPr>
              <w:ind w:left="480"/>
              <w:spacing w:after="0"/>
              <w:rPr>
                <w:sz w:val="20"/>
                <w:szCs w:val="20"/>
                <w:color w:val="auto"/>
              </w:rPr>
            </w:pPr>
            <w:r>
              <w:rPr>
                <w:rFonts w:ascii="Arial" w:cs="Arial" w:eastAsia="Arial" w:hAnsi="Arial"/>
                <w:sz w:val="20"/>
                <w:szCs w:val="20"/>
                <w:color w:val="auto"/>
              </w:rPr>
              <w:t>Customer relationships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gridSpan w:val="2"/>
          </w:tcPr>
          <w:p>
            <w:pPr>
              <w:ind w:left="160"/>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20"/>
                <w:szCs w:val="20"/>
                <w:color w:val="auto"/>
              </w:rPr>
              <w:t>646,965</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537,871</w:t>
            </w:r>
          </w:p>
        </w:tc>
        <w:tc>
          <w:tcPr>
            <w:tcW w:w="0" w:type="dxa"/>
            <w:vAlign w:val="bottom"/>
          </w:tcPr>
          <w:p>
            <w:pPr>
              <w:spacing w:after="0"/>
              <w:rPr>
                <w:sz w:val="1"/>
                <w:szCs w:val="1"/>
                <w:color w:val="auto"/>
              </w:rPr>
            </w:pPr>
          </w:p>
        </w:tc>
      </w:tr>
      <w:tr>
        <w:trPr>
          <w:trHeight w:val="291"/>
        </w:trPr>
        <w:tc>
          <w:tcPr>
            <w:tcW w:w="40" w:type="dxa"/>
            <w:vAlign w:val="bottom"/>
            <w:shd w:val="clear" w:color="auto" w:fill="D2EEF5"/>
          </w:tcPr>
          <w:p>
            <w:pPr>
              <w:spacing w:after="0"/>
              <w:rPr>
                <w:sz w:val="24"/>
                <w:szCs w:val="24"/>
                <w:color w:val="auto"/>
              </w:rPr>
            </w:pPr>
          </w:p>
        </w:tc>
        <w:tc>
          <w:tcPr>
            <w:tcW w:w="506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Proprietary technology</w:t>
            </w:r>
          </w:p>
        </w:tc>
        <w:tc>
          <w:tcPr>
            <w:tcW w:w="1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04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73,464</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52,976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060" w:type="dxa"/>
            <w:vAlign w:val="bottom"/>
            <w:gridSpan w:val="3"/>
          </w:tcPr>
          <w:p>
            <w:pPr>
              <w:ind w:left="480"/>
              <w:spacing w:after="0"/>
              <w:rPr>
                <w:sz w:val="20"/>
                <w:szCs w:val="20"/>
                <w:color w:val="auto"/>
              </w:rPr>
            </w:pPr>
            <w:r>
              <w:rPr>
                <w:rFonts w:ascii="Arial" w:cs="Arial" w:eastAsia="Arial" w:hAnsi="Arial"/>
                <w:sz w:val="20"/>
                <w:szCs w:val="20"/>
                <w:color w:val="auto"/>
              </w:rPr>
              <w:t>Trade names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Arial" w:cs="Arial" w:eastAsia="Arial" w:hAnsi="Arial"/>
                <w:sz w:val="20"/>
                <w:szCs w:val="20"/>
                <w:color w:val="auto"/>
              </w:rPr>
              <w:t>2,531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1,651</w:t>
            </w:r>
          </w:p>
        </w:tc>
        <w:tc>
          <w:tcPr>
            <w:tcW w:w="0" w:type="dxa"/>
            <w:vAlign w:val="bottom"/>
          </w:tcPr>
          <w:p>
            <w:pPr>
              <w:spacing w:after="0"/>
              <w:rPr>
                <w:sz w:val="1"/>
                <w:szCs w:val="1"/>
                <w:color w:val="auto"/>
              </w:rPr>
            </w:pPr>
          </w:p>
        </w:tc>
      </w:tr>
      <w:tr>
        <w:trPr>
          <w:trHeight w:val="291"/>
        </w:trPr>
        <w:tc>
          <w:tcPr>
            <w:tcW w:w="40" w:type="dxa"/>
            <w:vAlign w:val="bottom"/>
            <w:shd w:val="clear" w:color="auto" w:fill="D2EEF5"/>
          </w:tcPr>
          <w:p>
            <w:pPr>
              <w:spacing w:after="0"/>
              <w:rPr>
                <w:sz w:val="24"/>
                <w:szCs w:val="24"/>
                <w:color w:val="auto"/>
              </w:rPr>
            </w:pPr>
          </w:p>
        </w:tc>
        <w:tc>
          <w:tcPr>
            <w:tcW w:w="506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Land-use rights</w:t>
            </w:r>
          </w:p>
        </w:tc>
        <w:tc>
          <w:tcPr>
            <w:tcW w:w="1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04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8,493</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2,008</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060" w:type="dxa"/>
            <w:vAlign w:val="bottom"/>
            <w:gridSpan w:val="3"/>
          </w:tcPr>
          <w:p>
            <w:pPr>
              <w:ind w:left="480"/>
              <w:spacing w:after="0"/>
              <w:rPr>
                <w:sz w:val="20"/>
                <w:szCs w:val="20"/>
                <w:color w:val="auto"/>
              </w:rPr>
            </w:pPr>
            <w:r>
              <w:rPr>
                <w:rFonts w:ascii="Arial" w:cs="Arial" w:eastAsia="Arial" w:hAnsi="Arial"/>
                <w:sz w:val="20"/>
                <w:szCs w:val="20"/>
                <w:color w:val="auto"/>
              </w:rPr>
              <w:t>Sealed source and supply agreements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Arial" w:cs="Arial" w:eastAsia="Arial" w:hAnsi="Arial"/>
                <w:sz w:val="20"/>
                <w:szCs w:val="20"/>
                <w:color w:val="auto"/>
              </w:rPr>
              <w:t>192,630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110,668</w:t>
            </w:r>
          </w:p>
        </w:tc>
        <w:tc>
          <w:tcPr>
            <w:tcW w:w="0" w:type="dxa"/>
            <w:vAlign w:val="bottom"/>
          </w:tcPr>
          <w:p>
            <w:pPr>
              <w:spacing w:after="0"/>
              <w:rPr>
                <w:sz w:val="1"/>
                <w:szCs w:val="1"/>
                <w:color w:val="auto"/>
              </w:rPr>
            </w:pP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5060" w:type="dxa"/>
            <w:vAlign w:val="bottom"/>
            <w:tcBorders>
              <w:bottom w:val="single" w:sz="8" w:color="D2EEF5"/>
            </w:tcBorders>
            <w:gridSpan w:val="3"/>
            <w:shd w:val="clear" w:color="auto" w:fill="D2EEF5"/>
          </w:tcPr>
          <w:p>
            <w:pPr>
              <w:ind w:left="480"/>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D2EEF5"/>
            </w:tcBorders>
            <w:shd w:val="clear" w:color="auto" w:fill="D2EEF5"/>
          </w:tcPr>
          <w:p>
            <w:pPr>
              <w:spacing w:after="0"/>
              <w:rPr>
                <w:sz w:val="24"/>
                <w:szCs w:val="24"/>
                <w:color w:val="auto"/>
              </w:rPr>
            </w:pPr>
          </w:p>
        </w:tc>
        <w:tc>
          <w:tcPr>
            <w:tcW w:w="1020" w:type="dxa"/>
            <w:vAlign w:val="bottom"/>
            <w:tcBorders>
              <w:bottom w:val="single" w:sz="8" w:color="D2EEF5"/>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D2EEF5"/>
            </w:tcBorders>
            <w:shd w:val="clear" w:color="auto" w:fill="D2EEF5"/>
          </w:tcPr>
          <w:p>
            <w:pPr>
              <w:spacing w:after="0"/>
              <w:rPr>
                <w:sz w:val="24"/>
                <w:szCs w:val="24"/>
                <w:color w:val="auto"/>
              </w:rPr>
            </w:pPr>
          </w:p>
        </w:tc>
        <w:tc>
          <w:tcPr>
            <w:tcW w:w="980" w:type="dxa"/>
            <w:vAlign w:val="bottom"/>
            <w:tcBorders>
              <w:bottom w:val="single" w:sz="8" w:color="D2EEF5"/>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160" w:type="dxa"/>
            <w:vAlign w:val="bottom"/>
            <w:tcBorders>
              <w:bottom w:val="single" w:sz="8" w:color="auto"/>
            </w:tcBorders>
            <w:shd w:val="clear" w:color="auto" w:fill="D2EEF5"/>
          </w:tcPr>
          <w:p>
            <w:pPr>
              <w:spacing w:after="0"/>
              <w:rPr>
                <w:sz w:val="24"/>
                <w:szCs w:val="24"/>
                <w:color w:val="auto"/>
              </w:rPr>
            </w:pPr>
          </w:p>
        </w:tc>
        <w:tc>
          <w:tcPr>
            <w:tcW w:w="104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20"/>
                <w:szCs w:val="20"/>
                <w:color w:val="auto"/>
              </w:rPr>
              <w:t>4,344</w:t>
            </w: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20"/>
                <w:szCs w:val="20"/>
                <w:color w:val="auto"/>
              </w:rPr>
              <w:t>3,655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60" w:type="dxa"/>
            <w:vAlign w:val="bottom"/>
            <w:gridSpan w:val="3"/>
          </w:tcPr>
          <w:p>
            <w:pPr>
              <w:spacing w:after="0"/>
              <w:rPr>
                <w:sz w:val="20"/>
                <w:szCs w:val="20"/>
                <w:color w:val="auto"/>
              </w:rPr>
            </w:pPr>
            <w:r>
              <w:rPr>
                <w:rFonts w:ascii="Arial" w:cs="Arial" w:eastAsia="Arial" w:hAnsi="Arial"/>
                <w:sz w:val="20"/>
                <w:szCs w:val="20"/>
                <w:b w:val="1"/>
                <w:bCs w:val="1"/>
                <w:color w:val="auto"/>
              </w:rPr>
              <w:t>Total finite-lived intangible assets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Arial" w:cs="Arial" w:eastAsia="Arial" w:hAnsi="Arial"/>
                <w:sz w:val="20"/>
                <w:szCs w:val="20"/>
                <w:color w:val="auto"/>
              </w:rPr>
              <w:t>928,427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708,829</w:t>
            </w:r>
          </w:p>
        </w:tc>
        <w:tc>
          <w:tcPr>
            <w:tcW w:w="0" w:type="dxa"/>
            <w:vAlign w:val="bottom"/>
          </w:tcPr>
          <w:p>
            <w:pPr>
              <w:spacing w:after="0"/>
              <w:rPr>
                <w:sz w:val="1"/>
                <w:szCs w:val="1"/>
                <w:color w:val="auto"/>
              </w:rPr>
            </w:pPr>
          </w:p>
        </w:tc>
      </w:tr>
      <w:tr>
        <w:trPr>
          <w:trHeight w:val="291"/>
        </w:trPr>
        <w:tc>
          <w:tcPr>
            <w:tcW w:w="40" w:type="dxa"/>
            <w:vAlign w:val="bottom"/>
            <w:shd w:val="clear" w:color="auto" w:fill="D2EEF5"/>
          </w:tcPr>
          <w:p>
            <w:pPr>
              <w:spacing w:after="0"/>
              <w:rPr>
                <w:sz w:val="24"/>
                <w:szCs w:val="24"/>
                <w:color w:val="auto"/>
              </w:rPr>
            </w:pPr>
          </w:p>
        </w:tc>
        <w:tc>
          <w:tcPr>
            <w:tcW w:w="5060" w:type="dxa"/>
            <w:vAlign w:val="bottom"/>
            <w:gridSpan w:val="3"/>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0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Indefinite-lived intangible 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506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Regulatory licenses and other</w:t>
            </w:r>
            <w:r>
              <w:rPr>
                <w:rFonts w:ascii="Arial" w:cs="Arial" w:eastAsia="Arial" w:hAnsi="Arial"/>
                <w:sz w:val="13"/>
                <w:szCs w:val="13"/>
                <w:color w:val="auto"/>
              </w:rPr>
              <w:t>(a)</w:t>
            </w:r>
          </w:p>
        </w:tc>
        <w:tc>
          <w:tcPr>
            <w:tcW w:w="1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04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72,550</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5060" w:type="dxa"/>
            <w:vAlign w:val="bottom"/>
            <w:tcBorders>
              <w:bottom w:val="single" w:sz="8" w:color="D2EEF5"/>
            </w:tcBorders>
            <w:gridSpan w:val="3"/>
          </w:tcPr>
          <w:p>
            <w:pPr>
              <w:ind w:left="480"/>
              <w:spacing w:after="0"/>
              <w:rPr>
                <w:sz w:val="20"/>
                <w:szCs w:val="20"/>
                <w:color w:val="auto"/>
              </w:rPr>
            </w:pPr>
            <w:r>
              <w:rPr>
                <w:rFonts w:ascii="Arial" w:cs="Arial" w:eastAsia="Arial" w:hAnsi="Arial"/>
                <w:sz w:val="20"/>
                <w:szCs w:val="20"/>
                <w:color w:val="auto"/>
              </w:rPr>
              <w:t>Trade names / trademarks</w:t>
            </w:r>
          </w:p>
        </w:tc>
        <w:tc>
          <w:tcPr>
            <w:tcW w:w="180" w:type="dxa"/>
            <w:vAlign w:val="bottom"/>
            <w:tcBorders>
              <w:bottom w:val="single" w:sz="8" w:color="D2EEF5"/>
            </w:tcBorders>
          </w:tcPr>
          <w:p>
            <w:pPr>
              <w:spacing w:after="0"/>
              <w:rPr>
                <w:sz w:val="23"/>
                <w:szCs w:val="23"/>
                <w:color w:val="auto"/>
              </w:rPr>
            </w:pPr>
          </w:p>
        </w:tc>
        <w:tc>
          <w:tcPr>
            <w:tcW w:w="1020" w:type="dxa"/>
            <w:vAlign w:val="bottom"/>
            <w:tcBorders>
              <w:bottom w:val="single" w:sz="8" w:color="D2EEF5"/>
            </w:tcBorders>
          </w:tcPr>
          <w:p>
            <w:pPr>
              <w:spacing w:after="0"/>
              <w:rPr>
                <w:sz w:val="23"/>
                <w:szCs w:val="23"/>
                <w:color w:val="auto"/>
              </w:rPr>
            </w:pPr>
          </w:p>
        </w:tc>
        <w:tc>
          <w:tcPr>
            <w:tcW w:w="120" w:type="dxa"/>
            <w:vAlign w:val="bottom"/>
            <w:tcBorders>
              <w:bottom w:val="single" w:sz="8" w:color="D2EEF5"/>
            </w:tcBorders>
          </w:tcPr>
          <w:p>
            <w:pPr>
              <w:spacing w:after="0"/>
              <w:rPr>
                <w:sz w:val="23"/>
                <w:szCs w:val="23"/>
                <w:color w:val="auto"/>
              </w:rPr>
            </w:pPr>
          </w:p>
        </w:tc>
        <w:tc>
          <w:tcPr>
            <w:tcW w:w="220" w:type="dxa"/>
            <w:vAlign w:val="bottom"/>
            <w:tcBorders>
              <w:bottom w:val="single" w:sz="8" w:color="D2EEF5"/>
            </w:tcBorders>
          </w:tcPr>
          <w:p>
            <w:pPr>
              <w:spacing w:after="0"/>
              <w:rPr>
                <w:sz w:val="23"/>
                <w:szCs w:val="23"/>
                <w:color w:val="auto"/>
              </w:rPr>
            </w:pPr>
          </w:p>
        </w:tc>
        <w:tc>
          <w:tcPr>
            <w:tcW w:w="980" w:type="dxa"/>
            <w:vAlign w:val="bottom"/>
            <w:tcBorders>
              <w:bottom w:val="single" w:sz="8" w:color="D2EEF5"/>
            </w:tcBorders>
          </w:tcPr>
          <w:p>
            <w:pPr>
              <w:spacing w:after="0"/>
              <w:rPr>
                <w:sz w:val="23"/>
                <w:szCs w:val="23"/>
                <w:color w:val="auto"/>
              </w:rPr>
            </w:pPr>
          </w:p>
        </w:tc>
        <w:tc>
          <w:tcPr>
            <w:tcW w:w="120" w:type="dxa"/>
            <w:vAlign w:val="bottom"/>
            <w:tcBorders>
              <w:bottom w:val="single" w:sz="8" w:color="D2EEF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25,505</w:t>
            </w:r>
          </w:p>
        </w:tc>
        <w:tc>
          <w:tcPr>
            <w:tcW w:w="12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40" w:type="dxa"/>
            <w:vAlign w:val="bottom"/>
            <w:tcBorders>
              <w:bottom w:val="single" w:sz="8" w:color="D2EEF5"/>
            </w:tcBorders>
            <w:shd w:val="clear" w:color="auto" w:fill="D2EEF5"/>
          </w:tcPr>
          <w:p>
            <w:pPr>
              <w:spacing w:after="0"/>
              <w:rPr>
                <w:sz w:val="24"/>
                <w:szCs w:val="24"/>
                <w:color w:val="auto"/>
              </w:rPr>
            </w:pPr>
          </w:p>
        </w:tc>
        <w:tc>
          <w:tcPr>
            <w:tcW w:w="506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b w:val="1"/>
                <w:bCs w:val="1"/>
                <w:color w:val="auto"/>
              </w:rPr>
              <w:t>Total indefinite-lived intangible assets</w:t>
            </w:r>
          </w:p>
        </w:tc>
        <w:tc>
          <w:tcPr>
            <w:tcW w:w="180" w:type="dxa"/>
            <w:vAlign w:val="bottom"/>
            <w:tcBorders>
              <w:bottom w:val="single" w:sz="8" w:color="D2EEF5"/>
            </w:tcBorders>
            <w:shd w:val="clear" w:color="auto" w:fill="D2EEF5"/>
          </w:tcPr>
          <w:p>
            <w:pPr>
              <w:spacing w:after="0"/>
              <w:rPr>
                <w:sz w:val="24"/>
                <w:szCs w:val="24"/>
                <w:color w:val="auto"/>
              </w:rPr>
            </w:pPr>
          </w:p>
        </w:tc>
        <w:tc>
          <w:tcPr>
            <w:tcW w:w="1020" w:type="dxa"/>
            <w:vAlign w:val="bottom"/>
            <w:tcBorders>
              <w:bottom w:val="single" w:sz="8" w:color="D2EEF5"/>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D2EEF5"/>
            </w:tcBorders>
            <w:shd w:val="clear" w:color="auto" w:fill="D2EEF5"/>
          </w:tcPr>
          <w:p>
            <w:pPr>
              <w:spacing w:after="0"/>
              <w:rPr>
                <w:sz w:val="24"/>
                <w:szCs w:val="24"/>
                <w:color w:val="auto"/>
              </w:rPr>
            </w:pPr>
          </w:p>
        </w:tc>
        <w:tc>
          <w:tcPr>
            <w:tcW w:w="980" w:type="dxa"/>
            <w:vAlign w:val="bottom"/>
            <w:tcBorders>
              <w:bottom w:val="single" w:sz="8" w:color="D2EEF5"/>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160" w:type="dxa"/>
            <w:vAlign w:val="bottom"/>
            <w:tcBorders>
              <w:bottom w:val="single" w:sz="8" w:color="auto"/>
            </w:tcBorders>
            <w:shd w:val="clear" w:color="auto" w:fill="D2EEF5"/>
          </w:tcPr>
          <w:p>
            <w:pPr>
              <w:spacing w:after="0"/>
              <w:rPr>
                <w:sz w:val="24"/>
                <w:szCs w:val="24"/>
                <w:color w:val="auto"/>
              </w:rPr>
            </w:pPr>
          </w:p>
        </w:tc>
        <w:tc>
          <w:tcPr>
            <w:tcW w:w="104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20"/>
                <w:szCs w:val="20"/>
                <w:color w:val="auto"/>
              </w:rPr>
              <w:t>98,055</w:t>
            </w: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060" w:type="dxa"/>
            <w:vAlign w:val="bottom"/>
            <w:gridSpan w:val="3"/>
          </w:tcPr>
          <w:p>
            <w:pPr>
              <w:spacing w:after="0" w:line="227" w:lineRule="exact"/>
              <w:rPr>
                <w:sz w:val="20"/>
                <w:szCs w:val="20"/>
                <w:color w:val="auto"/>
              </w:rPr>
            </w:pPr>
            <w:r>
              <w:rPr>
                <w:rFonts w:ascii="Arial" w:cs="Arial" w:eastAsia="Arial" w:hAnsi="Arial"/>
                <w:sz w:val="20"/>
                <w:szCs w:val="20"/>
                <w:b w:val="1"/>
                <w:bCs w:val="1"/>
                <w:color w:val="auto"/>
              </w:rPr>
              <w:t>Total</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gridSpan w:val="2"/>
          </w:tcPr>
          <w:p>
            <w:pPr>
              <w:ind w:left="160"/>
              <w:spacing w:after="0" w:line="227" w:lineRule="exact"/>
              <w:rPr>
                <w:sz w:val="20"/>
                <w:szCs w:val="20"/>
                <w:color w:val="auto"/>
              </w:rPr>
            </w:pPr>
            <w:r>
              <w:rPr>
                <w:rFonts w:ascii="Arial" w:cs="Arial" w:eastAsia="Arial" w:hAnsi="Arial"/>
                <w:sz w:val="20"/>
                <w:szCs w:val="20"/>
                <w:color w:val="auto"/>
                <w:w w:val="89"/>
              </w:rPr>
              <w:t>$</w:t>
            </w:r>
          </w:p>
        </w:tc>
        <w:tc>
          <w:tcPr>
            <w:tcW w:w="1040" w:type="dxa"/>
            <w:vAlign w:val="bottom"/>
          </w:tcPr>
          <w:p>
            <w:pPr>
              <w:jc w:val="right"/>
              <w:ind w:right="2"/>
              <w:spacing w:after="0" w:line="227" w:lineRule="exact"/>
              <w:rPr>
                <w:sz w:val="20"/>
                <w:szCs w:val="20"/>
                <w:color w:val="auto"/>
              </w:rPr>
            </w:pPr>
            <w:r>
              <w:rPr>
                <w:rFonts w:ascii="Arial" w:cs="Arial" w:eastAsia="Arial" w:hAnsi="Arial"/>
                <w:sz w:val="20"/>
                <w:szCs w:val="20"/>
                <w:color w:val="auto"/>
              </w:rPr>
              <w:t>1,026,482</w:t>
            </w:r>
          </w:p>
        </w:tc>
        <w:tc>
          <w:tcPr>
            <w:tcW w:w="34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line="227" w:lineRule="exact"/>
              <w:rPr>
                <w:sz w:val="20"/>
                <w:szCs w:val="20"/>
                <w:color w:val="auto"/>
              </w:rPr>
            </w:pPr>
            <w:r>
              <w:rPr>
                <w:rFonts w:ascii="Arial" w:cs="Arial" w:eastAsia="Arial" w:hAnsi="Arial"/>
                <w:sz w:val="20"/>
                <w:szCs w:val="20"/>
                <w:color w:val="auto"/>
              </w:rPr>
              <w:t>708,829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-6409690</wp:posOffset>
            </wp:positionV>
            <wp:extent cx="3302000"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3302000" cy="5080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-3050540</wp:posOffset>
            </wp:positionV>
            <wp:extent cx="1625600"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1625600" cy="5080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-43815</wp:posOffset>
            </wp:positionV>
            <wp:extent cx="162560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1625600" cy="50800"/>
                    </a:xfrm>
                    <a:prstGeom prst="rect">
                      <a:avLst/>
                    </a:prstGeom>
                    <a:noFill/>
                  </pic:spPr>
                </pic:pic>
              </a:graphicData>
            </a:graphic>
          </wp:anchor>
        </w:drawing>
      </w:r>
    </w:p>
    <w:p>
      <w:pPr>
        <w:sectPr>
          <w:pgSz w:w="11880" w:h="15480" w:orient="portrait"/>
          <w:cols w:equalWidth="0" w:num="1">
            <w:col w:w="10270"/>
          </w:cols>
          <w:pgMar w:left="81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10270"/>
          </w:cols>
          <w:pgMar w:left="810" w:top="422" w:right="800" w:bottom="0" w:gutter="0" w:footer="0" w:header="0"/>
          <w:type w:val="continuous"/>
        </w:sectPr>
      </w:pPr>
    </w:p>
    <w:bookmarkStart w:id="86" w:name="page87"/>
    <w:bookmarkEnd w:id="86"/>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left="270" w:right="220" w:hanging="270"/>
        <w:spacing w:after="0" w:line="290" w:lineRule="auto"/>
        <w:tabs>
          <w:tab w:leader="none" w:pos="270" w:val="left"/>
        </w:tabs>
        <w:numPr>
          <w:ilvl w:val="0"/>
          <w:numId w:val="41"/>
        </w:numPr>
        <w:rPr>
          <w:rFonts w:ascii="Arial" w:cs="Arial" w:eastAsia="Arial" w:hAnsi="Arial"/>
          <w:sz w:val="12"/>
          <w:szCs w:val="12"/>
          <w:color w:val="auto"/>
        </w:rPr>
      </w:pPr>
      <w:r>
        <w:rPr>
          <w:rFonts w:ascii="Arial" w:cs="Arial" w:eastAsia="Arial" w:hAnsi="Arial"/>
          <w:sz w:val="18"/>
          <w:szCs w:val="18"/>
          <w:color w:val="auto"/>
        </w:rPr>
        <w:t>Includes certain transportation certifications, a class 1B nuclear license and other intangibles related to obtaining such licensure. These assets are considered indefinite-lived as the decision for renewal by the CNSC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is generally expected to obtain renewal, as Nordion has demonstrated over its 75 years of history. In September 2025, the CNSC renewed Nordion’s Class 1B nuclear license for a 25-year term.</w:t>
      </w:r>
    </w:p>
    <w:p>
      <w:pPr>
        <w:spacing w:after="0" w:line="139" w:lineRule="exact"/>
        <w:rPr>
          <w:sz w:val="20"/>
          <w:szCs w:val="20"/>
          <w:color w:val="auto"/>
        </w:rPr>
      </w:pPr>
    </w:p>
    <w:p>
      <w:pPr>
        <w:ind w:left="10"/>
        <w:spacing w:after="0"/>
        <w:rPr>
          <w:sz w:val="20"/>
          <w:szCs w:val="20"/>
          <w:color w:val="auto"/>
        </w:rPr>
      </w:pPr>
      <w:r>
        <w:rPr>
          <w:rFonts w:ascii="Arial" w:cs="Arial" w:eastAsia="Arial" w:hAnsi="Arial"/>
          <w:sz w:val="20"/>
          <w:szCs w:val="20"/>
          <w:color w:val="auto"/>
        </w:rPr>
        <w:t>Amounts include the impact of foreign currency translation. Fully amortized amounts are written off.</w:t>
      </w:r>
    </w:p>
    <w:p>
      <w:pPr>
        <w:spacing w:after="0" w:line="210" w:lineRule="exact"/>
        <w:rPr>
          <w:sz w:val="20"/>
          <w:szCs w:val="20"/>
          <w:color w:val="auto"/>
        </w:rPr>
      </w:pPr>
    </w:p>
    <w:p>
      <w:pPr>
        <w:ind w:left="10" w:right="220"/>
        <w:spacing w:after="0" w:line="279" w:lineRule="auto"/>
        <w:rPr>
          <w:sz w:val="20"/>
          <w:szCs w:val="20"/>
          <w:color w:val="auto"/>
        </w:rPr>
      </w:pPr>
      <w:r>
        <w:rPr>
          <w:rFonts w:ascii="Arial" w:cs="Arial" w:eastAsia="Arial" w:hAnsi="Arial"/>
          <w:sz w:val="19"/>
          <w:szCs w:val="19"/>
          <w:color w:val="auto"/>
        </w:rPr>
        <w:t>Amortization expense for finite-lived intangible assets was $41.8 million, $79.4 million and $81.3 million for the years ended December 31, 2025, 2024 and 2023, respectively. $30.7 million, $62.0 million, and $63.8 million was included in “Amortization of intangible assets” in the Consolidated Statements of Operations and Comprehensive Income (Loss) for the years ended December 31, 2025, 2024 and 2023, whereas the remainder was included in “Cost of revenues.”</w:t>
      </w:r>
    </w:p>
    <w:p>
      <w:pPr>
        <w:spacing w:after="0" w:line="144" w:lineRule="exact"/>
        <w:rPr>
          <w:sz w:val="20"/>
          <w:szCs w:val="20"/>
          <w:color w:val="auto"/>
        </w:rPr>
      </w:pPr>
    </w:p>
    <w:p>
      <w:pPr>
        <w:ind w:left="10" w:right="200"/>
        <w:spacing w:after="0" w:line="283" w:lineRule="auto"/>
        <w:rPr>
          <w:sz w:val="20"/>
          <w:szCs w:val="20"/>
          <w:color w:val="auto"/>
        </w:rPr>
      </w:pPr>
      <w:r>
        <w:rPr>
          <w:rFonts w:ascii="Arial" w:cs="Arial" w:eastAsia="Arial" w:hAnsi="Arial"/>
          <w:sz w:val="20"/>
          <w:szCs w:val="20"/>
          <w:color w:val="auto"/>
        </w:rPr>
        <w:t>The estimated aggregate amortization expense for finite-lived intangible assets for each of the next five years and thereafter is as follows:</w:t>
      </w:r>
    </w:p>
    <w:p>
      <w:pPr>
        <w:spacing w:after="0" w:line="12" w:lineRule="exact"/>
        <w:rPr>
          <w:sz w:val="20"/>
          <w:szCs w:val="20"/>
          <w:color w:val="auto"/>
        </w:rPr>
      </w:pPr>
    </w:p>
    <w:p>
      <w:pPr>
        <w:ind w:left="50"/>
        <w:spacing w:after="0"/>
        <w:rPr>
          <w:sz w:val="20"/>
          <w:szCs w:val="20"/>
          <w:color w:val="auto"/>
        </w:rPr>
      </w:pPr>
      <w:r>
        <w:rPr>
          <w:rFonts w:ascii="Arial" w:cs="Arial" w:eastAsia="Arial" w:hAnsi="Arial"/>
          <w:sz w:val="16"/>
          <w:szCs w:val="16"/>
          <w:b w:val="1"/>
          <w:bCs w:val="1"/>
          <w:i w:val="1"/>
          <w:iCs w:val="1"/>
          <w:u w:val="single" w:color="auto"/>
          <w:color w:val="auto"/>
        </w:rPr>
        <w:t>(thousands of U.S. dollars)</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9060" w:type="dxa"/>
            <w:vAlign w:val="bottom"/>
            <w:shd w:val="clear" w:color="auto" w:fill="D2EEF5"/>
          </w:tcPr>
          <w:p>
            <w:pPr>
              <w:ind w:left="40"/>
              <w:spacing w:after="0"/>
              <w:rPr>
                <w:sz w:val="20"/>
                <w:szCs w:val="20"/>
                <w:color w:val="auto"/>
              </w:rPr>
            </w:pPr>
            <w:r>
              <w:rPr>
                <w:rFonts w:ascii="Arial" w:cs="Arial" w:eastAsia="Arial" w:hAnsi="Arial"/>
                <w:sz w:val="20"/>
                <w:szCs w:val="20"/>
                <w:color w:val="auto"/>
              </w:rPr>
              <w:t>2026</w:t>
            </w:r>
          </w:p>
        </w:tc>
        <w:tc>
          <w:tcPr>
            <w:tcW w:w="300" w:type="dxa"/>
            <w:vAlign w:val="bottom"/>
            <w:shd w:val="clear" w:color="auto" w:fill="D2EEF5"/>
          </w:tcPr>
          <w:p>
            <w:pPr>
              <w:jc w:val="right"/>
              <w:ind w:right="60"/>
              <w:spacing w:after="0"/>
              <w:rPr>
                <w:sz w:val="20"/>
                <w:szCs w:val="20"/>
                <w:color w:val="auto"/>
              </w:rPr>
            </w:pPr>
            <w:r>
              <w:rPr>
                <w:rFonts w:ascii="Arial" w:cs="Arial" w:eastAsia="Arial" w:hAnsi="Arial"/>
                <w:sz w:val="20"/>
                <w:szCs w:val="20"/>
                <w:b w:val="1"/>
                <w:bCs w:val="1"/>
                <w:color w:val="auto"/>
              </w:rPr>
              <w:t>$</w:t>
            </w: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22,161</w:t>
            </w:r>
          </w:p>
        </w:tc>
      </w:tr>
      <w:tr>
        <w:trPr>
          <w:trHeight w:val="278"/>
        </w:trPr>
        <w:tc>
          <w:tcPr>
            <w:tcW w:w="9060" w:type="dxa"/>
            <w:vAlign w:val="bottom"/>
          </w:tcPr>
          <w:p>
            <w:pPr>
              <w:ind w:left="40"/>
              <w:spacing w:after="0"/>
              <w:rPr>
                <w:sz w:val="20"/>
                <w:szCs w:val="20"/>
                <w:color w:val="auto"/>
              </w:rPr>
            </w:pPr>
            <w:r>
              <w:rPr>
                <w:rFonts w:ascii="Arial" w:cs="Arial" w:eastAsia="Arial" w:hAnsi="Arial"/>
                <w:sz w:val="20"/>
                <w:szCs w:val="20"/>
                <w:color w:val="auto"/>
              </w:rPr>
              <w:t>2027</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21,084</w:t>
            </w:r>
          </w:p>
        </w:tc>
      </w:tr>
      <w:tr>
        <w:trPr>
          <w:trHeight w:val="292"/>
        </w:trPr>
        <w:tc>
          <w:tcPr>
            <w:tcW w:w="9060" w:type="dxa"/>
            <w:vAlign w:val="bottom"/>
            <w:shd w:val="clear" w:color="auto" w:fill="D2EEF5"/>
          </w:tcPr>
          <w:p>
            <w:pPr>
              <w:ind w:left="40"/>
              <w:spacing w:after="0"/>
              <w:rPr>
                <w:sz w:val="20"/>
                <w:szCs w:val="20"/>
                <w:color w:val="auto"/>
              </w:rPr>
            </w:pPr>
            <w:r>
              <w:rPr>
                <w:rFonts w:ascii="Arial" w:cs="Arial" w:eastAsia="Arial" w:hAnsi="Arial"/>
                <w:sz w:val="20"/>
                <w:szCs w:val="20"/>
                <w:color w:val="auto"/>
              </w:rPr>
              <w:t>2028</w:t>
            </w:r>
          </w:p>
        </w:tc>
        <w:tc>
          <w:tcPr>
            <w:tcW w:w="30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20,537</w:t>
            </w:r>
          </w:p>
        </w:tc>
      </w:tr>
      <w:tr>
        <w:trPr>
          <w:trHeight w:val="278"/>
        </w:trPr>
        <w:tc>
          <w:tcPr>
            <w:tcW w:w="9060" w:type="dxa"/>
            <w:vAlign w:val="bottom"/>
          </w:tcPr>
          <w:p>
            <w:pPr>
              <w:ind w:left="40"/>
              <w:spacing w:after="0"/>
              <w:rPr>
                <w:sz w:val="20"/>
                <w:szCs w:val="20"/>
                <w:color w:val="auto"/>
              </w:rPr>
            </w:pPr>
            <w:r>
              <w:rPr>
                <w:rFonts w:ascii="Arial" w:cs="Arial" w:eastAsia="Arial" w:hAnsi="Arial"/>
                <w:sz w:val="20"/>
                <w:szCs w:val="20"/>
                <w:color w:val="auto"/>
              </w:rPr>
              <w:t>2029</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20,427</w:t>
            </w:r>
          </w:p>
        </w:tc>
      </w:tr>
      <w:tr>
        <w:trPr>
          <w:trHeight w:val="292"/>
        </w:trPr>
        <w:tc>
          <w:tcPr>
            <w:tcW w:w="9060" w:type="dxa"/>
            <w:vAlign w:val="bottom"/>
            <w:shd w:val="clear" w:color="auto" w:fill="D2EEF5"/>
          </w:tcPr>
          <w:p>
            <w:pPr>
              <w:ind w:left="40"/>
              <w:spacing w:after="0"/>
              <w:rPr>
                <w:sz w:val="20"/>
                <w:szCs w:val="20"/>
                <w:color w:val="auto"/>
              </w:rPr>
            </w:pPr>
            <w:r>
              <w:rPr>
                <w:rFonts w:ascii="Arial" w:cs="Arial" w:eastAsia="Arial" w:hAnsi="Arial"/>
                <w:sz w:val="20"/>
                <w:szCs w:val="20"/>
                <w:color w:val="auto"/>
              </w:rPr>
              <w:t>2030</w:t>
            </w:r>
          </w:p>
        </w:tc>
        <w:tc>
          <w:tcPr>
            <w:tcW w:w="30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20,427</w:t>
            </w:r>
          </w:p>
        </w:tc>
      </w:tr>
      <w:tr>
        <w:trPr>
          <w:trHeight w:val="275"/>
        </w:trPr>
        <w:tc>
          <w:tcPr>
            <w:tcW w:w="9060" w:type="dxa"/>
            <w:vAlign w:val="bottom"/>
            <w:tcBorders>
              <w:bottom w:val="single" w:sz="8" w:color="D2EEF5"/>
            </w:tcBorders>
          </w:tcPr>
          <w:p>
            <w:pPr>
              <w:ind w:left="40"/>
              <w:spacing w:after="0"/>
              <w:rPr>
                <w:sz w:val="20"/>
                <w:szCs w:val="20"/>
                <w:color w:val="auto"/>
              </w:rPr>
            </w:pPr>
            <w:r>
              <w:rPr>
                <w:rFonts w:ascii="Arial" w:cs="Arial" w:eastAsia="Arial" w:hAnsi="Arial"/>
                <w:sz w:val="20"/>
                <w:szCs w:val="20"/>
                <w:color w:val="auto"/>
              </w:rPr>
              <w:t>Thereafter</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81,509</w:t>
            </w:r>
          </w:p>
        </w:tc>
      </w:tr>
      <w:tr>
        <w:trPr>
          <w:trHeight w:val="270"/>
        </w:trPr>
        <w:tc>
          <w:tcPr>
            <w:tcW w:w="906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20"/>
                <w:szCs w:val="20"/>
                <w:b w:val="1"/>
                <w:bCs w:val="1"/>
                <w:color w:val="auto"/>
              </w:rPr>
              <w:t>Total</w:t>
            </w:r>
          </w:p>
        </w:tc>
        <w:tc>
          <w:tcPr>
            <w:tcW w:w="300" w:type="dxa"/>
            <w:vAlign w:val="bottom"/>
            <w:tcBorders>
              <w:bottom w:val="single" w:sz="8" w:color="auto"/>
            </w:tcBorders>
            <w:shd w:val="clear" w:color="auto" w:fill="D2EEF5"/>
          </w:tcPr>
          <w:p>
            <w:pPr>
              <w:jc w:val="right"/>
              <w:ind w:right="60"/>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186,145</w:t>
            </w:r>
          </w:p>
        </w:tc>
      </w:tr>
      <w:tr>
        <w:trPr>
          <w:trHeight w:val="20"/>
        </w:trPr>
        <w:tc>
          <w:tcPr>
            <w:tcW w:w="9060" w:type="dxa"/>
            <w:vAlign w:val="bottom"/>
            <w:tcBorders>
              <w:top w:val="single" w:sz="8" w:color="D2EEF5"/>
            </w:tcBorders>
          </w:tcPr>
          <w:p>
            <w:pPr>
              <w:spacing w:after="0" w:line="20" w:lineRule="exact"/>
              <w:rPr>
                <w:sz w:val="1"/>
                <w:szCs w:val="1"/>
                <w:color w:val="auto"/>
              </w:rPr>
            </w:pPr>
          </w:p>
        </w:tc>
        <w:tc>
          <w:tcPr>
            <w:tcW w:w="300" w:type="dxa"/>
            <w:vAlign w:val="bottom"/>
            <w:tcBorders>
              <w:top w:val="single" w:sz="8" w:color="D2EEF5"/>
              <w:bottom w:val="single" w:sz="8" w:color="auto"/>
            </w:tcBorders>
          </w:tcPr>
          <w:p>
            <w:pPr>
              <w:spacing w:after="0" w:line="20" w:lineRule="exact"/>
              <w:rPr>
                <w:sz w:val="1"/>
                <w:szCs w:val="1"/>
                <w:color w:val="auto"/>
              </w:rPr>
            </w:pPr>
          </w:p>
        </w:tc>
        <w:tc>
          <w:tcPr>
            <w:tcW w:w="900" w:type="dxa"/>
            <w:vAlign w:val="bottom"/>
            <w:tcBorders>
              <w:top w:val="single" w:sz="8" w:color="D2EE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-43815</wp:posOffset>
            </wp:positionV>
            <wp:extent cx="78740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787400" cy="50800"/>
                    </a:xfrm>
                    <a:prstGeom prst="rect">
                      <a:avLst/>
                    </a:prstGeom>
                    <a:noFill/>
                  </pic:spPr>
                </pic:pic>
              </a:graphicData>
            </a:graphic>
          </wp:anchor>
        </w:drawing>
      </w:r>
    </w:p>
    <w:p>
      <w:pPr>
        <w:spacing w:after="0" w:line="187"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weighted-average remaining amortization periods of the finite-lived intangible assets by major intangible asset class as of</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20"/>
          <w:szCs w:val="20"/>
          <w:color w:val="auto"/>
        </w:rPr>
        <w:t>December 31, 2025 were as follows:</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500" w:type="dxa"/>
            <w:vAlign w:val="bottom"/>
          </w:tcPr>
          <w:p>
            <w:pPr>
              <w:jc w:val="center"/>
              <w:ind w:left="2420"/>
              <w:spacing w:after="0"/>
              <w:rPr>
                <w:sz w:val="20"/>
                <w:szCs w:val="20"/>
                <w:color w:val="auto"/>
              </w:rPr>
            </w:pPr>
            <w:r>
              <w:rPr>
                <w:rFonts w:ascii="Arial" w:cs="Arial" w:eastAsia="Arial" w:hAnsi="Arial"/>
                <w:sz w:val="20"/>
                <w:szCs w:val="20"/>
                <w:b w:val="1"/>
                <w:bCs w:val="1"/>
                <w:color w:val="auto"/>
                <w:w w:val="89"/>
              </w:rPr>
              <w:t>Weighted average</w:t>
            </w:r>
          </w:p>
        </w:tc>
      </w:tr>
      <w:tr>
        <w:trPr>
          <w:trHeight w:val="200"/>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500" w:type="dxa"/>
            <w:vAlign w:val="bottom"/>
          </w:tcPr>
          <w:p>
            <w:pPr>
              <w:jc w:val="center"/>
              <w:ind w:left="2440"/>
              <w:spacing w:after="0" w:line="200" w:lineRule="exact"/>
              <w:rPr>
                <w:sz w:val="20"/>
                <w:szCs w:val="20"/>
                <w:color w:val="auto"/>
              </w:rPr>
            </w:pPr>
            <w:r>
              <w:rPr>
                <w:rFonts w:ascii="Arial" w:cs="Arial" w:eastAsia="Arial" w:hAnsi="Arial"/>
                <w:sz w:val="20"/>
                <w:szCs w:val="20"/>
                <w:b w:val="1"/>
                <w:bCs w:val="1"/>
                <w:color w:val="auto"/>
                <w:w w:val="92"/>
              </w:rPr>
              <w:t>remaining</w:t>
            </w:r>
          </w:p>
        </w:tc>
      </w:tr>
      <w:tr>
        <w:trPr>
          <w:trHeight w:val="222"/>
        </w:trPr>
        <w:tc>
          <w:tcPr>
            <w:tcW w:w="4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years)</w:t>
            </w:r>
          </w:p>
        </w:tc>
        <w:tc>
          <w:tcPr>
            <w:tcW w:w="4500" w:type="dxa"/>
            <w:vAlign w:val="bottom"/>
          </w:tcPr>
          <w:p>
            <w:pPr>
              <w:jc w:val="center"/>
              <w:ind w:left="2420"/>
              <w:spacing w:after="0" w:line="222" w:lineRule="exact"/>
              <w:rPr>
                <w:sz w:val="20"/>
                <w:szCs w:val="20"/>
                <w:color w:val="auto"/>
              </w:rPr>
            </w:pPr>
            <w:r>
              <w:rPr>
                <w:rFonts w:ascii="Arial" w:cs="Arial" w:eastAsia="Arial" w:hAnsi="Arial"/>
                <w:sz w:val="20"/>
                <w:szCs w:val="20"/>
                <w:b w:val="1"/>
                <w:bCs w:val="1"/>
                <w:color w:val="auto"/>
                <w:w w:val="91"/>
              </w:rPr>
              <w:t>amortization period</w:t>
            </w: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shd w:val="clear" w:color="auto" w:fill="D2EEF5"/>
          </w:tcPr>
          <w:p>
            <w:pPr>
              <w:spacing w:after="0"/>
              <w:rPr>
                <w:sz w:val="24"/>
                <w:szCs w:val="24"/>
                <w:color w:val="auto"/>
              </w:rPr>
            </w:pPr>
          </w:p>
        </w:tc>
        <w:tc>
          <w:tcPr>
            <w:tcW w:w="566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Customer relationships</w:t>
            </w:r>
          </w:p>
        </w:tc>
        <w:tc>
          <w:tcPr>
            <w:tcW w:w="45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9.3</w:t>
            </w:r>
          </w:p>
        </w:tc>
      </w:tr>
      <w:tr>
        <w:trPr>
          <w:trHeight w:val="308"/>
        </w:trPr>
        <w:tc>
          <w:tcPr>
            <w:tcW w:w="40" w:type="dxa"/>
            <w:vAlign w:val="bottom"/>
          </w:tcPr>
          <w:p>
            <w:pPr>
              <w:spacing w:after="0"/>
              <w:rPr>
                <w:sz w:val="24"/>
                <w:szCs w:val="24"/>
                <w:color w:val="auto"/>
              </w:rPr>
            </w:pPr>
          </w:p>
        </w:tc>
        <w:tc>
          <w:tcPr>
            <w:tcW w:w="5660" w:type="dxa"/>
            <w:vAlign w:val="bottom"/>
            <w:gridSpan w:val="2"/>
          </w:tcPr>
          <w:p>
            <w:pPr>
              <w:spacing w:after="0"/>
              <w:rPr>
                <w:sz w:val="20"/>
                <w:szCs w:val="20"/>
                <w:color w:val="auto"/>
              </w:rPr>
            </w:pPr>
            <w:r>
              <w:rPr>
                <w:rFonts w:ascii="Arial" w:cs="Arial" w:eastAsia="Arial" w:hAnsi="Arial"/>
                <w:sz w:val="20"/>
                <w:szCs w:val="20"/>
                <w:color w:val="auto"/>
              </w:rPr>
              <w:t>Proprietary technology</w:t>
            </w:r>
          </w:p>
        </w:tc>
        <w:tc>
          <w:tcPr>
            <w:tcW w:w="4500" w:type="dxa"/>
            <w:vAlign w:val="bottom"/>
          </w:tcPr>
          <w:p>
            <w:pPr>
              <w:jc w:val="right"/>
              <w:spacing w:after="0"/>
              <w:rPr>
                <w:sz w:val="20"/>
                <w:szCs w:val="20"/>
                <w:color w:val="auto"/>
              </w:rPr>
            </w:pPr>
            <w:r>
              <w:rPr>
                <w:rFonts w:ascii="Arial" w:cs="Arial" w:eastAsia="Arial" w:hAnsi="Arial"/>
                <w:sz w:val="20"/>
                <w:szCs w:val="20"/>
                <w:b w:val="1"/>
                <w:bCs w:val="1"/>
                <w:color w:val="auto"/>
              </w:rPr>
              <w:t>9.8</w:t>
            </w:r>
          </w:p>
        </w:tc>
      </w:tr>
      <w:tr>
        <w:trPr>
          <w:trHeight w:val="322"/>
        </w:trPr>
        <w:tc>
          <w:tcPr>
            <w:tcW w:w="40" w:type="dxa"/>
            <w:vAlign w:val="bottom"/>
            <w:shd w:val="clear" w:color="auto" w:fill="D2EEF5"/>
          </w:tcPr>
          <w:p>
            <w:pPr>
              <w:spacing w:after="0"/>
              <w:rPr>
                <w:sz w:val="24"/>
                <w:szCs w:val="24"/>
                <w:color w:val="auto"/>
              </w:rPr>
            </w:pPr>
          </w:p>
        </w:tc>
        <w:tc>
          <w:tcPr>
            <w:tcW w:w="566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Trade names</w:t>
            </w:r>
          </w:p>
        </w:tc>
        <w:tc>
          <w:tcPr>
            <w:tcW w:w="45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0.8</w:t>
            </w:r>
          </w:p>
        </w:tc>
      </w:tr>
      <w:tr>
        <w:trPr>
          <w:trHeight w:val="308"/>
        </w:trPr>
        <w:tc>
          <w:tcPr>
            <w:tcW w:w="40" w:type="dxa"/>
            <w:vAlign w:val="bottom"/>
          </w:tcPr>
          <w:p>
            <w:pPr>
              <w:spacing w:after="0"/>
              <w:rPr>
                <w:sz w:val="24"/>
                <w:szCs w:val="24"/>
                <w:color w:val="auto"/>
              </w:rPr>
            </w:pPr>
          </w:p>
        </w:tc>
        <w:tc>
          <w:tcPr>
            <w:tcW w:w="5660" w:type="dxa"/>
            <w:vAlign w:val="bottom"/>
            <w:gridSpan w:val="2"/>
          </w:tcPr>
          <w:p>
            <w:pPr>
              <w:spacing w:after="0"/>
              <w:rPr>
                <w:sz w:val="20"/>
                <w:szCs w:val="20"/>
                <w:color w:val="auto"/>
              </w:rPr>
            </w:pPr>
            <w:r>
              <w:rPr>
                <w:rFonts w:ascii="Arial" w:cs="Arial" w:eastAsia="Arial" w:hAnsi="Arial"/>
                <w:sz w:val="20"/>
                <w:szCs w:val="20"/>
                <w:color w:val="auto"/>
              </w:rPr>
              <w:t>Land-use rights</w:t>
            </w:r>
          </w:p>
        </w:tc>
        <w:tc>
          <w:tcPr>
            <w:tcW w:w="4500" w:type="dxa"/>
            <w:vAlign w:val="bottom"/>
          </w:tcPr>
          <w:p>
            <w:pPr>
              <w:jc w:val="right"/>
              <w:spacing w:after="0"/>
              <w:rPr>
                <w:sz w:val="20"/>
                <w:szCs w:val="20"/>
                <w:color w:val="auto"/>
              </w:rPr>
            </w:pPr>
            <w:r>
              <w:rPr>
                <w:rFonts w:ascii="Arial" w:cs="Arial" w:eastAsia="Arial" w:hAnsi="Arial"/>
                <w:sz w:val="20"/>
                <w:szCs w:val="20"/>
                <w:b w:val="1"/>
                <w:bCs w:val="1"/>
                <w:color w:val="auto"/>
              </w:rPr>
              <w:t>30.7</w:t>
            </w:r>
          </w:p>
        </w:tc>
      </w:tr>
      <w:tr>
        <w:trPr>
          <w:trHeight w:val="321"/>
        </w:trPr>
        <w:tc>
          <w:tcPr>
            <w:tcW w:w="40" w:type="dxa"/>
            <w:vAlign w:val="bottom"/>
            <w:shd w:val="clear" w:color="auto" w:fill="D2EEF5"/>
          </w:tcPr>
          <w:p>
            <w:pPr>
              <w:spacing w:after="0"/>
              <w:rPr>
                <w:sz w:val="24"/>
                <w:szCs w:val="24"/>
                <w:color w:val="auto"/>
              </w:rPr>
            </w:pPr>
          </w:p>
        </w:tc>
        <w:tc>
          <w:tcPr>
            <w:tcW w:w="566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Sealed source and supply agreements</w:t>
            </w:r>
          </w:p>
        </w:tc>
        <w:tc>
          <w:tcPr>
            <w:tcW w:w="45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9.0</w:t>
            </w:r>
          </w:p>
        </w:tc>
      </w:tr>
      <w:tr>
        <w:trPr>
          <w:trHeight w:val="302"/>
        </w:trPr>
        <w:tc>
          <w:tcPr>
            <w:tcW w:w="40" w:type="dxa"/>
            <w:vAlign w:val="bottom"/>
          </w:tcPr>
          <w:p>
            <w:pPr>
              <w:spacing w:after="0"/>
              <w:rPr>
                <w:sz w:val="24"/>
                <w:szCs w:val="24"/>
                <w:color w:val="auto"/>
              </w:rPr>
            </w:pPr>
          </w:p>
        </w:tc>
        <w:tc>
          <w:tcPr>
            <w:tcW w:w="5660" w:type="dxa"/>
            <w:vAlign w:val="bottom"/>
            <w:gridSpan w:val="2"/>
          </w:tcPr>
          <w:p>
            <w:pPr>
              <w:spacing w:after="0"/>
              <w:rPr>
                <w:sz w:val="20"/>
                <w:szCs w:val="20"/>
                <w:color w:val="auto"/>
              </w:rPr>
            </w:pPr>
            <w:r>
              <w:rPr>
                <w:rFonts w:ascii="Arial" w:cs="Arial" w:eastAsia="Arial" w:hAnsi="Arial"/>
                <w:sz w:val="20"/>
                <w:szCs w:val="20"/>
                <w:color w:val="auto"/>
              </w:rPr>
              <w:t>Other</w:t>
            </w:r>
          </w:p>
        </w:tc>
        <w:tc>
          <w:tcPr>
            <w:tcW w:w="4500" w:type="dxa"/>
            <w:vAlign w:val="bottom"/>
          </w:tcPr>
          <w:p>
            <w:pPr>
              <w:jc w:val="right"/>
              <w:spacing w:after="0"/>
              <w:rPr>
                <w:sz w:val="20"/>
                <w:szCs w:val="20"/>
                <w:color w:val="auto"/>
              </w:rPr>
            </w:pPr>
            <w:r>
              <w:rPr>
                <w:rFonts w:ascii="Arial" w:cs="Arial" w:eastAsia="Arial" w:hAnsi="Arial"/>
                <w:sz w:val="20"/>
                <w:szCs w:val="20"/>
                <w:b w:val="1"/>
                <w:bCs w:val="1"/>
                <w:color w:val="auto"/>
              </w:rPr>
              <w:t>0.8</w:t>
            </w:r>
          </w:p>
        </w:tc>
      </w:tr>
    </w:tbl>
    <w:p>
      <w:pPr>
        <w:spacing w:after="0" w:line="200" w:lineRule="exact"/>
        <w:rPr>
          <w:sz w:val="20"/>
          <w:szCs w:val="20"/>
          <w:color w:val="auto"/>
        </w:rPr>
      </w:pPr>
    </w:p>
    <w:p>
      <w:pPr>
        <w:sectPr>
          <w:pgSz w:w="11880" w:h="15480" w:orient="portrait"/>
          <w:cols w:equalWidth="0" w:num="1">
            <w:col w:w="10270"/>
          </w:cols>
          <w:pgMar w:left="81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10270"/>
          </w:cols>
          <w:pgMar w:left="810" w:top="422" w:right="800" w:bottom="0" w:gutter="0" w:footer="0" w:header="0"/>
          <w:type w:val="continuous"/>
        </w:sectPr>
      </w:pPr>
    </w:p>
    <w:bookmarkStart w:id="87" w:name="page88"/>
    <w:bookmarkEnd w:id="87"/>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353" w:lineRule="exact"/>
        <w:rPr>
          <w:sz w:val="20"/>
          <w:szCs w:val="20"/>
          <w:color w:val="auto"/>
        </w:rPr>
      </w:pPr>
    </w:p>
    <w:p>
      <w:pPr>
        <w:ind w:left="370" w:hanging="370"/>
        <w:spacing w:after="0"/>
        <w:tabs>
          <w:tab w:leader="none" w:pos="37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Accrued Liabilities</w:t>
      </w:r>
    </w:p>
    <w:p>
      <w:pPr>
        <w:spacing w:after="0" w:line="137" w:lineRule="exact"/>
        <w:rPr>
          <w:sz w:val="20"/>
          <w:szCs w:val="20"/>
          <w:color w:val="auto"/>
        </w:rPr>
      </w:pPr>
    </w:p>
    <w:p>
      <w:pPr>
        <w:ind w:left="10"/>
        <w:spacing w:after="0"/>
        <w:rPr>
          <w:sz w:val="20"/>
          <w:szCs w:val="20"/>
          <w:color w:val="auto"/>
        </w:rPr>
      </w:pPr>
      <w:r>
        <w:rPr>
          <w:rFonts w:ascii="Arial" w:cs="Arial" w:eastAsia="Arial" w:hAnsi="Arial"/>
          <w:sz w:val="20"/>
          <w:szCs w:val="20"/>
          <w:color w:val="auto"/>
        </w:rPr>
        <w:t>Accrued liabilities consisted of the following:</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280" w:type="dxa"/>
            <w:vAlign w:val="bottom"/>
            <w:gridSpan w:val="4"/>
          </w:tcPr>
          <w:p>
            <w:pPr>
              <w:spacing w:after="0"/>
              <w:rPr>
                <w:sz w:val="20"/>
                <w:szCs w:val="20"/>
                <w:color w:val="auto"/>
              </w:rPr>
            </w:pPr>
            <w:r>
              <w:rPr>
                <w:rFonts w:ascii="Arial" w:cs="Arial" w:eastAsia="Arial" w:hAnsi="Arial"/>
                <w:sz w:val="16"/>
                <w:szCs w:val="16"/>
                <w:b w:val="1"/>
                <w:bCs w:val="1"/>
                <w:color w:val="auto"/>
              </w:rPr>
              <w:t>As of December 31,</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4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4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360" w:type="dxa"/>
            <w:vAlign w:val="bottom"/>
            <w:tcBorders>
              <w:bottom w:val="single" w:sz="8" w:color="D2EEF5"/>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254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D2EEF5"/>
            </w:tcBorders>
          </w:tcPr>
          <w:p>
            <w:pPr>
              <w:spacing w:after="0" w:line="20" w:lineRule="exact"/>
              <w:rPr>
                <w:sz w:val="1"/>
                <w:szCs w:val="1"/>
                <w:color w:val="auto"/>
              </w:rPr>
            </w:pPr>
          </w:p>
        </w:tc>
        <w:tc>
          <w:tcPr>
            <w:tcW w:w="1220" w:type="dxa"/>
            <w:vAlign w:val="bottom"/>
            <w:tcBorders>
              <w:bottom w:val="single" w:sz="8" w:color="D2EEF5"/>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D2EEF5"/>
            </w:tcBorders>
          </w:tcPr>
          <w:p>
            <w:pPr>
              <w:spacing w:after="0" w:line="20" w:lineRule="exact"/>
              <w:rPr>
                <w:sz w:val="1"/>
                <w:szCs w:val="1"/>
                <w:color w:val="auto"/>
              </w:rPr>
            </w:pPr>
          </w:p>
        </w:tc>
        <w:tc>
          <w:tcPr>
            <w:tcW w:w="1220" w:type="dxa"/>
            <w:vAlign w:val="bottom"/>
            <w:tcBorders>
              <w:bottom w:val="single" w:sz="8" w:color="D2EEF5"/>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40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4280" w:type="dxa"/>
            <w:vAlign w:val="bottom"/>
            <w:gridSpan w:val="4"/>
            <w:shd w:val="clear" w:color="auto" w:fill="D2EEF5"/>
          </w:tcPr>
          <w:p>
            <w:pPr>
              <w:spacing w:after="0"/>
              <w:rPr>
                <w:sz w:val="20"/>
                <w:szCs w:val="20"/>
                <w:color w:val="auto"/>
              </w:rPr>
            </w:pPr>
            <w:r>
              <w:rPr>
                <w:rFonts w:ascii="Arial" w:cs="Arial" w:eastAsia="Arial" w:hAnsi="Arial"/>
                <w:sz w:val="20"/>
                <w:szCs w:val="20"/>
                <w:color w:val="auto"/>
              </w:rPr>
              <w:t>Accrued employee compensation</w:t>
            </w:r>
          </w:p>
        </w:tc>
        <w:tc>
          <w:tcPr>
            <w:tcW w:w="160" w:type="dxa"/>
            <w:vAlign w:val="bottom"/>
            <w:shd w:val="clear" w:color="auto" w:fill="D2EEF5"/>
          </w:tcPr>
          <w:p>
            <w:pPr>
              <w:spacing w:after="0"/>
              <w:rPr>
                <w:sz w:val="23"/>
                <w:szCs w:val="23"/>
                <w:color w:val="auto"/>
              </w:rPr>
            </w:pPr>
          </w:p>
        </w:tc>
        <w:tc>
          <w:tcPr>
            <w:tcW w:w="122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22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400" w:type="dxa"/>
            <w:vAlign w:val="bottom"/>
            <w:shd w:val="clear" w:color="auto" w:fill="D2EEF5"/>
          </w:tcPr>
          <w:p>
            <w:pPr>
              <w:spacing w:after="0"/>
              <w:rPr>
                <w:sz w:val="23"/>
                <w:szCs w:val="23"/>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gridSpan w:val="2"/>
            <w:shd w:val="clear" w:color="auto" w:fill="D2EEF5"/>
          </w:tcPr>
          <w:p>
            <w:pPr>
              <w:jc w:val="right"/>
              <w:ind w:right="20"/>
              <w:spacing w:after="0"/>
              <w:rPr>
                <w:sz w:val="20"/>
                <w:szCs w:val="20"/>
                <w:color w:val="auto"/>
              </w:rPr>
            </w:pPr>
            <w:r>
              <w:rPr>
                <w:rFonts w:ascii="Arial" w:cs="Arial" w:eastAsia="Arial" w:hAnsi="Arial"/>
                <w:sz w:val="20"/>
                <w:szCs w:val="20"/>
                <w:b w:val="1"/>
                <w:bCs w:val="1"/>
                <w:color w:val="auto"/>
              </w:rPr>
              <w:t>43,543</w:t>
            </w:r>
          </w:p>
        </w:tc>
        <w:tc>
          <w:tcPr>
            <w:tcW w:w="8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37,018</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280" w:type="dxa"/>
            <w:vAlign w:val="bottom"/>
            <w:gridSpan w:val="4"/>
          </w:tcPr>
          <w:p>
            <w:pPr>
              <w:spacing w:after="0"/>
              <w:rPr>
                <w:sz w:val="20"/>
                <w:szCs w:val="20"/>
                <w:color w:val="auto"/>
              </w:rPr>
            </w:pPr>
            <w:r>
              <w:rPr>
                <w:rFonts w:ascii="Arial" w:cs="Arial" w:eastAsia="Arial" w:hAnsi="Arial"/>
                <w:sz w:val="20"/>
                <w:szCs w:val="20"/>
                <w:color w:val="auto"/>
              </w:rPr>
              <w:t>Reserve for Illinois EO litigation settlements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34,000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4280" w:type="dxa"/>
            <w:vAlign w:val="bottom"/>
            <w:gridSpan w:val="4"/>
            <w:shd w:val="clear" w:color="auto" w:fill="D2EEF5"/>
          </w:tcPr>
          <w:p>
            <w:pPr>
              <w:spacing w:after="0"/>
              <w:rPr>
                <w:sz w:val="20"/>
                <w:szCs w:val="20"/>
                <w:color w:val="auto"/>
              </w:rPr>
            </w:pPr>
            <w:r>
              <w:rPr>
                <w:rFonts w:ascii="Arial" w:cs="Arial" w:eastAsia="Arial" w:hAnsi="Arial"/>
                <w:sz w:val="20"/>
                <w:szCs w:val="20"/>
                <w:color w:val="auto"/>
              </w:rPr>
              <w:t>Accrued interest expense</w:t>
            </w:r>
          </w:p>
        </w:tc>
        <w:tc>
          <w:tcPr>
            <w:tcW w:w="160" w:type="dxa"/>
            <w:vAlign w:val="bottom"/>
            <w:shd w:val="clear" w:color="auto" w:fill="D2EEF5"/>
          </w:tcPr>
          <w:p>
            <w:pPr>
              <w:spacing w:after="0"/>
              <w:rPr>
                <w:sz w:val="24"/>
                <w:szCs w:val="24"/>
                <w:color w:val="auto"/>
              </w:rPr>
            </w:pPr>
          </w:p>
        </w:tc>
        <w:tc>
          <w:tcPr>
            <w:tcW w:w="12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2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4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00" w:type="dxa"/>
            <w:vAlign w:val="bottom"/>
            <w:gridSpan w:val="2"/>
            <w:shd w:val="clear" w:color="auto" w:fill="D2EEF5"/>
          </w:tcPr>
          <w:p>
            <w:pPr>
              <w:jc w:val="right"/>
              <w:ind w:right="20"/>
              <w:spacing w:after="0"/>
              <w:rPr>
                <w:sz w:val="20"/>
                <w:szCs w:val="20"/>
                <w:color w:val="auto"/>
              </w:rPr>
            </w:pPr>
            <w:r>
              <w:rPr>
                <w:rFonts w:ascii="Arial" w:cs="Arial" w:eastAsia="Arial" w:hAnsi="Arial"/>
                <w:sz w:val="20"/>
                <w:szCs w:val="20"/>
                <w:b w:val="1"/>
                <w:bCs w:val="1"/>
                <w:color w:val="auto"/>
              </w:rPr>
              <w:t>20,543</w:t>
            </w:r>
          </w:p>
        </w:tc>
        <w:tc>
          <w:tcPr>
            <w:tcW w:w="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25,321</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280" w:type="dxa"/>
            <w:vAlign w:val="bottom"/>
            <w:gridSpan w:val="4"/>
          </w:tcPr>
          <w:p>
            <w:pPr>
              <w:spacing w:after="0"/>
              <w:rPr>
                <w:sz w:val="20"/>
                <w:szCs w:val="20"/>
                <w:color w:val="auto"/>
              </w:rPr>
            </w:pPr>
            <w:r>
              <w:rPr>
                <w:rFonts w:ascii="Arial" w:cs="Arial" w:eastAsia="Arial" w:hAnsi="Arial"/>
                <w:sz w:val="20"/>
                <w:szCs w:val="20"/>
                <w:color w:val="auto"/>
              </w:rPr>
              <w:t>Embedded derivatives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1,872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4,098</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4280" w:type="dxa"/>
            <w:vAlign w:val="bottom"/>
            <w:gridSpan w:val="4"/>
            <w:shd w:val="clear" w:color="auto" w:fill="D2EEF5"/>
          </w:tcPr>
          <w:p>
            <w:pPr>
              <w:spacing w:after="0"/>
              <w:rPr>
                <w:sz w:val="20"/>
                <w:szCs w:val="20"/>
                <w:color w:val="auto"/>
              </w:rPr>
            </w:pPr>
            <w:r>
              <w:rPr>
                <w:rFonts w:ascii="Arial" w:cs="Arial" w:eastAsia="Arial" w:hAnsi="Arial"/>
                <w:sz w:val="20"/>
                <w:szCs w:val="20"/>
                <w:color w:val="auto"/>
              </w:rPr>
              <w:t>Professional fees</w:t>
            </w:r>
          </w:p>
        </w:tc>
        <w:tc>
          <w:tcPr>
            <w:tcW w:w="160" w:type="dxa"/>
            <w:vAlign w:val="bottom"/>
            <w:shd w:val="clear" w:color="auto" w:fill="D2EEF5"/>
          </w:tcPr>
          <w:p>
            <w:pPr>
              <w:spacing w:after="0"/>
              <w:rPr>
                <w:sz w:val="24"/>
                <w:szCs w:val="24"/>
                <w:color w:val="auto"/>
              </w:rPr>
            </w:pPr>
          </w:p>
        </w:tc>
        <w:tc>
          <w:tcPr>
            <w:tcW w:w="12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2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4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00" w:type="dxa"/>
            <w:vAlign w:val="bottom"/>
            <w:gridSpan w:val="2"/>
            <w:shd w:val="clear" w:color="auto" w:fill="D2EEF5"/>
          </w:tcPr>
          <w:p>
            <w:pPr>
              <w:jc w:val="right"/>
              <w:ind w:right="20"/>
              <w:spacing w:after="0"/>
              <w:rPr>
                <w:sz w:val="20"/>
                <w:szCs w:val="20"/>
                <w:color w:val="auto"/>
              </w:rPr>
            </w:pPr>
            <w:r>
              <w:rPr>
                <w:rFonts w:ascii="Arial" w:cs="Arial" w:eastAsia="Arial" w:hAnsi="Arial"/>
                <w:sz w:val="20"/>
                <w:szCs w:val="20"/>
                <w:b w:val="1"/>
                <w:bCs w:val="1"/>
                <w:color w:val="auto"/>
              </w:rPr>
              <w:t>10,483</w:t>
            </w:r>
          </w:p>
        </w:tc>
        <w:tc>
          <w:tcPr>
            <w:tcW w:w="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12,572</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280" w:type="dxa"/>
            <w:vAlign w:val="bottom"/>
            <w:gridSpan w:val="4"/>
          </w:tcPr>
          <w:p>
            <w:pPr>
              <w:spacing w:after="0"/>
              <w:rPr>
                <w:sz w:val="20"/>
                <w:szCs w:val="20"/>
                <w:color w:val="auto"/>
              </w:rPr>
            </w:pPr>
            <w:r>
              <w:rPr>
                <w:rFonts w:ascii="Arial" w:cs="Arial" w:eastAsia="Arial" w:hAnsi="Arial"/>
                <w:sz w:val="20"/>
                <w:szCs w:val="20"/>
                <w:color w:val="auto"/>
              </w:rPr>
              <w:t>Accrued utilities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1,786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1,651</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4280" w:type="dxa"/>
            <w:vAlign w:val="bottom"/>
            <w:gridSpan w:val="4"/>
            <w:shd w:val="clear" w:color="auto" w:fill="D2EEF5"/>
          </w:tcPr>
          <w:p>
            <w:pPr>
              <w:spacing w:after="0"/>
              <w:rPr>
                <w:sz w:val="20"/>
                <w:szCs w:val="20"/>
                <w:color w:val="auto"/>
              </w:rPr>
            </w:pPr>
            <w:r>
              <w:rPr>
                <w:rFonts w:ascii="Arial" w:cs="Arial" w:eastAsia="Arial" w:hAnsi="Arial"/>
                <w:sz w:val="20"/>
                <w:szCs w:val="20"/>
                <w:color w:val="auto"/>
              </w:rPr>
              <w:t>Insurance accrual</w:t>
            </w:r>
          </w:p>
        </w:tc>
        <w:tc>
          <w:tcPr>
            <w:tcW w:w="160" w:type="dxa"/>
            <w:vAlign w:val="bottom"/>
            <w:shd w:val="clear" w:color="auto" w:fill="D2EEF5"/>
          </w:tcPr>
          <w:p>
            <w:pPr>
              <w:spacing w:after="0"/>
              <w:rPr>
                <w:sz w:val="24"/>
                <w:szCs w:val="24"/>
                <w:color w:val="auto"/>
              </w:rPr>
            </w:pPr>
          </w:p>
        </w:tc>
        <w:tc>
          <w:tcPr>
            <w:tcW w:w="12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2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4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00" w:type="dxa"/>
            <w:vAlign w:val="bottom"/>
            <w:gridSpan w:val="2"/>
            <w:shd w:val="clear" w:color="auto" w:fill="D2EEF5"/>
          </w:tcPr>
          <w:p>
            <w:pPr>
              <w:jc w:val="right"/>
              <w:ind w:right="20"/>
              <w:spacing w:after="0"/>
              <w:rPr>
                <w:sz w:val="20"/>
                <w:szCs w:val="20"/>
                <w:color w:val="auto"/>
              </w:rPr>
            </w:pPr>
            <w:r>
              <w:rPr>
                <w:rFonts w:ascii="Arial" w:cs="Arial" w:eastAsia="Arial" w:hAnsi="Arial"/>
                <w:sz w:val="20"/>
                <w:szCs w:val="20"/>
                <w:b w:val="1"/>
                <w:bCs w:val="1"/>
                <w:color w:val="auto"/>
              </w:rPr>
              <w:t>2,131</w:t>
            </w:r>
          </w:p>
        </w:tc>
        <w:tc>
          <w:tcPr>
            <w:tcW w:w="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2,326</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280" w:type="dxa"/>
            <w:vAlign w:val="bottom"/>
            <w:gridSpan w:val="4"/>
          </w:tcPr>
          <w:p>
            <w:pPr>
              <w:spacing w:after="0"/>
              <w:rPr>
                <w:sz w:val="20"/>
                <w:szCs w:val="20"/>
                <w:color w:val="auto"/>
              </w:rPr>
            </w:pPr>
            <w:r>
              <w:rPr>
                <w:rFonts w:ascii="Arial" w:cs="Arial" w:eastAsia="Arial" w:hAnsi="Arial"/>
                <w:sz w:val="20"/>
                <w:szCs w:val="20"/>
                <w:color w:val="auto"/>
              </w:rPr>
              <w:t>Accrued taxes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3,287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3,923</w:t>
            </w:r>
          </w:p>
        </w:tc>
        <w:tc>
          <w:tcPr>
            <w:tcW w:w="0" w:type="dxa"/>
            <w:vAlign w:val="bottom"/>
          </w:tcPr>
          <w:p>
            <w:pPr>
              <w:spacing w:after="0"/>
              <w:rPr>
                <w:sz w:val="1"/>
                <w:szCs w:val="1"/>
                <w:color w:val="auto"/>
              </w:rPr>
            </w:pP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4280" w:type="dxa"/>
            <w:vAlign w:val="bottom"/>
            <w:tcBorders>
              <w:bottom w:val="single" w:sz="8" w:color="D2EEF5"/>
            </w:tcBorders>
            <w:gridSpan w:val="4"/>
            <w:shd w:val="clear" w:color="auto" w:fill="D2EEF5"/>
          </w:tcPr>
          <w:p>
            <w:pPr>
              <w:spacing w:after="0"/>
              <w:rPr>
                <w:sz w:val="20"/>
                <w:szCs w:val="20"/>
                <w:color w:val="auto"/>
              </w:rPr>
            </w:pPr>
            <w:r>
              <w:rPr>
                <w:rFonts w:ascii="Arial" w:cs="Arial" w:eastAsia="Arial" w:hAnsi="Arial"/>
                <w:sz w:val="20"/>
                <w:szCs w:val="20"/>
                <w:color w:val="auto"/>
              </w:rPr>
              <w:t>Other</w:t>
            </w:r>
          </w:p>
        </w:tc>
        <w:tc>
          <w:tcPr>
            <w:tcW w:w="160" w:type="dxa"/>
            <w:vAlign w:val="bottom"/>
            <w:tcBorders>
              <w:bottom w:val="single" w:sz="8" w:color="D2EEF5"/>
            </w:tcBorders>
            <w:shd w:val="clear" w:color="auto" w:fill="D2EEF5"/>
          </w:tcPr>
          <w:p>
            <w:pPr>
              <w:spacing w:after="0"/>
              <w:rPr>
                <w:sz w:val="24"/>
                <w:szCs w:val="24"/>
                <w:color w:val="auto"/>
              </w:rPr>
            </w:pPr>
          </w:p>
        </w:tc>
        <w:tc>
          <w:tcPr>
            <w:tcW w:w="1220" w:type="dxa"/>
            <w:vAlign w:val="bottom"/>
            <w:tcBorders>
              <w:bottom w:val="single" w:sz="8" w:color="D2EEF5"/>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180" w:type="dxa"/>
            <w:vAlign w:val="bottom"/>
            <w:tcBorders>
              <w:bottom w:val="single" w:sz="8" w:color="D2EEF5"/>
            </w:tcBorders>
            <w:shd w:val="clear" w:color="auto" w:fill="D2EEF5"/>
          </w:tcPr>
          <w:p>
            <w:pPr>
              <w:spacing w:after="0"/>
              <w:rPr>
                <w:sz w:val="24"/>
                <w:szCs w:val="24"/>
                <w:color w:val="auto"/>
              </w:rPr>
            </w:pPr>
          </w:p>
        </w:tc>
        <w:tc>
          <w:tcPr>
            <w:tcW w:w="1220" w:type="dxa"/>
            <w:vAlign w:val="bottom"/>
            <w:tcBorders>
              <w:bottom w:val="single" w:sz="8" w:color="D2EEF5"/>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40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00" w:type="dxa"/>
            <w:vAlign w:val="bottom"/>
            <w:tcBorders>
              <w:bottom w:val="single" w:sz="8" w:color="auto"/>
            </w:tcBorders>
            <w:gridSpan w:val="2"/>
            <w:shd w:val="clear" w:color="auto" w:fill="D2EEF5"/>
          </w:tcPr>
          <w:p>
            <w:pPr>
              <w:jc w:val="right"/>
              <w:ind w:right="20"/>
              <w:spacing w:after="0"/>
              <w:rPr>
                <w:sz w:val="20"/>
                <w:szCs w:val="20"/>
                <w:color w:val="auto"/>
              </w:rPr>
            </w:pPr>
            <w:r>
              <w:rPr>
                <w:rFonts w:ascii="Arial" w:cs="Arial" w:eastAsia="Arial" w:hAnsi="Arial"/>
                <w:sz w:val="20"/>
                <w:szCs w:val="20"/>
                <w:b w:val="1"/>
                <w:bCs w:val="1"/>
                <w:color w:val="auto"/>
              </w:rPr>
              <w:t>7,091</w:t>
            </w:r>
          </w:p>
        </w:tc>
        <w:tc>
          <w:tcPr>
            <w:tcW w:w="80" w:type="dxa"/>
            <w:vAlign w:val="bottom"/>
            <w:tcBorders>
              <w:bottom w:val="single" w:sz="8" w:color="auto"/>
            </w:tcBorders>
            <w:shd w:val="clear" w:color="auto" w:fill="D2EEF5"/>
          </w:tcPr>
          <w:p>
            <w:pPr>
              <w:spacing w:after="0"/>
              <w:rPr>
                <w:sz w:val="24"/>
                <w:szCs w:val="24"/>
                <w:color w:val="auto"/>
              </w:rPr>
            </w:pP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20"/>
                <w:szCs w:val="20"/>
                <w:color w:val="auto"/>
              </w:rPr>
              <w:t>3,554</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280" w:type="dxa"/>
            <w:vAlign w:val="bottom"/>
            <w:gridSpan w:val="4"/>
          </w:tcPr>
          <w:p>
            <w:pPr>
              <w:spacing w:after="0" w:line="227" w:lineRule="exact"/>
              <w:rPr>
                <w:sz w:val="20"/>
                <w:szCs w:val="20"/>
                <w:color w:val="auto"/>
              </w:rPr>
            </w:pPr>
            <w:r>
              <w:rPr>
                <w:rFonts w:ascii="Arial" w:cs="Arial" w:eastAsia="Arial" w:hAnsi="Arial"/>
                <w:sz w:val="20"/>
                <w:szCs w:val="20"/>
                <w:b w:val="1"/>
                <w:bCs w:val="1"/>
                <w:color w:val="auto"/>
              </w:rPr>
              <w:t>Accrued liabilities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gridSpan w:val="2"/>
          </w:tcPr>
          <w:p>
            <w:pPr>
              <w:jc w:val="right"/>
              <w:ind w:right="20"/>
              <w:spacing w:after="0" w:line="227" w:lineRule="exact"/>
              <w:rPr>
                <w:sz w:val="20"/>
                <w:szCs w:val="20"/>
                <w:color w:val="auto"/>
              </w:rPr>
            </w:pPr>
            <w:r>
              <w:rPr>
                <w:rFonts w:ascii="Arial" w:cs="Arial" w:eastAsia="Arial" w:hAnsi="Arial"/>
                <w:sz w:val="20"/>
                <w:szCs w:val="20"/>
                <w:b w:val="1"/>
                <w:bCs w:val="1"/>
                <w:color w:val="auto"/>
              </w:rPr>
              <w:t>124,736</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1"/>
              <w:spacing w:after="0" w:line="227" w:lineRule="exact"/>
              <w:rPr>
                <w:sz w:val="20"/>
                <w:szCs w:val="20"/>
                <w:color w:val="auto"/>
              </w:rPr>
            </w:pPr>
            <w:r>
              <w:rPr>
                <w:rFonts w:ascii="Arial" w:cs="Arial" w:eastAsia="Arial" w:hAnsi="Arial"/>
                <w:sz w:val="20"/>
                <w:szCs w:val="20"/>
                <w:color w:val="auto"/>
              </w:rPr>
              <w:t>90,463</w:t>
            </w:r>
          </w:p>
        </w:tc>
        <w:tc>
          <w:tcPr>
            <w:tcW w:w="0" w:type="dxa"/>
            <w:vAlign w:val="bottom"/>
          </w:tcPr>
          <w:p>
            <w:pPr>
              <w:spacing w:after="0"/>
              <w:rPr>
                <w:sz w:val="1"/>
                <w:szCs w:val="1"/>
                <w:color w:val="auto"/>
              </w:rPr>
            </w:pPr>
          </w:p>
        </w:tc>
      </w:tr>
      <w:tr>
        <w:trPr>
          <w:trHeight w:val="20"/>
        </w:trPr>
        <w:tc>
          <w:tcPr>
            <w:tcW w:w="4320" w:type="dxa"/>
            <w:vAlign w:val="bottom"/>
            <w:gridSpan w:val="5"/>
            <w:vMerge w:val="restart"/>
          </w:tcPr>
          <w:p>
            <w:pPr>
              <w:spacing w:after="0"/>
              <w:rPr>
                <w:sz w:val="20"/>
                <w:szCs w:val="20"/>
                <w:color w:val="auto"/>
              </w:rPr>
            </w:pPr>
            <w:r>
              <w:rPr>
                <w:rFonts w:ascii="Arial" w:cs="Arial" w:eastAsia="Arial" w:hAnsi="Arial"/>
                <w:sz w:val="20"/>
                <w:szCs w:val="20"/>
                <w:b w:val="1"/>
                <w:bCs w:val="1"/>
                <w:color w:val="auto"/>
              </w:rPr>
              <w:t>9.  Long-Term Debt</w:t>
            </w: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43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320" w:type="dxa"/>
            <w:vAlign w:val="bottom"/>
            <w:gridSpan w:val="5"/>
          </w:tcPr>
          <w:p>
            <w:pPr>
              <w:spacing w:after="0"/>
              <w:rPr>
                <w:sz w:val="20"/>
                <w:szCs w:val="20"/>
                <w:color w:val="auto"/>
              </w:rPr>
            </w:pPr>
            <w:r>
              <w:rPr>
                <w:rFonts w:ascii="Arial" w:cs="Arial" w:eastAsia="Arial" w:hAnsi="Arial"/>
                <w:sz w:val="20"/>
                <w:szCs w:val="20"/>
                <w:color w:val="auto"/>
              </w:rPr>
              <w:t>Long-term debt consisted of the following:</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0" w:type="dxa"/>
            <w:vAlign w:val="bottom"/>
          </w:tcPr>
          <w:p>
            <w:pPr>
              <w:spacing w:after="0"/>
              <w:rPr>
                <w:sz w:val="24"/>
                <w:szCs w:val="24"/>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28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As of December 31, 2025</w:t>
            </w:r>
          </w:p>
        </w:tc>
        <w:tc>
          <w:tcPr>
            <w:tcW w:w="160" w:type="dxa"/>
            <w:vAlign w:val="bottom"/>
          </w:tcPr>
          <w:p>
            <w:pPr>
              <w:spacing w:after="0"/>
              <w:rPr>
                <w:sz w:val="18"/>
                <w:szCs w:val="18"/>
                <w:color w:val="auto"/>
              </w:rPr>
            </w:pPr>
          </w:p>
        </w:tc>
        <w:tc>
          <w:tcPr>
            <w:tcW w:w="122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w w:val="89"/>
              </w:rPr>
              <w:t>Gross Amount</w:t>
            </w:r>
          </w:p>
        </w:tc>
        <w:tc>
          <w:tcPr>
            <w:tcW w:w="1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w w:val="96"/>
              </w:rPr>
              <w:t>Unamortized Debt</w:t>
            </w:r>
          </w:p>
        </w:tc>
        <w:tc>
          <w:tcPr>
            <w:tcW w:w="1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6"/>
                <w:szCs w:val="16"/>
                <w:b w:val="1"/>
                <w:bCs w:val="1"/>
                <w:color w:val="auto"/>
              </w:rPr>
              <w:t>Unamortized Debt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181"/>
              <w:spacing w:after="0"/>
              <w:rPr>
                <w:sz w:val="20"/>
                <w:szCs w:val="20"/>
                <w:color w:val="auto"/>
              </w:rPr>
            </w:pPr>
            <w:r>
              <w:rPr>
                <w:rFonts w:ascii="Arial" w:cs="Arial" w:eastAsia="Arial" w:hAnsi="Arial"/>
                <w:sz w:val="16"/>
                <w:szCs w:val="16"/>
                <w:b w:val="1"/>
                <w:bCs w:val="1"/>
                <w:color w:val="auto"/>
                <w:w w:val="99"/>
              </w:rPr>
              <w:t>Net Amount</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2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03"/>
              <w:spacing w:after="0" w:line="174" w:lineRule="exact"/>
              <w:rPr>
                <w:sz w:val="20"/>
                <w:szCs w:val="20"/>
                <w:color w:val="auto"/>
              </w:rPr>
            </w:pPr>
            <w:r>
              <w:rPr>
                <w:rFonts w:ascii="Arial" w:cs="Arial" w:eastAsia="Arial" w:hAnsi="Arial"/>
                <w:sz w:val="16"/>
                <w:szCs w:val="16"/>
                <w:b w:val="1"/>
                <w:bCs w:val="1"/>
                <w:color w:val="auto"/>
                <w:w w:val="85"/>
              </w:rPr>
              <w:t>Issuance Costs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3"/>
          </w:tcPr>
          <w:p>
            <w:pPr>
              <w:jc w:val="right"/>
              <w:ind w:right="520"/>
              <w:spacing w:after="0" w:line="174" w:lineRule="exact"/>
              <w:rPr>
                <w:sz w:val="20"/>
                <w:szCs w:val="20"/>
                <w:color w:val="auto"/>
              </w:rPr>
            </w:pPr>
            <w:r>
              <w:rPr>
                <w:rFonts w:ascii="Arial" w:cs="Arial" w:eastAsia="Arial" w:hAnsi="Arial"/>
                <w:sz w:val="16"/>
                <w:szCs w:val="16"/>
                <w:b w:val="1"/>
                <w:bCs w:val="1"/>
                <w:color w:val="auto"/>
                <w:w w:val="84"/>
              </w:rPr>
              <w:t>Discount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360" w:type="dxa"/>
            <w:vAlign w:val="bottom"/>
            <w:tcBorders>
              <w:top w:val="single" w:sz="8" w:color="auto"/>
              <w:bottom w:val="single" w:sz="8" w:color="D2EEF5"/>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254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4280" w:type="dxa"/>
            <w:vAlign w:val="bottom"/>
            <w:gridSpan w:val="4"/>
            <w:shd w:val="clear" w:color="auto" w:fill="D2EEF5"/>
          </w:tcPr>
          <w:p>
            <w:pPr>
              <w:spacing w:after="0"/>
              <w:rPr>
                <w:sz w:val="20"/>
                <w:szCs w:val="20"/>
                <w:color w:val="auto"/>
              </w:rPr>
            </w:pPr>
            <w:r>
              <w:rPr>
                <w:rFonts w:ascii="Arial" w:cs="Arial" w:eastAsia="Arial" w:hAnsi="Arial"/>
                <w:sz w:val="20"/>
                <w:szCs w:val="20"/>
                <w:color w:val="auto"/>
              </w:rPr>
              <w:t>Secured notes due 2031</w:t>
            </w:r>
          </w:p>
        </w:tc>
        <w:tc>
          <w:tcPr>
            <w:tcW w:w="16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2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750,000</w:t>
            </w: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ind w:left="60"/>
              <w:spacing w:after="0"/>
              <w:rPr>
                <w:sz w:val="20"/>
                <w:szCs w:val="20"/>
                <w:color w:val="auto"/>
              </w:rPr>
            </w:pPr>
            <w:r>
              <w:rPr>
                <w:rFonts w:ascii="Arial" w:cs="Arial" w:eastAsia="Arial" w:hAnsi="Arial"/>
                <w:sz w:val="20"/>
                <w:szCs w:val="20"/>
                <w:b w:val="1"/>
                <w:bCs w:val="1"/>
                <w:color w:val="auto"/>
                <w:w w:val="89"/>
              </w:rPr>
              <w:t>$</w:t>
            </w:r>
          </w:p>
        </w:tc>
        <w:tc>
          <w:tcPr>
            <w:tcW w:w="12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(3,129)</w:t>
            </w:r>
          </w:p>
        </w:tc>
        <w:tc>
          <w:tcPr>
            <w:tcW w:w="120" w:type="dxa"/>
            <w:vAlign w:val="bottom"/>
            <w:shd w:val="clear" w:color="auto" w:fill="D2EEF5"/>
          </w:tcPr>
          <w:p>
            <w:pPr>
              <w:spacing w:after="0"/>
              <w:rPr>
                <w:sz w:val="23"/>
                <w:szCs w:val="23"/>
                <w:color w:val="auto"/>
              </w:rPr>
            </w:pPr>
          </w:p>
        </w:tc>
        <w:tc>
          <w:tcPr>
            <w:tcW w:w="400" w:type="dxa"/>
            <w:vAlign w:val="bottom"/>
            <w:shd w:val="clear" w:color="auto" w:fill="D2EEF5"/>
          </w:tcPr>
          <w:p>
            <w:pPr>
              <w:ind w:left="60"/>
              <w:spacing w:after="0"/>
              <w:rPr>
                <w:sz w:val="20"/>
                <w:szCs w:val="20"/>
                <w:color w:val="auto"/>
              </w:rPr>
            </w:pPr>
            <w:r>
              <w:rPr>
                <w:rFonts w:ascii="Arial" w:cs="Arial" w:eastAsia="Arial" w:hAnsi="Arial"/>
                <w:sz w:val="20"/>
                <w:szCs w:val="20"/>
                <w:b w:val="1"/>
                <w:bCs w:val="1"/>
                <w:color w:val="auto"/>
              </w:rPr>
              <w:t>$</w:t>
            </w:r>
          </w:p>
        </w:tc>
        <w:tc>
          <w:tcPr>
            <w:tcW w:w="220" w:type="dxa"/>
            <w:vAlign w:val="bottom"/>
            <w:shd w:val="clear" w:color="auto" w:fill="D2EEF5"/>
          </w:tcPr>
          <w:p>
            <w:pPr>
              <w:spacing w:after="0"/>
              <w:rPr>
                <w:sz w:val="23"/>
                <w:szCs w:val="23"/>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20" w:type="dxa"/>
            <w:vAlign w:val="bottom"/>
            <w:shd w:val="clear" w:color="auto" w:fill="D2EEF5"/>
          </w:tcPr>
          <w:p>
            <w:pPr>
              <w:spacing w:after="0"/>
              <w:rPr>
                <w:sz w:val="23"/>
                <w:szCs w:val="23"/>
                <w:color w:val="auto"/>
              </w:rPr>
            </w:pPr>
          </w:p>
        </w:tc>
        <w:tc>
          <w:tcPr>
            <w:tcW w:w="200" w:type="dxa"/>
            <w:vAlign w:val="bottom"/>
            <w:gridSpan w:val="2"/>
            <w:shd w:val="clear" w:color="auto" w:fill="D2EEF5"/>
          </w:tcPr>
          <w:p>
            <w:pPr>
              <w:jc w:val="right"/>
              <w:ind w:right="60"/>
              <w:spacing w:after="0"/>
              <w:rPr>
                <w:sz w:val="20"/>
                <w:szCs w:val="20"/>
                <w:color w:val="auto"/>
              </w:rPr>
            </w:pPr>
            <w:r>
              <w:rPr>
                <w:rFonts w:ascii="Arial" w:cs="Arial" w:eastAsia="Arial" w:hAnsi="Arial"/>
                <w:sz w:val="20"/>
                <w:szCs w:val="20"/>
                <w:b w:val="1"/>
                <w:bCs w:val="1"/>
                <w:color w:val="auto"/>
              </w:rPr>
              <w:t>$</w:t>
            </w:r>
          </w:p>
        </w:tc>
        <w:tc>
          <w:tcPr>
            <w:tcW w:w="220" w:type="dxa"/>
            <w:vAlign w:val="bottom"/>
            <w:shd w:val="clear" w:color="auto" w:fill="D2EEF5"/>
          </w:tcPr>
          <w:p>
            <w:pPr>
              <w:spacing w:after="0"/>
              <w:rPr>
                <w:sz w:val="23"/>
                <w:szCs w:val="23"/>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746,871</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4280" w:type="dxa"/>
            <w:vAlign w:val="bottom"/>
            <w:tcBorders>
              <w:bottom w:val="single" w:sz="8" w:color="D2EEF5"/>
            </w:tcBorders>
            <w:gridSpan w:val="4"/>
          </w:tcPr>
          <w:p>
            <w:pPr>
              <w:spacing w:after="0"/>
              <w:rPr>
                <w:sz w:val="20"/>
                <w:szCs w:val="20"/>
                <w:color w:val="auto"/>
              </w:rPr>
            </w:pPr>
            <w:r>
              <w:rPr>
                <w:rFonts w:ascii="Arial" w:cs="Arial" w:eastAsia="Arial" w:hAnsi="Arial"/>
                <w:sz w:val="20"/>
                <w:szCs w:val="20"/>
                <w:color w:val="auto"/>
              </w:rPr>
              <w:t>Term loan due 2031</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1,419,472</w:t>
            </w:r>
          </w:p>
        </w:tc>
        <w:tc>
          <w:tcPr>
            <w:tcW w:w="1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(6,618)</w:t>
            </w:r>
          </w:p>
        </w:tc>
        <w:tc>
          <w:tcPr>
            <w:tcW w:w="120" w:type="dxa"/>
            <w:vAlign w:val="bottom"/>
            <w:tcBorders>
              <w:bottom w:val="single" w:sz="8" w:color="D2EEF5"/>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9"/>
              </w:rPr>
              <w:t>(19,028)</w:t>
            </w:r>
          </w:p>
        </w:tc>
        <w:tc>
          <w:tcPr>
            <w:tcW w:w="120" w:type="dxa"/>
            <w:vAlign w:val="bottom"/>
            <w:tcBorders>
              <w:bottom w:val="single" w:sz="8" w:color="D2EEF5"/>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w w:val="96"/>
              </w:rPr>
              <w:t>1,393,826</w:t>
            </w: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1320" w:type="dxa"/>
            <w:vAlign w:val="bottom"/>
            <w:shd w:val="clear" w:color="auto" w:fill="D2EEF5"/>
          </w:tcPr>
          <w:p>
            <w:pPr>
              <w:spacing w:after="0"/>
              <w:rPr>
                <w:sz w:val="23"/>
                <w:szCs w:val="23"/>
                <w:color w:val="auto"/>
              </w:rPr>
            </w:pPr>
          </w:p>
        </w:tc>
        <w:tc>
          <w:tcPr>
            <w:tcW w:w="36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254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2,169,472</w:t>
            </w: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(9,747)</w:t>
            </w:r>
          </w:p>
        </w:tc>
        <w:tc>
          <w:tcPr>
            <w:tcW w:w="120" w:type="dxa"/>
            <w:vAlign w:val="bottom"/>
            <w:shd w:val="clear" w:color="auto" w:fill="D2EEF5"/>
          </w:tcPr>
          <w:p>
            <w:pPr>
              <w:spacing w:after="0"/>
              <w:rPr>
                <w:sz w:val="23"/>
                <w:szCs w:val="23"/>
                <w:color w:val="auto"/>
              </w:rPr>
            </w:pPr>
          </w:p>
        </w:tc>
        <w:tc>
          <w:tcPr>
            <w:tcW w:w="40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w w:val="99"/>
              </w:rPr>
              <w:t>(19,028)</w:t>
            </w:r>
          </w:p>
        </w:tc>
        <w:tc>
          <w:tcPr>
            <w:tcW w:w="120" w:type="dxa"/>
            <w:vAlign w:val="bottom"/>
            <w:shd w:val="clear" w:color="auto" w:fill="D2EEF5"/>
          </w:tcPr>
          <w:p>
            <w:pPr>
              <w:spacing w:after="0"/>
              <w:rPr>
                <w:sz w:val="23"/>
                <w:szCs w:val="23"/>
                <w:color w:val="auto"/>
              </w:rPr>
            </w:pPr>
          </w:p>
        </w:tc>
        <w:tc>
          <w:tcPr>
            <w:tcW w:w="8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w w:val="96"/>
              </w:rPr>
              <w:t>2,140,697</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4280" w:type="dxa"/>
            <w:vAlign w:val="bottom"/>
            <w:tcBorders>
              <w:bottom w:val="single" w:sz="8" w:color="D2EEF5"/>
            </w:tcBorders>
            <w:gridSpan w:val="4"/>
          </w:tcPr>
          <w:p>
            <w:pPr>
              <w:spacing w:after="0"/>
              <w:rPr>
                <w:sz w:val="20"/>
                <w:szCs w:val="20"/>
                <w:color w:val="auto"/>
              </w:rPr>
            </w:pPr>
            <w:r>
              <w:rPr>
                <w:rFonts w:ascii="Arial" w:cs="Arial" w:eastAsia="Arial" w:hAnsi="Arial"/>
                <w:sz w:val="20"/>
                <w:szCs w:val="20"/>
                <w:color w:val="auto"/>
              </w:rPr>
              <w:t>Less current portion</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14,230</w:t>
            </w:r>
          </w:p>
        </w:tc>
        <w:tc>
          <w:tcPr>
            <w:tcW w:w="1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(66)</w:t>
            </w:r>
          </w:p>
        </w:tc>
        <w:tc>
          <w:tcPr>
            <w:tcW w:w="120" w:type="dxa"/>
            <w:vAlign w:val="bottom"/>
            <w:tcBorders>
              <w:bottom w:val="single" w:sz="8" w:color="D2EEF5"/>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(191)</w:t>
            </w:r>
          </w:p>
        </w:tc>
        <w:tc>
          <w:tcPr>
            <w:tcW w:w="120" w:type="dxa"/>
            <w:vAlign w:val="bottom"/>
            <w:tcBorders>
              <w:bottom w:val="single" w:sz="8" w:color="D2EEF5"/>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13,973</w:t>
            </w:r>
          </w:p>
        </w:tc>
        <w:tc>
          <w:tcPr>
            <w:tcW w:w="0" w:type="dxa"/>
            <w:vAlign w:val="bottom"/>
          </w:tcPr>
          <w:p>
            <w:pPr>
              <w:spacing w:after="0"/>
              <w:rPr>
                <w:sz w:val="1"/>
                <w:szCs w:val="1"/>
                <w:color w:val="auto"/>
              </w:rPr>
            </w:pPr>
          </w:p>
        </w:tc>
      </w:tr>
      <w:tr>
        <w:trPr>
          <w:trHeight w:val="270"/>
        </w:trPr>
        <w:tc>
          <w:tcPr>
            <w:tcW w:w="40" w:type="dxa"/>
            <w:vAlign w:val="bottom"/>
            <w:tcBorders>
              <w:bottom w:val="single" w:sz="8" w:color="D2EEF5"/>
            </w:tcBorders>
            <w:shd w:val="clear" w:color="auto" w:fill="D2EEF5"/>
          </w:tcPr>
          <w:p>
            <w:pPr>
              <w:spacing w:after="0"/>
              <w:rPr>
                <w:sz w:val="23"/>
                <w:szCs w:val="23"/>
                <w:color w:val="auto"/>
              </w:rPr>
            </w:pPr>
          </w:p>
        </w:tc>
        <w:tc>
          <w:tcPr>
            <w:tcW w:w="4280" w:type="dxa"/>
            <w:vAlign w:val="bottom"/>
            <w:tcBorders>
              <w:bottom w:val="single" w:sz="8" w:color="D2EEF5"/>
            </w:tcBorders>
            <w:gridSpan w:val="4"/>
            <w:shd w:val="clear" w:color="auto" w:fill="D2EEF5"/>
          </w:tcPr>
          <w:p>
            <w:pPr>
              <w:spacing w:after="0"/>
              <w:rPr>
                <w:sz w:val="20"/>
                <w:szCs w:val="20"/>
                <w:color w:val="auto"/>
              </w:rPr>
            </w:pPr>
            <w:r>
              <w:rPr>
                <w:rFonts w:ascii="Arial" w:cs="Arial" w:eastAsia="Arial" w:hAnsi="Arial"/>
                <w:sz w:val="20"/>
                <w:szCs w:val="20"/>
                <w:b w:val="1"/>
                <w:bCs w:val="1"/>
                <w:color w:val="auto"/>
              </w:rPr>
              <w:t>Long-term debt</w:t>
            </w: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2,155,242</w:t>
            </w:r>
          </w:p>
        </w:tc>
        <w:tc>
          <w:tcPr>
            <w:tcW w:w="120" w:type="dxa"/>
            <w:vAlign w:val="bottom"/>
            <w:tcBorders>
              <w:bottom w:val="single" w:sz="8" w:color="D2EEF5"/>
            </w:tcBorders>
            <w:shd w:val="clear" w:color="auto" w:fill="D2EEF5"/>
          </w:tcPr>
          <w:p>
            <w:pPr>
              <w:spacing w:after="0"/>
              <w:rPr>
                <w:sz w:val="23"/>
                <w:szCs w:val="23"/>
                <w:color w:val="auto"/>
              </w:rPr>
            </w:pPr>
          </w:p>
        </w:tc>
        <w:tc>
          <w:tcPr>
            <w:tcW w:w="180" w:type="dxa"/>
            <w:vAlign w:val="bottom"/>
            <w:tcBorders>
              <w:bottom w:val="single" w:sz="8" w:color="auto"/>
            </w:tcBorders>
            <w:shd w:val="clear" w:color="auto" w:fill="D2EEF5"/>
          </w:tcPr>
          <w:p>
            <w:pPr>
              <w:ind w:left="60"/>
              <w:spacing w:after="0"/>
              <w:rPr>
                <w:sz w:val="20"/>
                <w:szCs w:val="20"/>
                <w:color w:val="auto"/>
              </w:rPr>
            </w:pPr>
            <w:r>
              <w:rPr>
                <w:rFonts w:ascii="Arial" w:cs="Arial" w:eastAsia="Arial" w:hAnsi="Arial"/>
                <w:sz w:val="20"/>
                <w:szCs w:val="20"/>
                <w:b w:val="1"/>
                <w:bCs w:val="1"/>
                <w:color w:val="auto"/>
                <w:w w:val="89"/>
              </w:rPr>
              <w:t>$</w:t>
            </w:r>
          </w:p>
        </w:tc>
        <w:tc>
          <w:tcPr>
            <w:tcW w:w="1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(9,681)</w:t>
            </w:r>
          </w:p>
        </w:tc>
        <w:tc>
          <w:tcPr>
            <w:tcW w:w="120" w:type="dxa"/>
            <w:vAlign w:val="bottom"/>
            <w:tcBorders>
              <w:bottom w:val="single" w:sz="8" w:color="D2EEF5"/>
            </w:tcBorders>
            <w:shd w:val="clear" w:color="auto" w:fill="D2EEF5"/>
          </w:tcPr>
          <w:p>
            <w:pPr>
              <w:spacing w:after="0"/>
              <w:rPr>
                <w:sz w:val="23"/>
                <w:szCs w:val="23"/>
                <w:color w:val="auto"/>
              </w:rPr>
            </w:pPr>
          </w:p>
        </w:tc>
        <w:tc>
          <w:tcPr>
            <w:tcW w:w="400" w:type="dxa"/>
            <w:vAlign w:val="bottom"/>
            <w:tcBorders>
              <w:bottom w:val="single" w:sz="8" w:color="auto"/>
            </w:tcBorders>
            <w:shd w:val="clear" w:color="auto" w:fill="D2EEF5"/>
          </w:tcPr>
          <w:p>
            <w:pPr>
              <w:ind w:left="60"/>
              <w:spacing w:after="0"/>
              <w:rPr>
                <w:sz w:val="20"/>
                <w:szCs w:val="20"/>
                <w:color w:val="auto"/>
              </w:rPr>
            </w:pPr>
            <w:r>
              <w:rPr>
                <w:rFonts w:ascii="Arial" w:cs="Arial" w:eastAsia="Arial" w:hAnsi="Arial"/>
                <w:sz w:val="20"/>
                <w:szCs w:val="20"/>
                <w:b w:val="1"/>
                <w:bCs w:val="1"/>
                <w:color w:val="auto"/>
              </w:rPr>
              <w:t>$</w:t>
            </w:r>
          </w:p>
        </w:tc>
        <w:tc>
          <w:tcPr>
            <w:tcW w:w="220" w:type="dxa"/>
            <w:vAlign w:val="bottom"/>
            <w:tcBorders>
              <w:bottom w:val="single" w:sz="8" w:color="auto"/>
            </w:tcBorders>
            <w:shd w:val="clear" w:color="auto" w:fill="D2EEF5"/>
          </w:tcPr>
          <w:p>
            <w:pPr>
              <w:spacing w:after="0"/>
              <w:rPr>
                <w:sz w:val="23"/>
                <w:szCs w:val="23"/>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w w:val="99"/>
              </w:rPr>
              <w:t>(18,837)</w:t>
            </w:r>
          </w:p>
        </w:tc>
        <w:tc>
          <w:tcPr>
            <w:tcW w:w="120" w:type="dxa"/>
            <w:vAlign w:val="bottom"/>
            <w:tcBorders>
              <w:bottom w:val="single" w:sz="8" w:color="D2EEF5"/>
            </w:tcBorders>
            <w:shd w:val="clear" w:color="auto" w:fill="D2EEF5"/>
          </w:tcPr>
          <w:p>
            <w:pPr>
              <w:spacing w:after="0"/>
              <w:rPr>
                <w:sz w:val="23"/>
                <w:szCs w:val="23"/>
                <w:color w:val="auto"/>
              </w:rPr>
            </w:pPr>
          </w:p>
        </w:tc>
        <w:tc>
          <w:tcPr>
            <w:tcW w:w="200" w:type="dxa"/>
            <w:vAlign w:val="bottom"/>
            <w:tcBorders>
              <w:bottom w:val="single" w:sz="8" w:color="auto"/>
            </w:tcBorders>
            <w:gridSpan w:val="2"/>
            <w:shd w:val="clear" w:color="auto" w:fill="D2EEF5"/>
          </w:tcPr>
          <w:p>
            <w:pPr>
              <w:jc w:val="right"/>
              <w:ind w:right="60"/>
              <w:spacing w:after="0"/>
              <w:rPr>
                <w:sz w:val="20"/>
                <w:szCs w:val="20"/>
                <w:color w:val="auto"/>
              </w:rPr>
            </w:pPr>
            <w:r>
              <w:rPr>
                <w:rFonts w:ascii="Arial" w:cs="Arial" w:eastAsia="Arial" w:hAnsi="Arial"/>
                <w:sz w:val="20"/>
                <w:szCs w:val="20"/>
                <w:b w:val="1"/>
                <w:bCs w:val="1"/>
                <w:color w:val="auto"/>
              </w:rPr>
              <w:t>$</w:t>
            </w:r>
          </w:p>
        </w:tc>
        <w:tc>
          <w:tcPr>
            <w:tcW w:w="220" w:type="dxa"/>
            <w:vAlign w:val="bottom"/>
            <w:tcBorders>
              <w:bottom w:val="single" w:sz="8" w:color="auto"/>
            </w:tcBorders>
            <w:shd w:val="clear" w:color="auto" w:fill="D2EEF5"/>
          </w:tcPr>
          <w:p>
            <w:pPr>
              <w:spacing w:after="0"/>
              <w:rPr>
                <w:sz w:val="23"/>
                <w:szCs w:val="23"/>
                <w:color w:val="auto"/>
              </w:rPr>
            </w:pPr>
          </w:p>
        </w:tc>
        <w:tc>
          <w:tcPr>
            <w:tcW w:w="98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20"/>
                <w:szCs w:val="20"/>
                <w:b w:val="1"/>
                <w:bCs w:val="1"/>
                <w:color w:val="auto"/>
                <w:w w:val="96"/>
              </w:rPr>
              <w:t>2,126,724</w:t>
            </w:r>
          </w:p>
        </w:tc>
        <w:tc>
          <w:tcPr>
            <w:tcW w:w="0" w:type="dxa"/>
            <w:vAlign w:val="bottom"/>
          </w:tcPr>
          <w:p>
            <w:pPr>
              <w:spacing w:after="0"/>
              <w:rPr>
                <w:sz w:val="1"/>
                <w:szCs w:val="1"/>
                <w:color w:val="auto"/>
              </w:rPr>
            </w:pP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bottom w:val="single" w:sz="8" w:color="D2EEF5"/>
            </w:tcBorders>
            <w:gridSpan w:val="3"/>
            <w:vMerge w:val="restart"/>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2540" w:type="dxa"/>
            <w:vAlign w:val="bottom"/>
            <w:tcBorders>
              <w:top w:val="single" w:sz="8" w:color="D2EEF5"/>
              <w:bottom w:val="single" w:sz="8" w:color="D2EEF5"/>
            </w:tcBorders>
            <w:vMerge w:val="restart"/>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122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122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400" w:type="dxa"/>
            <w:vAlign w:val="bottom"/>
            <w:tcBorders>
              <w:top w:val="single" w:sz="8" w:color="D2EEF5"/>
              <w:bottom w:val="single" w:sz="8" w:color="auto"/>
            </w:tcBorders>
          </w:tcPr>
          <w:p>
            <w:pPr>
              <w:spacing w:after="0" w:line="20" w:lineRule="exact"/>
              <w:rPr>
                <w:sz w:val="1"/>
                <w:szCs w:val="1"/>
                <w:color w:val="auto"/>
              </w:rPr>
            </w:pPr>
          </w:p>
        </w:tc>
        <w:tc>
          <w:tcPr>
            <w:tcW w:w="220" w:type="dxa"/>
            <w:vAlign w:val="bottom"/>
            <w:tcBorders>
              <w:top w:val="single" w:sz="8" w:color="D2EEF5"/>
              <w:bottom w:val="single" w:sz="8" w:color="auto"/>
            </w:tcBorders>
          </w:tcPr>
          <w:p>
            <w:pPr>
              <w:spacing w:after="0" w:line="20" w:lineRule="exact"/>
              <w:rPr>
                <w:sz w:val="1"/>
                <w:szCs w:val="1"/>
                <w:color w:val="auto"/>
              </w:rPr>
            </w:pPr>
          </w:p>
        </w:tc>
        <w:tc>
          <w:tcPr>
            <w:tcW w:w="78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8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bottom w:val="single" w:sz="8" w:color="auto"/>
            </w:tcBorders>
          </w:tcPr>
          <w:p>
            <w:pPr>
              <w:spacing w:after="0" w:line="20" w:lineRule="exact"/>
              <w:rPr>
                <w:sz w:val="1"/>
                <w:szCs w:val="1"/>
                <w:color w:val="auto"/>
              </w:rPr>
            </w:pPr>
          </w:p>
        </w:tc>
        <w:tc>
          <w:tcPr>
            <w:tcW w:w="220" w:type="dxa"/>
            <w:vAlign w:val="bottom"/>
            <w:tcBorders>
              <w:top w:val="single" w:sz="8" w:color="D2EEF5"/>
              <w:bottom w:val="single" w:sz="8" w:color="auto"/>
            </w:tcBorders>
          </w:tcPr>
          <w:p>
            <w:pPr>
              <w:spacing w:after="0" w:line="20" w:lineRule="exact"/>
              <w:rPr>
                <w:sz w:val="1"/>
                <w:szCs w:val="1"/>
                <w:color w:val="auto"/>
              </w:rPr>
            </w:pPr>
          </w:p>
        </w:tc>
        <w:tc>
          <w:tcPr>
            <w:tcW w:w="980" w:type="dxa"/>
            <w:vAlign w:val="bottom"/>
            <w:tcBorders>
              <w:top w:val="single" w:sz="8" w:color="D2EE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1740" w:type="dxa"/>
            <w:vAlign w:val="bottom"/>
            <w:tcBorders>
              <w:bottom w:val="single" w:sz="8" w:color="auto"/>
            </w:tcBorders>
            <w:gridSpan w:val="3"/>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28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As of December 31, 2024</w:t>
            </w:r>
          </w:p>
        </w:tc>
        <w:tc>
          <w:tcPr>
            <w:tcW w:w="160" w:type="dxa"/>
            <w:vAlign w:val="bottom"/>
          </w:tcPr>
          <w:p>
            <w:pPr>
              <w:spacing w:after="0"/>
              <w:rPr>
                <w:sz w:val="18"/>
                <w:szCs w:val="18"/>
                <w:color w:val="auto"/>
              </w:rPr>
            </w:pPr>
          </w:p>
        </w:tc>
        <w:tc>
          <w:tcPr>
            <w:tcW w:w="122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w w:val="89"/>
              </w:rPr>
              <w:t>Gross Amount</w:t>
            </w:r>
          </w:p>
        </w:tc>
        <w:tc>
          <w:tcPr>
            <w:tcW w:w="1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w w:val="96"/>
              </w:rPr>
              <w:t>Unamortized Debt</w:t>
            </w:r>
          </w:p>
        </w:tc>
        <w:tc>
          <w:tcPr>
            <w:tcW w:w="1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6"/>
                <w:szCs w:val="16"/>
                <w:b w:val="1"/>
                <w:bCs w:val="1"/>
                <w:color w:val="auto"/>
              </w:rPr>
              <w:t>Unamortized Debt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181"/>
              <w:spacing w:after="0"/>
              <w:rPr>
                <w:sz w:val="20"/>
                <w:szCs w:val="20"/>
                <w:color w:val="auto"/>
              </w:rPr>
            </w:pPr>
            <w:r>
              <w:rPr>
                <w:rFonts w:ascii="Arial" w:cs="Arial" w:eastAsia="Arial" w:hAnsi="Arial"/>
                <w:sz w:val="16"/>
                <w:szCs w:val="16"/>
                <w:b w:val="1"/>
                <w:bCs w:val="1"/>
                <w:color w:val="auto"/>
                <w:w w:val="99"/>
              </w:rPr>
              <w:t>Net Amount</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2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03"/>
              <w:spacing w:after="0" w:line="174" w:lineRule="exact"/>
              <w:rPr>
                <w:sz w:val="20"/>
                <w:szCs w:val="20"/>
                <w:color w:val="auto"/>
              </w:rPr>
            </w:pPr>
            <w:r>
              <w:rPr>
                <w:rFonts w:ascii="Arial" w:cs="Arial" w:eastAsia="Arial" w:hAnsi="Arial"/>
                <w:sz w:val="16"/>
                <w:szCs w:val="16"/>
                <w:b w:val="1"/>
                <w:bCs w:val="1"/>
                <w:color w:val="auto"/>
                <w:w w:val="85"/>
              </w:rPr>
              <w:t>Issuance Costs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3"/>
          </w:tcPr>
          <w:p>
            <w:pPr>
              <w:jc w:val="right"/>
              <w:ind w:right="520"/>
              <w:spacing w:after="0" w:line="174" w:lineRule="exact"/>
              <w:rPr>
                <w:sz w:val="20"/>
                <w:szCs w:val="20"/>
                <w:color w:val="auto"/>
              </w:rPr>
            </w:pPr>
            <w:r>
              <w:rPr>
                <w:rFonts w:ascii="Arial" w:cs="Arial" w:eastAsia="Arial" w:hAnsi="Arial"/>
                <w:sz w:val="16"/>
                <w:szCs w:val="16"/>
                <w:b w:val="1"/>
                <w:bCs w:val="1"/>
                <w:color w:val="auto"/>
                <w:w w:val="84"/>
              </w:rPr>
              <w:t>Discount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360" w:type="dxa"/>
            <w:vAlign w:val="bottom"/>
            <w:tcBorders>
              <w:top w:val="single" w:sz="8" w:color="auto"/>
              <w:bottom w:val="single" w:sz="8" w:color="D2EEF5"/>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254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4280" w:type="dxa"/>
            <w:vAlign w:val="bottom"/>
            <w:gridSpan w:val="4"/>
            <w:shd w:val="clear" w:color="auto" w:fill="D2EEF5"/>
          </w:tcPr>
          <w:p>
            <w:pPr>
              <w:spacing w:after="0"/>
              <w:rPr>
                <w:sz w:val="20"/>
                <w:szCs w:val="20"/>
                <w:color w:val="auto"/>
              </w:rPr>
            </w:pPr>
            <w:r>
              <w:rPr>
                <w:rFonts w:ascii="Arial" w:cs="Arial" w:eastAsia="Arial" w:hAnsi="Arial"/>
                <w:sz w:val="20"/>
                <w:szCs w:val="20"/>
                <w:color w:val="auto"/>
              </w:rPr>
              <w:t>Secured notes due 2031</w:t>
            </w:r>
          </w:p>
        </w:tc>
        <w:tc>
          <w:tcPr>
            <w:tcW w:w="1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2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750,000</w:t>
            </w:r>
          </w:p>
        </w:tc>
        <w:tc>
          <w:tcPr>
            <w:tcW w:w="300" w:type="dxa"/>
            <w:vAlign w:val="bottom"/>
            <w:gridSpan w:val="2"/>
            <w:shd w:val="clear" w:color="auto" w:fill="D2EEF5"/>
          </w:tcPr>
          <w:p>
            <w:pPr>
              <w:ind w:left="180"/>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(3,707)</w:t>
            </w:r>
          </w:p>
        </w:tc>
        <w:tc>
          <w:tcPr>
            <w:tcW w:w="520" w:type="dxa"/>
            <w:vAlign w:val="bottom"/>
            <w:gridSpan w:val="2"/>
            <w:shd w:val="clear" w:color="auto" w:fill="D2EEF5"/>
          </w:tcPr>
          <w:p>
            <w:pPr>
              <w:ind w:lef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D2EEF5"/>
          </w:tcPr>
          <w:p>
            <w:pPr>
              <w:spacing w:after="0"/>
              <w:rPr>
                <w:sz w:val="23"/>
                <w:szCs w:val="23"/>
                <w:color w:val="auto"/>
              </w:rPr>
            </w:pPr>
          </w:p>
        </w:tc>
        <w:tc>
          <w:tcPr>
            <w:tcW w:w="900" w:type="dxa"/>
            <w:vAlign w:val="bottom"/>
            <w:gridSpan w:val="2"/>
            <w:shd w:val="clear" w:color="auto" w:fill="D2EEF5"/>
          </w:tcPr>
          <w:p>
            <w:pPr>
              <w:jc w:val="right"/>
              <w:ind w:right="200"/>
              <w:spacing w:after="0"/>
              <w:rPr>
                <w:sz w:val="20"/>
                <w:szCs w:val="20"/>
                <w:color w:val="auto"/>
              </w:rPr>
            </w:pPr>
            <w:r>
              <w:rPr>
                <w:rFonts w:ascii="Arial" w:cs="Arial" w:eastAsia="Arial" w:hAnsi="Arial"/>
                <w:sz w:val="20"/>
                <w:szCs w:val="20"/>
                <w:color w:val="auto"/>
              </w:rPr>
              <w:t>—</w:t>
            </w:r>
          </w:p>
        </w:tc>
        <w:tc>
          <w:tcPr>
            <w:tcW w:w="200" w:type="dxa"/>
            <w:vAlign w:val="bottom"/>
            <w:gridSpan w:val="2"/>
            <w:shd w:val="clear" w:color="auto" w:fill="D2EEF5"/>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shd w:val="clear" w:color="auto" w:fill="D2EEF5"/>
          </w:tcPr>
          <w:p>
            <w:pPr>
              <w:spacing w:after="0"/>
              <w:rPr>
                <w:sz w:val="23"/>
                <w:szCs w:val="23"/>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746,293</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4280" w:type="dxa"/>
            <w:vAlign w:val="bottom"/>
            <w:tcBorders>
              <w:bottom w:val="single" w:sz="8" w:color="D2EEF5"/>
            </w:tcBorders>
            <w:gridSpan w:val="4"/>
          </w:tcPr>
          <w:p>
            <w:pPr>
              <w:spacing w:after="0"/>
              <w:rPr>
                <w:sz w:val="20"/>
                <w:szCs w:val="20"/>
                <w:color w:val="auto"/>
              </w:rPr>
            </w:pPr>
            <w:r>
              <w:rPr>
                <w:rFonts w:ascii="Arial" w:cs="Arial" w:eastAsia="Arial" w:hAnsi="Arial"/>
                <w:sz w:val="20"/>
                <w:szCs w:val="20"/>
                <w:color w:val="auto"/>
              </w:rPr>
              <w:t>Term loan due 2031</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1,505,577</w:t>
            </w:r>
          </w:p>
        </w:tc>
        <w:tc>
          <w:tcPr>
            <w:tcW w:w="1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(6,508)</w:t>
            </w:r>
          </w:p>
        </w:tc>
        <w:tc>
          <w:tcPr>
            <w:tcW w:w="120" w:type="dxa"/>
            <w:vAlign w:val="bottom"/>
            <w:tcBorders>
              <w:bottom w:val="single" w:sz="8" w:color="D2EEF5"/>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(22,459)</w:t>
            </w:r>
          </w:p>
        </w:tc>
        <w:tc>
          <w:tcPr>
            <w:tcW w:w="120" w:type="dxa"/>
            <w:vAlign w:val="bottom"/>
            <w:tcBorders>
              <w:bottom w:val="single" w:sz="8" w:color="D2EEF5"/>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96"/>
              </w:rPr>
              <w:t>1,476,610</w:t>
            </w: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1320" w:type="dxa"/>
            <w:vAlign w:val="bottom"/>
            <w:shd w:val="clear" w:color="auto" w:fill="D2EEF5"/>
          </w:tcPr>
          <w:p>
            <w:pPr>
              <w:spacing w:after="0"/>
              <w:rPr>
                <w:sz w:val="23"/>
                <w:szCs w:val="23"/>
                <w:color w:val="auto"/>
              </w:rPr>
            </w:pPr>
          </w:p>
        </w:tc>
        <w:tc>
          <w:tcPr>
            <w:tcW w:w="36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254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2,255,577</w:t>
            </w: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2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(10,215)</w:t>
            </w:r>
          </w:p>
        </w:tc>
        <w:tc>
          <w:tcPr>
            <w:tcW w:w="120" w:type="dxa"/>
            <w:vAlign w:val="bottom"/>
            <w:shd w:val="clear" w:color="auto" w:fill="D2EEF5"/>
          </w:tcPr>
          <w:p>
            <w:pPr>
              <w:spacing w:after="0"/>
              <w:rPr>
                <w:sz w:val="23"/>
                <w:szCs w:val="23"/>
                <w:color w:val="auto"/>
              </w:rPr>
            </w:pPr>
          </w:p>
        </w:tc>
        <w:tc>
          <w:tcPr>
            <w:tcW w:w="40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20"/>
                <w:szCs w:val="20"/>
                <w:color w:val="auto"/>
                <w:w w:val="99"/>
              </w:rPr>
              <w:t>(22,459)</w:t>
            </w:r>
          </w:p>
        </w:tc>
        <w:tc>
          <w:tcPr>
            <w:tcW w:w="120" w:type="dxa"/>
            <w:vAlign w:val="bottom"/>
            <w:shd w:val="clear" w:color="auto" w:fill="D2EEF5"/>
          </w:tcPr>
          <w:p>
            <w:pPr>
              <w:spacing w:after="0"/>
              <w:rPr>
                <w:sz w:val="23"/>
                <w:szCs w:val="23"/>
                <w:color w:val="auto"/>
              </w:rPr>
            </w:pPr>
          </w:p>
        </w:tc>
        <w:tc>
          <w:tcPr>
            <w:tcW w:w="8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w w:val="96"/>
              </w:rPr>
              <w:t>2,222,903</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4280" w:type="dxa"/>
            <w:vAlign w:val="bottom"/>
            <w:tcBorders>
              <w:bottom w:val="single" w:sz="8" w:color="D2EEF5"/>
            </w:tcBorders>
            <w:gridSpan w:val="4"/>
          </w:tcPr>
          <w:p>
            <w:pPr>
              <w:spacing w:after="0"/>
              <w:rPr>
                <w:sz w:val="20"/>
                <w:szCs w:val="20"/>
                <w:color w:val="auto"/>
              </w:rPr>
            </w:pPr>
            <w:r>
              <w:rPr>
                <w:rFonts w:ascii="Arial" w:cs="Arial" w:eastAsia="Arial" w:hAnsi="Arial"/>
                <w:sz w:val="20"/>
                <w:szCs w:val="20"/>
                <w:color w:val="auto"/>
              </w:rPr>
              <w:t>Less current portion</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15,094</w:t>
            </w:r>
          </w:p>
        </w:tc>
        <w:tc>
          <w:tcPr>
            <w:tcW w:w="1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w:t>
            </w:r>
          </w:p>
        </w:tc>
        <w:tc>
          <w:tcPr>
            <w:tcW w:w="120" w:type="dxa"/>
            <w:vAlign w:val="bottom"/>
            <w:tcBorders>
              <w:bottom w:val="single" w:sz="8" w:color="D2EEF5"/>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(226)</w:t>
            </w:r>
          </w:p>
        </w:tc>
        <w:tc>
          <w:tcPr>
            <w:tcW w:w="120" w:type="dxa"/>
            <w:vAlign w:val="bottom"/>
            <w:tcBorders>
              <w:bottom w:val="single" w:sz="8" w:color="D2EEF5"/>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14,803</w:t>
            </w:r>
          </w:p>
        </w:tc>
        <w:tc>
          <w:tcPr>
            <w:tcW w:w="0" w:type="dxa"/>
            <w:vAlign w:val="bottom"/>
          </w:tcPr>
          <w:p>
            <w:pPr>
              <w:spacing w:after="0"/>
              <w:rPr>
                <w:sz w:val="1"/>
                <w:szCs w:val="1"/>
                <w:color w:val="auto"/>
              </w:rPr>
            </w:pPr>
          </w:p>
        </w:tc>
      </w:tr>
      <w:tr>
        <w:trPr>
          <w:trHeight w:val="265"/>
        </w:trPr>
        <w:tc>
          <w:tcPr>
            <w:tcW w:w="40" w:type="dxa"/>
            <w:vAlign w:val="bottom"/>
            <w:shd w:val="clear" w:color="auto" w:fill="D2EEF5"/>
          </w:tcPr>
          <w:p>
            <w:pPr>
              <w:spacing w:after="0"/>
              <w:rPr>
                <w:sz w:val="23"/>
                <w:szCs w:val="23"/>
                <w:color w:val="auto"/>
              </w:rPr>
            </w:pPr>
          </w:p>
        </w:tc>
        <w:tc>
          <w:tcPr>
            <w:tcW w:w="4280" w:type="dxa"/>
            <w:vAlign w:val="bottom"/>
            <w:gridSpan w:val="4"/>
            <w:shd w:val="clear" w:color="auto" w:fill="D2EEF5"/>
          </w:tcPr>
          <w:p>
            <w:pPr>
              <w:spacing w:after="0"/>
              <w:rPr>
                <w:sz w:val="20"/>
                <w:szCs w:val="20"/>
                <w:color w:val="auto"/>
              </w:rPr>
            </w:pPr>
            <w:r>
              <w:rPr>
                <w:rFonts w:ascii="Arial" w:cs="Arial" w:eastAsia="Arial" w:hAnsi="Arial"/>
                <w:sz w:val="20"/>
                <w:szCs w:val="20"/>
                <w:b w:val="1"/>
                <w:bCs w:val="1"/>
                <w:color w:val="auto"/>
              </w:rPr>
              <w:t>Long-term debt</w:t>
            </w:r>
          </w:p>
        </w:tc>
        <w:tc>
          <w:tcPr>
            <w:tcW w:w="1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2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2,240,483</w:t>
            </w:r>
          </w:p>
        </w:tc>
        <w:tc>
          <w:tcPr>
            <w:tcW w:w="300" w:type="dxa"/>
            <w:vAlign w:val="bottom"/>
            <w:gridSpan w:val="2"/>
            <w:shd w:val="clear" w:color="auto" w:fill="D2EEF5"/>
          </w:tcPr>
          <w:p>
            <w:pPr>
              <w:ind w:left="180"/>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(10,150)</w:t>
            </w:r>
          </w:p>
        </w:tc>
        <w:tc>
          <w:tcPr>
            <w:tcW w:w="520" w:type="dxa"/>
            <w:vAlign w:val="bottom"/>
            <w:gridSpan w:val="2"/>
            <w:shd w:val="clear" w:color="auto" w:fill="D2EEF5"/>
          </w:tcPr>
          <w:p>
            <w:pPr>
              <w:ind w:lef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D2EEF5"/>
          </w:tcPr>
          <w:p>
            <w:pPr>
              <w:spacing w:after="0"/>
              <w:rPr>
                <w:sz w:val="23"/>
                <w:szCs w:val="23"/>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20"/>
                <w:szCs w:val="20"/>
                <w:color w:val="auto"/>
                <w:w w:val="99"/>
              </w:rPr>
              <w:t>(22,233)</w:t>
            </w:r>
          </w:p>
        </w:tc>
        <w:tc>
          <w:tcPr>
            <w:tcW w:w="120" w:type="dxa"/>
            <w:vAlign w:val="bottom"/>
            <w:shd w:val="clear" w:color="auto" w:fill="D2EEF5"/>
          </w:tcPr>
          <w:p>
            <w:pPr>
              <w:spacing w:after="0"/>
              <w:rPr>
                <w:sz w:val="23"/>
                <w:szCs w:val="23"/>
                <w:color w:val="auto"/>
              </w:rPr>
            </w:pPr>
          </w:p>
        </w:tc>
        <w:tc>
          <w:tcPr>
            <w:tcW w:w="200" w:type="dxa"/>
            <w:vAlign w:val="bottom"/>
            <w:gridSpan w:val="2"/>
            <w:shd w:val="clear" w:color="auto" w:fill="D2EEF5"/>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shd w:val="clear" w:color="auto" w:fill="D2EEF5"/>
          </w:tcPr>
          <w:p>
            <w:pPr>
              <w:spacing w:after="0"/>
              <w:rPr>
                <w:sz w:val="23"/>
                <w:szCs w:val="23"/>
                <w:color w:val="auto"/>
              </w:rPr>
            </w:pPr>
          </w:p>
        </w:tc>
        <w:tc>
          <w:tcPr>
            <w:tcW w:w="98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w w:val="96"/>
              </w:rPr>
              <w:t>2,208,100</w:t>
            </w:r>
          </w:p>
        </w:tc>
        <w:tc>
          <w:tcPr>
            <w:tcW w:w="0" w:type="dxa"/>
            <w:vAlign w:val="bottom"/>
          </w:tcPr>
          <w:p>
            <w:pPr>
              <w:spacing w:after="0"/>
              <w:rPr>
                <w:sz w:val="1"/>
                <w:szCs w:val="1"/>
                <w:color w:val="auto"/>
              </w:rPr>
            </w:pP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tcBorders>
          </w:tcPr>
          <w:p>
            <w:pPr>
              <w:spacing w:after="0" w:line="20" w:lineRule="exact"/>
              <w:rPr>
                <w:sz w:val="1"/>
                <w:szCs w:val="1"/>
                <w:color w:val="auto"/>
              </w:rPr>
            </w:pPr>
          </w:p>
        </w:tc>
        <w:tc>
          <w:tcPr>
            <w:tcW w:w="360" w:type="dxa"/>
            <w:vAlign w:val="bottom"/>
            <w:tcBorders>
              <w:top w:val="single" w:sz="8" w:color="D2EEF5"/>
            </w:tcBorders>
          </w:tcPr>
          <w:p>
            <w:pPr>
              <w:spacing w:after="0" w:line="20" w:lineRule="exact"/>
              <w:rPr>
                <w:sz w:val="1"/>
                <w:szCs w:val="1"/>
                <w:color w:val="auto"/>
              </w:rPr>
            </w:pPr>
          </w:p>
        </w:tc>
        <w:tc>
          <w:tcPr>
            <w:tcW w:w="60" w:type="dxa"/>
            <w:vAlign w:val="bottom"/>
            <w:tcBorders>
              <w:top w:val="single" w:sz="8" w:color="D2EEF5"/>
            </w:tcBorders>
          </w:tcPr>
          <w:p>
            <w:pPr>
              <w:spacing w:after="0" w:line="20" w:lineRule="exact"/>
              <w:rPr>
                <w:sz w:val="1"/>
                <w:szCs w:val="1"/>
                <w:color w:val="auto"/>
              </w:rPr>
            </w:pPr>
          </w:p>
        </w:tc>
        <w:tc>
          <w:tcPr>
            <w:tcW w:w="254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-3688715</wp:posOffset>
            </wp:positionV>
            <wp:extent cx="162560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1625600" cy="5080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-1574165</wp:posOffset>
            </wp:positionV>
            <wp:extent cx="379730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3797300" cy="5080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-43815</wp:posOffset>
            </wp:positionV>
            <wp:extent cx="3797300"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extLst>
                    </a:blip>
                    <a:srcRect/>
                    <a:stretch>
                      <a:fillRect/>
                    </a:stretch>
                  </pic:blipFill>
                  <pic:spPr bwMode="auto">
                    <a:xfrm>
                      <a:off x="0" y="0"/>
                      <a:ext cx="3797300" cy="50800"/>
                    </a:xfrm>
                    <a:prstGeom prst="rect">
                      <a:avLst/>
                    </a:prstGeom>
                    <a:noFill/>
                  </pic:spPr>
                </pic:pic>
              </a:graphicData>
            </a:graphic>
          </wp:anchor>
        </w:drawing>
      </w:r>
    </w:p>
    <w:p>
      <w:pPr>
        <w:spacing w:after="0" w:line="26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Debt Facilities</w:t>
      </w:r>
    </w:p>
    <w:p>
      <w:pPr>
        <w:spacing w:after="0" w:line="217" w:lineRule="exact"/>
        <w:rPr>
          <w:sz w:val="20"/>
          <w:szCs w:val="20"/>
          <w:color w:val="auto"/>
        </w:rPr>
      </w:pPr>
    </w:p>
    <w:p>
      <w:pPr>
        <w:ind w:left="10" w:right="320"/>
        <w:spacing w:after="0" w:line="275" w:lineRule="auto"/>
        <w:rPr>
          <w:sz w:val="20"/>
          <w:szCs w:val="20"/>
          <w:color w:val="auto"/>
        </w:rPr>
      </w:pPr>
      <w:r>
        <w:rPr>
          <w:rFonts w:ascii="Arial" w:cs="Arial" w:eastAsia="Arial" w:hAnsi="Arial"/>
          <w:sz w:val="19"/>
          <w:szCs w:val="19"/>
          <w:color w:val="auto"/>
        </w:rPr>
        <w:t>Under the debt agreements summarized below, at December 31, 2025 we and SHH, our wholly owned subsidiary, had debt payment obligations under (a) a term loan in the amount of $1,419.5 million, (b) a revolving credit facility, which supported operationally-related letters of credit but was otherwise undrawn, and which provides to us capacity up to $600.0 million for future potential borrowings, and (c) $750.0 million of senior secured notes. Our debt agreements also include additional covenants, conditions and rights to request additional debt, as summarized below.</w:t>
      </w:r>
    </w:p>
    <w:p>
      <w:pPr>
        <w:spacing w:after="0" w:line="145"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Senior Secured Credit Facilities and Indenture</w:t>
      </w:r>
    </w:p>
    <w:p>
      <w:pPr>
        <w:spacing w:after="0" w:line="213" w:lineRule="exact"/>
        <w:rPr>
          <w:sz w:val="20"/>
          <w:szCs w:val="20"/>
          <w:color w:val="auto"/>
        </w:rPr>
      </w:pPr>
    </w:p>
    <w:p>
      <w:pPr>
        <w:ind w:left="10" w:right="60"/>
        <w:spacing w:after="0" w:line="309" w:lineRule="auto"/>
        <w:rPr>
          <w:sz w:val="20"/>
          <w:szCs w:val="20"/>
          <w:color w:val="auto"/>
        </w:rPr>
      </w:pPr>
      <w:r>
        <w:rPr>
          <w:rFonts w:ascii="Arial" w:cs="Arial" w:eastAsia="Arial" w:hAnsi="Arial"/>
          <w:sz w:val="18"/>
          <w:szCs w:val="18"/>
          <w:color w:val="auto"/>
        </w:rPr>
        <w:t>On December 13, 2019, SHH entered into senior secured first lien credit facilities (the “Senior Secured Credit Facilities”), consisting of both a prepayable senior secured first lien term loan (the “Term Loans”) and a senior secured first lien revolving credit facility (the “Revolving Credit Facility”) pursuant to a first lien credit agreement (as amended through Amendment No. 6</w:t>
      </w:r>
    </w:p>
    <w:p>
      <w:pPr>
        <w:sectPr>
          <w:pgSz w:w="11880" w:h="15480" w:orient="portrait"/>
          <w:cols w:equalWidth="0" w:num="1">
            <w:col w:w="10270"/>
          </w:cols>
          <w:pgMar w:left="810" w:top="422" w:right="800" w:bottom="0" w:gutter="0" w:footer="0" w:header="0"/>
        </w:sectPr>
      </w:pPr>
    </w:p>
    <w:p>
      <w:pPr>
        <w:spacing w:after="0" w:line="331"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0270"/>
          </w:cols>
          <w:pgMar w:left="810" w:top="422" w:right="800" w:bottom="0" w:gutter="0" w:footer="0" w:header="0"/>
          <w:type w:val="continuous"/>
        </w:sectPr>
      </w:pPr>
    </w:p>
    <w:bookmarkStart w:id="88" w:name="page89"/>
    <w:bookmarkEnd w:id="88"/>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left="10" w:right="200"/>
        <w:spacing w:after="0" w:line="266" w:lineRule="auto"/>
        <w:rPr>
          <w:sz w:val="20"/>
          <w:szCs w:val="20"/>
          <w:color w:val="auto"/>
        </w:rPr>
      </w:pPr>
      <w:r>
        <w:rPr>
          <w:rFonts w:ascii="Arial" w:cs="Arial" w:eastAsia="Arial" w:hAnsi="Arial"/>
          <w:sz w:val="20"/>
          <w:szCs w:val="20"/>
          <w:color w:val="auto"/>
        </w:rPr>
        <w:t>(as defined below), the “Credit Agreement”). The Senior Secured Credit Facilities also provide SHH the right at any time and under certain conditions to request incremental term loans or incremental revolving credit commitments based on a formula defined in the Senior Secured Credit Facilities.</w:t>
      </w:r>
    </w:p>
    <w:p>
      <w:pPr>
        <w:spacing w:after="0" w:line="155" w:lineRule="exact"/>
        <w:rPr>
          <w:sz w:val="20"/>
          <w:szCs w:val="20"/>
          <w:color w:val="auto"/>
        </w:rPr>
      </w:pPr>
    </w:p>
    <w:p>
      <w:pPr>
        <w:ind w:left="10" w:right="40"/>
        <w:spacing w:after="0" w:line="278" w:lineRule="auto"/>
        <w:rPr>
          <w:sz w:val="20"/>
          <w:szCs w:val="20"/>
          <w:color w:val="auto"/>
        </w:rPr>
      </w:pPr>
      <w:r>
        <w:rPr>
          <w:rFonts w:ascii="Arial" w:cs="Arial" w:eastAsia="Arial" w:hAnsi="Arial"/>
          <w:sz w:val="18"/>
          <w:szCs w:val="18"/>
          <w:color w:val="auto"/>
        </w:rPr>
        <w:t>On September 17, 2025, the Company and SHH entered into Amendment No. 6 (“Amendment No. 6”) to the Credit Agreement. Among other changes, Amendment No. 6 provides for the refinancing lenders to provide term loans (the “Repriced Term Loans”) to SHH in an aggregate principal amount of $1,419.5 million, which reflects the balance after the Company’s application of $75.0 million of available cash to repay outstanding borrowings under its term loan facility. Amendment No. 6 also reduced the interest rate spread by 0.50% across term loans under the facility, such that the Repriced Term Loans have an applicable interest rate margin equal to the Adjusted Term SOFR (as defined in the Credit Agreement) plus 2.50%, with a</w:t>
      </w:r>
    </w:p>
    <w:p>
      <w:pPr>
        <w:spacing w:after="0" w:line="1" w:lineRule="exact"/>
        <w:rPr>
          <w:sz w:val="20"/>
          <w:szCs w:val="20"/>
          <w:color w:val="auto"/>
        </w:rPr>
      </w:pPr>
    </w:p>
    <w:p>
      <w:pPr>
        <w:ind w:left="10" w:right="100"/>
        <w:spacing w:after="0" w:line="273" w:lineRule="auto"/>
        <w:rPr>
          <w:sz w:val="20"/>
          <w:szCs w:val="20"/>
          <w:color w:val="auto"/>
        </w:rPr>
      </w:pPr>
      <w:r>
        <w:rPr>
          <w:rFonts w:ascii="Arial" w:cs="Arial" w:eastAsia="Arial" w:hAnsi="Arial"/>
          <w:sz w:val="19"/>
          <w:szCs w:val="19"/>
          <w:color w:val="auto"/>
        </w:rPr>
        <w:t>0.00% floor (with optionality for the Company to elect Alternate Base Rate (“ABR”) plus 1.50% or Adjusted Daily Simple SOFR plus 2.50% (each as defined in the Credit Agreement)). This pricing reflects both the 0.50% reduction implemented through Amendment No. 6 and a 0.25% contractual pricing step-down that was triggered in August 2025. The Repriced Term Loans are also subject to a “soft call” premium of 1.00% for certain repricing transactions with respect to the Repriced Term Loans that occur within the six-month period after the effective date of Amendment No. 6. The Repriced Term Loans amortize at a rate of 1.00% per annum and mature on May 30, 2031.</w:t>
      </w:r>
    </w:p>
    <w:p>
      <w:pPr>
        <w:spacing w:after="0" w:line="149" w:lineRule="exact"/>
        <w:rPr>
          <w:sz w:val="20"/>
          <w:szCs w:val="20"/>
          <w:color w:val="auto"/>
        </w:rPr>
      </w:pPr>
    </w:p>
    <w:p>
      <w:pPr>
        <w:ind w:left="10" w:right="120"/>
        <w:spacing w:after="0" w:line="255" w:lineRule="auto"/>
        <w:rPr>
          <w:sz w:val="20"/>
          <w:szCs w:val="20"/>
          <w:color w:val="auto"/>
        </w:rPr>
      </w:pPr>
      <w:r>
        <w:rPr>
          <w:rFonts w:ascii="Arial" w:cs="Arial" w:eastAsia="Arial" w:hAnsi="Arial"/>
          <w:sz w:val="20"/>
          <w:szCs w:val="20"/>
          <w:color w:val="auto"/>
        </w:rPr>
        <w:t>On April 30, 2025, the Company and SHH entered into Amendment No. 5 (“Amendment No. 5”) to the Credit Agreement. Among other changes, Amendment No. 5 provides (i) for an increase in the commitments under the existing Revolving Credit Facility in an aggregate principal amount of $176.2 million, (ii) that certain lenders providing revolving credit commitments shall also provide additional commitments for the issuance of letters of credit under the Revolving Credit Facility in an aggregate principal amount of $186.3 million and (iii) for the extension of the maturity date of the Revolving Credit Facility to April 30, 2030. Amendment No. 5 does not give effect to any other material changes to the terms and conditions of the Credit Agreement, including with respect to the representations and warranties, events of default and the affirmative or negative covenants.</w:t>
      </w:r>
    </w:p>
    <w:p>
      <w:pPr>
        <w:spacing w:after="0" w:line="165" w:lineRule="exact"/>
        <w:rPr>
          <w:sz w:val="20"/>
          <w:szCs w:val="20"/>
          <w:color w:val="auto"/>
        </w:rPr>
      </w:pPr>
    </w:p>
    <w:p>
      <w:pPr>
        <w:ind w:left="10" w:right="200"/>
        <w:spacing w:after="0" w:line="278" w:lineRule="auto"/>
        <w:rPr>
          <w:sz w:val="20"/>
          <w:szCs w:val="20"/>
          <w:color w:val="auto"/>
        </w:rPr>
      </w:pPr>
      <w:r>
        <w:rPr>
          <w:rFonts w:ascii="Arial" w:cs="Arial" w:eastAsia="Arial" w:hAnsi="Arial"/>
          <w:sz w:val="18"/>
          <w:szCs w:val="18"/>
          <w:color w:val="auto"/>
        </w:rPr>
        <w:t>On May 30, 2024, the Company and SHH entered into Amendment No. 4 (“Amendment No. 4”) to the Senior Secured Credit Facilities. Among other changes, Amendment No. 4 provides for term loans (the “Refinancing Term Loans”) to SHH in an aggregate principal amount of $1,509.4 million. Pursuant to Amendment No. 4, the Refinancing Term Loans shall have an applicable interest rate margin per annum equal to (i) ABR plus 2.25% for ABR Loans (as defined in the Credit Agreement),</w:t>
      </w:r>
    </w:p>
    <w:p>
      <w:pPr>
        <w:spacing w:after="0" w:line="1" w:lineRule="exact"/>
        <w:rPr>
          <w:sz w:val="20"/>
          <w:szCs w:val="20"/>
          <w:color w:val="auto"/>
        </w:rPr>
      </w:pPr>
    </w:p>
    <w:p>
      <w:pPr>
        <w:ind w:left="10" w:right="120" w:hanging="10"/>
        <w:spacing w:after="0" w:line="275" w:lineRule="auto"/>
        <w:tabs>
          <w:tab w:leader="none" w:pos="304" w:val="left"/>
        </w:tabs>
        <w:numPr>
          <w:ilvl w:val="0"/>
          <w:numId w:val="43"/>
        </w:numPr>
        <w:rPr>
          <w:rFonts w:ascii="Arial" w:cs="Arial" w:eastAsia="Arial" w:hAnsi="Arial"/>
          <w:sz w:val="19"/>
          <w:szCs w:val="19"/>
          <w:color w:val="auto"/>
        </w:rPr>
      </w:pPr>
      <w:r>
        <w:rPr>
          <w:rFonts w:ascii="Arial" w:cs="Arial" w:eastAsia="Arial" w:hAnsi="Arial"/>
          <w:sz w:val="19"/>
          <w:szCs w:val="19"/>
          <w:color w:val="auto"/>
        </w:rPr>
        <w:t>daily simple Secured Overnight Financing Rate (“SOFR”) plus 3.25% for RFR Loans (as defined in the Credit Agreement) and (iii) Term SOFR plus 3.25% for Term Benchmark Loans (as defined in the Credit Agreement), in each case with a 0.00% applicable floor and the applicable interest rate margin shall be subject to a pricing step-down of 0.25% when the Senior Secured Leverage Ratio (as defined in the Credit Agreement) is less than or equal to 3.30:1.00. The Refinancing Term Loans amortize at a rate of 1.00% per annum and mature on May 30, 2031.</w:t>
      </w:r>
    </w:p>
    <w:p>
      <w:pPr>
        <w:spacing w:after="0" w:line="148" w:lineRule="exact"/>
        <w:rPr>
          <w:sz w:val="20"/>
          <w:szCs w:val="20"/>
          <w:color w:val="auto"/>
        </w:rPr>
      </w:pPr>
    </w:p>
    <w:p>
      <w:pPr>
        <w:ind w:left="10" w:right="160"/>
        <w:spacing w:after="0" w:line="283" w:lineRule="auto"/>
        <w:rPr>
          <w:sz w:val="20"/>
          <w:szCs w:val="20"/>
          <w:color w:val="auto"/>
        </w:rPr>
      </w:pPr>
      <w:r>
        <w:rPr>
          <w:rFonts w:ascii="Arial" w:cs="Arial" w:eastAsia="Arial" w:hAnsi="Arial"/>
          <w:sz w:val="20"/>
          <w:szCs w:val="20"/>
          <w:color w:val="auto"/>
        </w:rPr>
        <w:t>The weighted average interest rates on borrowings under the Refinancing Term Loans for the years ended December 31, 2025 and 2024 was 7.25% and 8.29%, respectively.</w:t>
      </w:r>
    </w:p>
    <w:p>
      <w:pPr>
        <w:spacing w:after="0" w:line="138" w:lineRule="exact"/>
        <w:rPr>
          <w:sz w:val="20"/>
          <w:szCs w:val="20"/>
          <w:color w:val="auto"/>
        </w:rPr>
      </w:pPr>
    </w:p>
    <w:p>
      <w:pPr>
        <w:ind w:left="10"/>
        <w:spacing w:after="0" w:line="282" w:lineRule="auto"/>
        <w:rPr>
          <w:sz w:val="20"/>
          <w:szCs w:val="20"/>
          <w:color w:val="auto"/>
        </w:rPr>
      </w:pPr>
      <w:r>
        <w:rPr>
          <w:rFonts w:ascii="Arial" w:cs="Arial" w:eastAsia="Arial" w:hAnsi="Arial"/>
          <w:sz w:val="18"/>
          <w:szCs w:val="18"/>
          <w:color w:val="auto"/>
        </w:rPr>
        <w:t>On May 30, 2024, SHH, the Company, certain subsidiaries of the Company (the “Guarantors”),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 The Secured Notes pay interest semiannually in arrears on June 1 and December 1 of each year, which began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 redemption price equal to 107.375% of the aggregate principal amount thereof plus accrued and unpaid interest, if any, thereon 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ending after the issue date, at a redemption price equal to 103%</w:t>
      </w:r>
    </w:p>
    <w:p>
      <w:pPr>
        <w:sectPr>
          <w:pgSz w:w="11880" w:h="15480" w:orient="portrait"/>
          <w:cols w:equalWidth="0" w:num="1">
            <w:col w:w="10250"/>
          </w:cols>
          <w:pgMar w:left="810" w:top="422" w:right="82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10250"/>
          </w:cols>
          <w:pgMar w:left="810" w:top="422" w:right="820" w:bottom="0" w:gutter="0" w:footer="0" w:header="0"/>
          <w:type w:val="continuous"/>
        </w:sectPr>
      </w:pPr>
    </w:p>
    <w:bookmarkStart w:id="89" w:name="page90"/>
    <w:bookmarkEnd w:id="89"/>
    <w:p>
      <w:pPr>
        <w:jc w:val="center"/>
        <w:ind w:right="-2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29"/>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left="10" w:right="280"/>
        <w:spacing w:after="0" w:line="283" w:lineRule="auto"/>
        <w:rPr>
          <w:sz w:val="20"/>
          <w:szCs w:val="20"/>
          <w:color w:val="auto"/>
        </w:rPr>
      </w:pPr>
      <w:r>
        <w:rPr>
          <w:rFonts w:ascii="Arial" w:cs="Arial" w:eastAsia="Arial" w:hAnsi="Arial"/>
          <w:sz w:val="20"/>
          <w:szCs w:val="20"/>
          <w:color w:val="auto"/>
        </w:rPr>
        <w:t>of the aggregate principal amount thereof, plus accrued and unpaid interest, if any, thereon to, but excluding, the redemption date.</w:t>
      </w:r>
    </w:p>
    <w:p>
      <w:pPr>
        <w:spacing w:after="0" w:line="138" w:lineRule="exact"/>
        <w:rPr>
          <w:sz w:val="20"/>
          <w:szCs w:val="20"/>
          <w:color w:val="auto"/>
        </w:rPr>
      </w:pPr>
    </w:p>
    <w:p>
      <w:pPr>
        <w:ind w:left="10" w:right="40"/>
        <w:spacing w:after="0" w:line="314" w:lineRule="auto"/>
        <w:rPr>
          <w:sz w:val="20"/>
          <w:szCs w:val="20"/>
          <w:color w:val="auto"/>
        </w:rPr>
      </w:pPr>
      <w:r>
        <w:rPr>
          <w:rFonts w:ascii="Arial" w:cs="Arial" w:eastAsia="Arial" w:hAnsi="Arial"/>
          <w:sz w:val="17"/>
          <w:szCs w:val="17"/>
          <w:color w:val="auto"/>
        </w:rPr>
        <w:t>The obligations under the Indenture are secured on a first-lien basis by security interests in substantially all of the assets of SHH, the Company and the Guarantors (other than any excluded assets) that secure the Credit Agreement on a pari passu basis, subject to certain limitations, exceptions and permitted liens. These obligations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spacing w:after="0" w:line="121" w:lineRule="exact"/>
        <w:rPr>
          <w:sz w:val="20"/>
          <w:szCs w:val="20"/>
          <w:color w:val="auto"/>
        </w:rPr>
      </w:pPr>
    </w:p>
    <w:p>
      <w:pPr>
        <w:ind w:left="10" w:right="60"/>
        <w:spacing w:after="0" w:line="341" w:lineRule="auto"/>
        <w:rPr>
          <w:sz w:val="20"/>
          <w:szCs w:val="20"/>
          <w:color w:val="auto"/>
        </w:rPr>
      </w:pPr>
      <w:r>
        <w:rPr>
          <w:rFonts w:ascii="Arial" w:cs="Arial" w:eastAsia="Arial" w:hAnsi="Arial"/>
          <w:sz w:val="18"/>
          <w:szCs w:val="18"/>
          <w:color w:val="auto"/>
        </w:rPr>
        <w:t>The Company used the combined net proceeds from the Refinancing Term Loans and Secured Notes, along with cash on hand, to refinance its previously outstanding $1,763.1 million Term Loan due 2026 and $496.3 million Term Loan B due 2026.</w:t>
      </w:r>
    </w:p>
    <w:p>
      <w:pPr>
        <w:spacing w:after="0" w:line="92" w:lineRule="exact"/>
        <w:rPr>
          <w:sz w:val="20"/>
          <w:szCs w:val="20"/>
          <w:color w:val="auto"/>
        </w:rPr>
      </w:pPr>
    </w:p>
    <w:p>
      <w:pPr>
        <w:ind w:left="10"/>
        <w:spacing w:after="0" w:line="278" w:lineRule="auto"/>
        <w:rPr>
          <w:sz w:val="20"/>
          <w:szCs w:val="20"/>
          <w:color w:val="auto"/>
        </w:rPr>
      </w:pPr>
      <w:r>
        <w:rPr>
          <w:rFonts w:ascii="Arial" w:cs="Arial" w:eastAsia="Arial" w:hAnsi="Arial"/>
          <w:sz w:val="18"/>
          <w:szCs w:val="18"/>
          <w:color w:val="auto"/>
        </w:rPr>
        <w:t>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w:t>
      </w:r>
    </w:p>
    <w:p>
      <w:pPr>
        <w:spacing w:after="0" w:line="2" w:lineRule="exact"/>
        <w:rPr>
          <w:sz w:val="20"/>
          <w:szCs w:val="20"/>
          <w:color w:val="auto"/>
        </w:rPr>
      </w:pPr>
    </w:p>
    <w:p>
      <w:pPr>
        <w:ind w:left="10" w:hanging="10"/>
        <w:spacing w:after="0" w:line="261" w:lineRule="auto"/>
        <w:tabs>
          <w:tab w:leader="none" w:pos="249" w:val="left"/>
        </w:tabs>
        <w:numPr>
          <w:ilvl w:val="0"/>
          <w:numId w:val="44"/>
        </w:numPr>
        <w:rPr>
          <w:rFonts w:ascii="Arial" w:cs="Arial" w:eastAsia="Arial" w:hAnsi="Arial"/>
          <w:sz w:val="20"/>
          <w:szCs w:val="20"/>
          <w:color w:val="auto"/>
        </w:rPr>
      </w:pPr>
      <w:r>
        <w:rPr>
          <w:rFonts w:ascii="Arial" w:cs="Arial" w:eastAsia="Arial" w:hAnsi="Arial"/>
          <w:sz w:val="20"/>
          <w:szCs w:val="20"/>
          <w:color w:val="auto"/>
        </w:rPr>
        <w:t>$162.6 million or (ii) 30.0% of consolidated EBITDA or LTM EBITDA (as defined in the Credit Agreement and the Indenture, respectively) and the judgments were not stayed or remained undischarged for a period of 60 consecutive days. As of December 31, 2025, we were in compliance with all of the covenants under the Senior Secured Credit Facilities and the Indenture.</w:t>
      </w:r>
    </w:p>
    <w:p>
      <w:pPr>
        <w:spacing w:after="0" w:line="160" w:lineRule="exact"/>
        <w:rPr>
          <w:sz w:val="20"/>
          <w:szCs w:val="20"/>
          <w:color w:val="auto"/>
        </w:rPr>
      </w:pPr>
    </w:p>
    <w:p>
      <w:pPr>
        <w:ind w:left="10" w:right="120"/>
        <w:spacing w:after="0" w:line="271" w:lineRule="auto"/>
        <w:rPr>
          <w:sz w:val="20"/>
          <w:szCs w:val="20"/>
          <w:color w:val="auto"/>
        </w:rPr>
      </w:pPr>
      <w:r>
        <w:rPr>
          <w:rFonts w:ascii="Arial" w:cs="Arial" w:eastAsia="Arial" w:hAnsi="Arial"/>
          <w:sz w:val="19"/>
          <w:szCs w:val="19"/>
          <w:color w:val="auto"/>
        </w:rPr>
        <w:t>All of SHH’s obligations under the Senior Secured Credit Facilities and the Indenture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SHH and the guarantors, subject to permitted liens and other exceptions and exclusions, as outlined in the Senior Secured Credit Facilities, the Indenture and the Security Agreement.</w:t>
      </w:r>
    </w:p>
    <w:p>
      <w:pPr>
        <w:spacing w:after="0" w:line="153" w:lineRule="exact"/>
        <w:rPr>
          <w:sz w:val="20"/>
          <w:szCs w:val="20"/>
          <w:color w:val="auto"/>
        </w:rPr>
      </w:pPr>
    </w:p>
    <w:p>
      <w:pPr>
        <w:ind w:left="10"/>
        <w:spacing w:after="0" w:line="261" w:lineRule="auto"/>
        <w:rPr>
          <w:sz w:val="20"/>
          <w:szCs w:val="20"/>
          <w:color w:val="auto"/>
        </w:rPr>
      </w:pPr>
      <w:r>
        <w:rPr>
          <w:rFonts w:ascii="Arial" w:cs="Arial" w:eastAsia="Arial" w:hAnsi="Arial"/>
          <w:sz w:val="20"/>
          <w:szCs w:val="20"/>
          <w:color w:val="auto"/>
        </w:rPr>
        <w:t>Outstanding letters of credit are collateralized by encumbrances against the Revolving Credit Facility and the collateral pledged thereunder, or by cash placed on deposit with the issuing bank. As of December 31, 2025, the Company had $8.2 million of letters of credit issued against the Revolving Credit Facility, resulting in total availability under the Revolving Credit Facility of $591.8 million.</w:t>
      </w:r>
    </w:p>
    <w:p>
      <w:pPr>
        <w:spacing w:after="0" w:line="157"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Term Loan Interest Rate Risk Management</w:t>
      </w:r>
    </w:p>
    <w:p>
      <w:pPr>
        <w:spacing w:after="0" w:line="213" w:lineRule="exact"/>
        <w:rPr>
          <w:sz w:val="20"/>
          <w:szCs w:val="20"/>
          <w:color w:val="auto"/>
        </w:rPr>
      </w:pPr>
    </w:p>
    <w:p>
      <w:pPr>
        <w:ind w:left="10" w:right="120"/>
        <w:spacing w:after="0" w:line="287" w:lineRule="auto"/>
        <w:rPr>
          <w:sz w:val="20"/>
          <w:szCs w:val="20"/>
          <w:color w:val="auto"/>
        </w:rPr>
      </w:pPr>
      <w:r>
        <w:rPr>
          <w:rFonts w:ascii="Arial" w:cs="Arial" w:eastAsia="Arial" w:hAnsi="Arial"/>
          <w:sz w:val="19"/>
          <w:szCs w:val="19"/>
          <w:color w:val="auto"/>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20, “Financial Instruments and Financial Risk”, </w:t>
      </w:r>
      <w:r>
        <w:rPr>
          <w:rFonts w:ascii="Arial" w:cs="Arial" w:eastAsia="Arial" w:hAnsi="Arial"/>
          <w:sz w:val="19"/>
          <w:szCs w:val="19"/>
          <w:b w:val="1"/>
          <w:bCs w:val="1"/>
          <w:i w:val="1"/>
          <w:iCs w:val="1"/>
          <w:color w:val="auto"/>
        </w:rPr>
        <w:t>“Derivative Instruments.”</w:t>
      </w:r>
    </w:p>
    <w:p>
      <w:pPr>
        <w:spacing w:after="0" w:line="133"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Debt Maturities</w:t>
      </w:r>
    </w:p>
    <w:p>
      <w:pPr>
        <w:spacing w:after="0" w:line="213" w:lineRule="exact"/>
        <w:rPr>
          <w:sz w:val="20"/>
          <w:szCs w:val="20"/>
          <w:color w:val="auto"/>
        </w:rPr>
      </w:pPr>
    </w:p>
    <w:p>
      <w:pPr>
        <w:ind w:left="10" w:right="80"/>
        <w:spacing w:after="0" w:line="283" w:lineRule="auto"/>
        <w:rPr>
          <w:sz w:val="20"/>
          <w:szCs w:val="20"/>
          <w:color w:val="auto"/>
        </w:rPr>
      </w:pPr>
      <w:r>
        <w:rPr>
          <w:rFonts w:ascii="Arial" w:cs="Arial" w:eastAsia="Arial" w:hAnsi="Arial"/>
          <w:sz w:val="20"/>
          <w:szCs w:val="20"/>
          <w:color w:val="auto"/>
        </w:rPr>
        <w:t>Aggregate maturities of the Company’s long-term debt, excluding debt issuance costs and discounts, as of December 31, 2025, are as follows:</w:t>
      </w:r>
    </w:p>
    <w:p>
      <w:pPr>
        <w:sectPr>
          <w:pgSz w:w="11880" w:h="15480" w:orient="portrait"/>
          <w:cols w:equalWidth="0" w:num="1">
            <w:col w:w="10230"/>
          </w:cols>
          <w:pgMar w:left="810" w:top="42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10230"/>
          </w:cols>
          <w:pgMar w:left="810" w:top="422" w:right="84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61"/>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20" w:type="dxa"/>
            <w:vAlign w:val="bottom"/>
          </w:tcPr>
          <w:p>
            <w:pPr>
              <w:ind w:left="2360"/>
              <w:spacing w:after="0"/>
              <w:rPr>
                <w:sz w:val="20"/>
                <w:szCs w:val="20"/>
                <w:color w:val="auto"/>
              </w:rPr>
            </w:pPr>
            <w:r>
              <w:rPr>
                <w:rFonts w:ascii="Arial" w:cs="Arial" w:eastAsia="Arial" w:hAnsi="Arial"/>
                <w:sz w:val="20"/>
                <w:szCs w:val="20"/>
                <w:color w:val="auto"/>
              </w:rPr>
              <w:t>Sotera Health Company</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3"/>
          </w:tcPr>
          <w:p>
            <w:pPr>
              <w:jc w:val="right"/>
              <w:ind w:right="663"/>
              <w:spacing w:after="0"/>
              <w:rPr>
                <w:sz w:val="20"/>
                <w:szCs w:val="20"/>
                <w:color w:val="auto"/>
              </w:rPr>
            </w:pPr>
            <w:r>
              <w:rPr>
                <w:rFonts w:ascii="Arial" w:cs="Arial" w:eastAsia="Arial" w:hAnsi="Arial"/>
                <w:sz w:val="20"/>
                <w:szCs w:val="20"/>
                <w:color w:val="auto"/>
              </w:rPr>
              <w:t>Notes to Consolidated Financial Statements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1780" w:type="dxa"/>
            <w:vAlign w:val="bottom"/>
            <w:gridSpan w:val="2"/>
            <w:shd w:val="clear" w:color="auto" w:fill="D2EEF5"/>
          </w:tcPr>
          <w:p>
            <w:pPr>
              <w:ind w:left="40"/>
              <w:spacing w:after="0"/>
              <w:rPr>
                <w:sz w:val="20"/>
                <w:szCs w:val="20"/>
                <w:color w:val="auto"/>
              </w:rPr>
            </w:pPr>
            <w:r>
              <w:rPr>
                <w:rFonts w:ascii="Arial" w:cs="Arial" w:eastAsia="Arial" w:hAnsi="Arial"/>
                <w:sz w:val="20"/>
                <w:szCs w:val="20"/>
                <w:color w:val="auto"/>
              </w:rPr>
              <w:t>2026</w:t>
            </w:r>
          </w:p>
        </w:tc>
        <w:tc>
          <w:tcPr>
            <w:tcW w:w="20" w:type="dxa"/>
            <w:vAlign w:val="bottom"/>
            <w:shd w:val="clear" w:color="auto" w:fill="D2EEF5"/>
          </w:tcPr>
          <w:p>
            <w:pPr>
              <w:spacing w:after="0"/>
              <w:rPr>
                <w:sz w:val="24"/>
                <w:szCs w:val="24"/>
                <w:color w:val="auto"/>
              </w:rPr>
            </w:pPr>
          </w:p>
        </w:tc>
        <w:tc>
          <w:tcPr>
            <w:tcW w:w="46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14,230</w:t>
            </w:r>
          </w:p>
        </w:tc>
        <w:tc>
          <w:tcPr>
            <w:tcW w:w="0" w:type="dxa"/>
            <w:vAlign w:val="bottom"/>
          </w:tcPr>
          <w:p>
            <w:pPr>
              <w:spacing w:after="0"/>
              <w:rPr>
                <w:sz w:val="1"/>
                <w:szCs w:val="1"/>
                <w:color w:val="auto"/>
              </w:rPr>
            </w:pPr>
          </w:p>
        </w:tc>
      </w:tr>
      <w:tr>
        <w:trPr>
          <w:trHeight w:val="278"/>
        </w:trPr>
        <w:tc>
          <w:tcPr>
            <w:tcW w:w="1780" w:type="dxa"/>
            <w:vAlign w:val="bottom"/>
            <w:gridSpan w:val="2"/>
          </w:tcPr>
          <w:p>
            <w:pPr>
              <w:ind w:left="40"/>
              <w:spacing w:after="0"/>
              <w:rPr>
                <w:sz w:val="20"/>
                <w:szCs w:val="20"/>
                <w:color w:val="auto"/>
              </w:rPr>
            </w:pPr>
            <w:r>
              <w:rPr>
                <w:rFonts w:ascii="Arial" w:cs="Arial" w:eastAsia="Arial" w:hAnsi="Arial"/>
                <w:sz w:val="20"/>
                <w:szCs w:val="20"/>
                <w:color w:val="auto"/>
              </w:rPr>
              <w:t>2027</w:t>
            </w:r>
          </w:p>
        </w:tc>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b w:val="1"/>
                <w:bCs w:val="1"/>
                <w:color w:val="auto"/>
              </w:rPr>
              <w:t>14,230</w:t>
            </w:r>
          </w:p>
        </w:tc>
        <w:tc>
          <w:tcPr>
            <w:tcW w:w="0" w:type="dxa"/>
            <w:vAlign w:val="bottom"/>
          </w:tcPr>
          <w:p>
            <w:pPr>
              <w:spacing w:after="0"/>
              <w:rPr>
                <w:sz w:val="1"/>
                <w:szCs w:val="1"/>
                <w:color w:val="auto"/>
              </w:rPr>
            </w:pPr>
          </w:p>
        </w:tc>
      </w:tr>
      <w:tr>
        <w:trPr>
          <w:trHeight w:val="292"/>
        </w:trPr>
        <w:tc>
          <w:tcPr>
            <w:tcW w:w="1780" w:type="dxa"/>
            <w:vAlign w:val="bottom"/>
            <w:gridSpan w:val="2"/>
            <w:shd w:val="clear" w:color="auto" w:fill="D2EEF5"/>
          </w:tcPr>
          <w:p>
            <w:pPr>
              <w:ind w:left="40"/>
              <w:spacing w:after="0"/>
              <w:rPr>
                <w:sz w:val="20"/>
                <w:szCs w:val="20"/>
                <w:color w:val="auto"/>
              </w:rPr>
            </w:pPr>
            <w:r>
              <w:rPr>
                <w:rFonts w:ascii="Arial" w:cs="Arial" w:eastAsia="Arial" w:hAnsi="Arial"/>
                <w:sz w:val="20"/>
                <w:szCs w:val="20"/>
                <w:color w:val="auto"/>
              </w:rPr>
              <w:t>2028</w:t>
            </w:r>
          </w:p>
        </w:tc>
        <w:tc>
          <w:tcPr>
            <w:tcW w:w="20" w:type="dxa"/>
            <w:vAlign w:val="bottom"/>
            <w:shd w:val="clear" w:color="auto" w:fill="D2EEF5"/>
          </w:tcPr>
          <w:p>
            <w:pPr>
              <w:spacing w:after="0"/>
              <w:rPr>
                <w:sz w:val="24"/>
                <w:szCs w:val="24"/>
                <w:color w:val="auto"/>
              </w:rPr>
            </w:pPr>
          </w:p>
        </w:tc>
        <w:tc>
          <w:tcPr>
            <w:tcW w:w="46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14,230</w:t>
            </w:r>
          </w:p>
        </w:tc>
        <w:tc>
          <w:tcPr>
            <w:tcW w:w="0" w:type="dxa"/>
            <w:vAlign w:val="bottom"/>
          </w:tcPr>
          <w:p>
            <w:pPr>
              <w:spacing w:after="0"/>
              <w:rPr>
                <w:sz w:val="1"/>
                <w:szCs w:val="1"/>
                <w:color w:val="auto"/>
              </w:rPr>
            </w:pPr>
          </w:p>
        </w:tc>
      </w:tr>
      <w:tr>
        <w:trPr>
          <w:trHeight w:val="278"/>
        </w:trPr>
        <w:tc>
          <w:tcPr>
            <w:tcW w:w="1780" w:type="dxa"/>
            <w:vAlign w:val="bottom"/>
            <w:gridSpan w:val="2"/>
          </w:tcPr>
          <w:p>
            <w:pPr>
              <w:ind w:left="40"/>
              <w:spacing w:after="0"/>
              <w:rPr>
                <w:sz w:val="20"/>
                <w:szCs w:val="20"/>
                <w:color w:val="auto"/>
              </w:rPr>
            </w:pPr>
            <w:r>
              <w:rPr>
                <w:rFonts w:ascii="Arial" w:cs="Arial" w:eastAsia="Arial" w:hAnsi="Arial"/>
                <w:sz w:val="20"/>
                <w:szCs w:val="20"/>
                <w:color w:val="auto"/>
              </w:rPr>
              <w:t>2029</w:t>
            </w:r>
          </w:p>
        </w:tc>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20"/>
                <w:szCs w:val="20"/>
                <w:b w:val="1"/>
                <w:bCs w:val="1"/>
                <w:color w:val="auto"/>
              </w:rPr>
              <w:t>14,230</w:t>
            </w:r>
          </w:p>
        </w:tc>
        <w:tc>
          <w:tcPr>
            <w:tcW w:w="0" w:type="dxa"/>
            <w:vAlign w:val="bottom"/>
          </w:tcPr>
          <w:p>
            <w:pPr>
              <w:spacing w:after="0"/>
              <w:rPr>
                <w:sz w:val="1"/>
                <w:szCs w:val="1"/>
                <w:color w:val="auto"/>
              </w:rPr>
            </w:pPr>
          </w:p>
        </w:tc>
      </w:tr>
      <w:tr>
        <w:trPr>
          <w:trHeight w:val="292"/>
        </w:trPr>
        <w:tc>
          <w:tcPr>
            <w:tcW w:w="1780" w:type="dxa"/>
            <w:vAlign w:val="bottom"/>
            <w:gridSpan w:val="2"/>
            <w:shd w:val="clear" w:color="auto" w:fill="D2EEF5"/>
          </w:tcPr>
          <w:p>
            <w:pPr>
              <w:ind w:left="40"/>
              <w:spacing w:after="0"/>
              <w:rPr>
                <w:sz w:val="20"/>
                <w:szCs w:val="20"/>
                <w:color w:val="auto"/>
              </w:rPr>
            </w:pPr>
            <w:r>
              <w:rPr>
                <w:rFonts w:ascii="Arial" w:cs="Arial" w:eastAsia="Arial" w:hAnsi="Arial"/>
                <w:sz w:val="20"/>
                <w:szCs w:val="20"/>
                <w:color w:val="auto"/>
              </w:rPr>
              <w:t>2030</w:t>
            </w:r>
          </w:p>
        </w:tc>
        <w:tc>
          <w:tcPr>
            <w:tcW w:w="20" w:type="dxa"/>
            <w:vAlign w:val="bottom"/>
            <w:shd w:val="clear" w:color="auto" w:fill="D2EEF5"/>
          </w:tcPr>
          <w:p>
            <w:pPr>
              <w:spacing w:after="0"/>
              <w:rPr>
                <w:sz w:val="24"/>
                <w:szCs w:val="24"/>
                <w:color w:val="auto"/>
              </w:rPr>
            </w:pPr>
          </w:p>
        </w:tc>
        <w:tc>
          <w:tcPr>
            <w:tcW w:w="46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14,230</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638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Thereafter</w:t>
            </w:r>
          </w:p>
        </w:tc>
        <w:tc>
          <w:tcPr>
            <w:tcW w:w="280" w:type="dxa"/>
            <w:vAlign w:val="bottom"/>
            <w:tcBorders>
              <w:bottom w:val="single" w:sz="8" w:color="D2EEF5"/>
            </w:tcBorders>
          </w:tcPr>
          <w:p>
            <w:pPr>
              <w:spacing w:after="0"/>
              <w:rPr>
                <w:sz w:val="23"/>
                <w:szCs w:val="23"/>
                <w:color w:val="auto"/>
              </w:rPr>
            </w:pPr>
          </w:p>
        </w:tc>
        <w:tc>
          <w:tcPr>
            <w:tcW w:w="920" w:type="dxa"/>
            <w:vAlign w:val="bottom"/>
            <w:tcBorders>
              <w:bottom w:val="single" w:sz="8" w:color="D2EEF5"/>
            </w:tcBorders>
          </w:tcPr>
          <w:p>
            <w:pPr>
              <w:spacing w:after="0"/>
              <w:rPr>
                <w:sz w:val="23"/>
                <w:szCs w:val="23"/>
                <w:color w:val="auto"/>
              </w:rPr>
            </w:pPr>
          </w:p>
        </w:tc>
        <w:tc>
          <w:tcPr>
            <w:tcW w:w="120" w:type="dxa"/>
            <w:vAlign w:val="bottom"/>
            <w:tcBorders>
              <w:bottom w:val="single" w:sz="8" w:color="D2EEF5"/>
            </w:tcBorders>
          </w:tcPr>
          <w:p>
            <w:pPr>
              <w:spacing w:after="0"/>
              <w:rPr>
                <w:sz w:val="23"/>
                <w:szCs w:val="23"/>
                <w:color w:val="auto"/>
              </w:rPr>
            </w:pPr>
          </w:p>
        </w:tc>
        <w:tc>
          <w:tcPr>
            <w:tcW w:w="260" w:type="dxa"/>
            <w:vAlign w:val="bottom"/>
            <w:tcBorders>
              <w:bottom w:val="single" w:sz="8" w:color="D2EEF5"/>
            </w:tcBorders>
          </w:tcPr>
          <w:p>
            <w:pPr>
              <w:spacing w:after="0"/>
              <w:rPr>
                <w:sz w:val="23"/>
                <w:szCs w:val="23"/>
                <w:color w:val="auto"/>
              </w:rPr>
            </w:pPr>
          </w:p>
        </w:tc>
        <w:tc>
          <w:tcPr>
            <w:tcW w:w="940" w:type="dxa"/>
            <w:vAlign w:val="bottom"/>
            <w:tcBorders>
              <w:bottom w:val="single" w:sz="8" w:color="D2EEF5"/>
            </w:tcBorders>
          </w:tcPr>
          <w:p>
            <w:pPr>
              <w:spacing w:after="0"/>
              <w:rPr>
                <w:sz w:val="23"/>
                <w:szCs w:val="23"/>
                <w:color w:val="auto"/>
              </w:rPr>
            </w:pPr>
          </w:p>
        </w:tc>
        <w:tc>
          <w:tcPr>
            <w:tcW w:w="12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w w:val="96"/>
              </w:rPr>
              <w:t>2,098,322</w:t>
            </w:r>
          </w:p>
        </w:tc>
        <w:tc>
          <w:tcPr>
            <w:tcW w:w="0" w:type="dxa"/>
            <w:vAlign w:val="bottom"/>
          </w:tcPr>
          <w:p>
            <w:pPr>
              <w:spacing w:after="0"/>
              <w:rPr>
                <w:sz w:val="1"/>
                <w:szCs w:val="1"/>
                <w:color w:val="auto"/>
              </w:rPr>
            </w:pPr>
          </w:p>
        </w:tc>
      </w:tr>
      <w:tr>
        <w:trPr>
          <w:trHeight w:val="270"/>
        </w:trPr>
        <w:tc>
          <w:tcPr>
            <w:tcW w:w="40" w:type="dxa"/>
            <w:vAlign w:val="bottom"/>
            <w:tcBorders>
              <w:bottom w:val="single" w:sz="8" w:color="D2EEF5"/>
            </w:tcBorders>
            <w:shd w:val="clear" w:color="auto" w:fill="D2EEF5"/>
          </w:tcPr>
          <w:p>
            <w:pPr>
              <w:spacing w:after="0"/>
              <w:rPr>
                <w:sz w:val="23"/>
                <w:szCs w:val="23"/>
                <w:color w:val="auto"/>
              </w:rPr>
            </w:pPr>
          </w:p>
        </w:tc>
        <w:tc>
          <w:tcPr>
            <w:tcW w:w="638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D2EEF5"/>
            </w:tcBorders>
            <w:shd w:val="clear" w:color="auto" w:fill="D2EEF5"/>
          </w:tcPr>
          <w:p>
            <w:pPr>
              <w:spacing w:after="0"/>
              <w:rPr>
                <w:sz w:val="23"/>
                <w:szCs w:val="23"/>
                <w:color w:val="auto"/>
              </w:rPr>
            </w:pPr>
          </w:p>
        </w:tc>
        <w:tc>
          <w:tcPr>
            <w:tcW w:w="920" w:type="dxa"/>
            <w:vAlign w:val="bottom"/>
            <w:tcBorders>
              <w:bottom w:val="single" w:sz="8" w:color="D2EEF5"/>
            </w:tcBorders>
            <w:shd w:val="clear" w:color="auto" w:fill="D2EEF5"/>
          </w:tcPr>
          <w:p>
            <w:pPr>
              <w:spacing w:after="0"/>
              <w:rPr>
                <w:sz w:val="23"/>
                <w:szCs w:val="23"/>
                <w:color w:val="auto"/>
              </w:rPr>
            </w:pPr>
          </w:p>
        </w:tc>
        <w:tc>
          <w:tcPr>
            <w:tcW w:w="120" w:type="dxa"/>
            <w:vAlign w:val="bottom"/>
            <w:tcBorders>
              <w:bottom w:val="single" w:sz="8" w:color="D2EEF5"/>
            </w:tcBorders>
            <w:shd w:val="clear" w:color="auto" w:fill="D2EEF5"/>
          </w:tcPr>
          <w:p>
            <w:pPr>
              <w:spacing w:after="0"/>
              <w:rPr>
                <w:sz w:val="23"/>
                <w:szCs w:val="23"/>
                <w:color w:val="auto"/>
              </w:rPr>
            </w:pPr>
          </w:p>
        </w:tc>
        <w:tc>
          <w:tcPr>
            <w:tcW w:w="260" w:type="dxa"/>
            <w:vAlign w:val="bottom"/>
            <w:tcBorders>
              <w:bottom w:val="single" w:sz="8" w:color="D2EEF5"/>
            </w:tcBorders>
            <w:shd w:val="clear" w:color="auto" w:fill="D2EEF5"/>
          </w:tcPr>
          <w:p>
            <w:pPr>
              <w:spacing w:after="0"/>
              <w:rPr>
                <w:sz w:val="23"/>
                <w:szCs w:val="23"/>
                <w:color w:val="auto"/>
              </w:rPr>
            </w:pPr>
          </w:p>
        </w:tc>
        <w:tc>
          <w:tcPr>
            <w:tcW w:w="940" w:type="dxa"/>
            <w:vAlign w:val="bottom"/>
            <w:tcBorders>
              <w:bottom w:val="single" w:sz="8" w:color="D2EEF5"/>
            </w:tcBorders>
            <w:shd w:val="clear" w:color="auto" w:fill="D2EEF5"/>
          </w:tcPr>
          <w:p>
            <w:pPr>
              <w:spacing w:after="0"/>
              <w:rPr>
                <w:sz w:val="23"/>
                <w:szCs w:val="23"/>
                <w:color w:val="auto"/>
              </w:rPr>
            </w:pPr>
          </w:p>
        </w:tc>
        <w:tc>
          <w:tcPr>
            <w:tcW w:w="12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20"/>
                <w:szCs w:val="20"/>
                <w:b w:val="1"/>
                <w:bCs w:val="1"/>
                <w:color w:val="auto"/>
                <w:w w:val="96"/>
              </w:rPr>
              <w:t>2,169,472</w:t>
            </w:r>
          </w:p>
        </w:tc>
        <w:tc>
          <w:tcPr>
            <w:tcW w:w="0" w:type="dxa"/>
            <w:vAlign w:val="bottom"/>
          </w:tcPr>
          <w:p>
            <w:pPr>
              <w:spacing w:after="0"/>
              <w:rPr>
                <w:sz w:val="1"/>
                <w:szCs w:val="1"/>
                <w:color w:val="auto"/>
              </w:rPr>
            </w:pPr>
          </w:p>
        </w:tc>
      </w:tr>
      <w:tr>
        <w:trPr>
          <w:trHeight w:val="20"/>
        </w:trPr>
        <w:tc>
          <w:tcPr>
            <w:tcW w:w="6420" w:type="dxa"/>
            <w:vAlign w:val="bottom"/>
            <w:tcBorders>
              <w:top w:val="single" w:sz="8" w:color="D2EEF5"/>
              <w:bottom w:val="single" w:sz="8" w:color="D2EEF5"/>
            </w:tcBorders>
            <w:gridSpan w:val="4"/>
            <w:vMerge w:val="restart"/>
          </w:tcPr>
          <w:p>
            <w:pPr>
              <w:spacing w:after="0"/>
              <w:rPr>
                <w:sz w:val="20"/>
                <w:szCs w:val="20"/>
                <w:color w:val="auto"/>
              </w:rPr>
            </w:pPr>
            <w:r>
              <w:rPr>
                <w:rFonts w:ascii="Arial" w:cs="Arial" w:eastAsia="Arial" w:hAnsi="Arial"/>
                <w:sz w:val="20"/>
                <w:szCs w:val="20"/>
                <w:b w:val="1"/>
                <w:bCs w:val="1"/>
                <w:color w:val="auto"/>
              </w:rPr>
              <w:t>10. Income Taxes</w:t>
            </w:r>
          </w:p>
        </w:tc>
        <w:tc>
          <w:tcPr>
            <w:tcW w:w="280" w:type="dxa"/>
            <w:vAlign w:val="bottom"/>
            <w:tcBorders>
              <w:top w:val="single" w:sz="8" w:color="D2EEF5"/>
            </w:tcBorders>
          </w:tcPr>
          <w:p>
            <w:pPr>
              <w:spacing w:after="0" w:line="20" w:lineRule="exact"/>
              <w:rPr>
                <w:sz w:val="1"/>
                <w:szCs w:val="1"/>
                <w:color w:val="auto"/>
              </w:rPr>
            </w:pPr>
          </w:p>
        </w:tc>
        <w:tc>
          <w:tcPr>
            <w:tcW w:w="920" w:type="dxa"/>
            <w:vAlign w:val="bottom"/>
            <w:tcBorders>
              <w:top w:val="single" w:sz="8" w:color="D2EEF5"/>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60" w:type="dxa"/>
            <w:vAlign w:val="bottom"/>
            <w:tcBorders>
              <w:top w:val="single" w:sz="8" w:color="D2EEF5"/>
            </w:tcBorders>
          </w:tcPr>
          <w:p>
            <w:pPr>
              <w:spacing w:after="0" w:line="20" w:lineRule="exact"/>
              <w:rPr>
                <w:sz w:val="1"/>
                <w:szCs w:val="1"/>
                <w:color w:val="auto"/>
              </w:rPr>
            </w:pPr>
          </w:p>
        </w:tc>
        <w:tc>
          <w:tcPr>
            <w:tcW w:w="940" w:type="dxa"/>
            <w:vAlign w:val="bottom"/>
            <w:tcBorders>
              <w:top w:val="single" w:sz="8" w:color="D2EEF5"/>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20" w:type="dxa"/>
            <w:vAlign w:val="bottom"/>
            <w:tcBorders>
              <w:top w:val="single" w:sz="8" w:color="D2EEF5"/>
              <w:bottom w:val="single" w:sz="8" w:color="auto"/>
            </w:tcBorders>
          </w:tcPr>
          <w:p>
            <w:pPr>
              <w:spacing w:after="0" w:line="20" w:lineRule="exact"/>
              <w:rPr>
                <w:sz w:val="1"/>
                <w:szCs w:val="1"/>
                <w:color w:val="auto"/>
              </w:rPr>
            </w:pPr>
          </w:p>
        </w:tc>
        <w:tc>
          <w:tcPr>
            <w:tcW w:w="980" w:type="dxa"/>
            <w:vAlign w:val="bottom"/>
            <w:tcBorders>
              <w:top w:val="single" w:sz="8" w:color="D2EE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642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420" w:type="dxa"/>
            <w:vAlign w:val="bottom"/>
            <w:gridSpan w:val="4"/>
          </w:tcPr>
          <w:p>
            <w:pPr>
              <w:spacing w:after="0"/>
              <w:rPr>
                <w:sz w:val="20"/>
                <w:szCs w:val="20"/>
                <w:color w:val="auto"/>
              </w:rPr>
            </w:pPr>
            <w:r>
              <w:rPr>
                <w:rFonts w:ascii="Arial" w:cs="Arial" w:eastAsia="Arial" w:hAnsi="Arial"/>
                <w:sz w:val="20"/>
                <w:szCs w:val="20"/>
                <w:color w:val="auto"/>
                <w:w w:val="99"/>
              </w:rPr>
              <w:t>The geographic sources of income before income taxes were as follows: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46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4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43"/>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4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20" w:type="dxa"/>
            <w:vAlign w:val="bottom"/>
            <w:tcBorders>
              <w:top w:val="single" w:sz="8" w:color="auto"/>
              <w:bottom w:val="single" w:sz="8" w:color="D2EEF5"/>
            </w:tcBorders>
          </w:tcPr>
          <w:p>
            <w:pPr>
              <w:spacing w:after="0" w:line="20" w:lineRule="exact"/>
              <w:rPr>
                <w:sz w:val="1"/>
                <w:szCs w:val="1"/>
                <w:color w:val="auto"/>
              </w:rPr>
            </w:pPr>
          </w:p>
        </w:tc>
        <w:tc>
          <w:tcPr>
            <w:tcW w:w="46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U.S.</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(69,357)</w:t>
            </w:r>
          </w:p>
        </w:tc>
        <w:tc>
          <w:tcPr>
            <w:tcW w:w="380" w:type="dxa"/>
            <w:vAlign w:val="bottom"/>
            <w:gridSpan w:val="2"/>
            <w:shd w:val="clear" w:color="auto" w:fill="D2EEF5"/>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(116,049)</w:t>
            </w:r>
          </w:p>
        </w:tc>
        <w:tc>
          <w:tcPr>
            <w:tcW w:w="120" w:type="dxa"/>
            <w:vAlign w:val="bottom"/>
            <w:shd w:val="clear" w:color="auto" w:fill="D2EEF5"/>
          </w:tcPr>
          <w:p>
            <w:pPr>
              <w:spacing w:after="0"/>
              <w:rPr>
                <w:sz w:val="23"/>
                <w:szCs w:val="23"/>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(100,635)</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638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Foreign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216,863</w:t>
            </w:r>
          </w:p>
        </w:tc>
        <w:tc>
          <w:tcPr>
            <w:tcW w:w="120" w:type="dxa"/>
            <w:vAlign w:val="bottom"/>
            <w:tcBorders>
              <w:bottom w:val="single" w:sz="8" w:color="D2EEF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229,923</w:t>
            </w:r>
          </w:p>
        </w:tc>
        <w:tc>
          <w:tcPr>
            <w:tcW w:w="12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206,662</w:t>
            </w:r>
          </w:p>
        </w:tc>
        <w:tc>
          <w:tcPr>
            <w:tcW w:w="0" w:type="dxa"/>
            <w:vAlign w:val="bottom"/>
          </w:tcPr>
          <w:p>
            <w:pPr>
              <w:spacing w:after="0"/>
              <w:rPr>
                <w:sz w:val="1"/>
                <w:szCs w:val="1"/>
                <w:color w:val="auto"/>
              </w:rPr>
            </w:pPr>
          </w:p>
        </w:tc>
      </w:tr>
      <w:tr>
        <w:trPr>
          <w:trHeight w:val="265"/>
        </w:trPr>
        <w:tc>
          <w:tcPr>
            <w:tcW w:w="40" w:type="dxa"/>
            <w:vAlign w:val="bottom"/>
            <w:shd w:val="clear" w:color="auto" w:fill="D2EEF5"/>
          </w:tcPr>
          <w:p>
            <w:pPr>
              <w:spacing w:after="0"/>
              <w:rPr>
                <w:sz w:val="23"/>
                <w:szCs w:val="23"/>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Income before income taxes</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147,506</w:t>
            </w:r>
          </w:p>
        </w:tc>
        <w:tc>
          <w:tcPr>
            <w:tcW w:w="380" w:type="dxa"/>
            <w:vAlign w:val="bottom"/>
            <w:gridSpan w:val="2"/>
            <w:shd w:val="clear" w:color="auto" w:fill="D2EEF5"/>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113,874</w:t>
            </w:r>
          </w:p>
        </w:tc>
        <w:tc>
          <w:tcPr>
            <w:tcW w:w="120" w:type="dxa"/>
            <w:vAlign w:val="bottom"/>
            <w:shd w:val="clear" w:color="auto" w:fill="D2EEF5"/>
          </w:tcPr>
          <w:p>
            <w:pPr>
              <w:spacing w:after="0"/>
              <w:rPr>
                <w:sz w:val="23"/>
                <w:szCs w:val="23"/>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106,027</w:t>
            </w:r>
          </w:p>
        </w:tc>
        <w:tc>
          <w:tcPr>
            <w:tcW w:w="0" w:type="dxa"/>
            <w:vAlign w:val="bottom"/>
          </w:tcPr>
          <w:p>
            <w:pPr>
              <w:spacing w:after="0"/>
              <w:rPr>
                <w:sz w:val="1"/>
                <w:szCs w:val="1"/>
                <w:color w:val="auto"/>
              </w:rPr>
            </w:pPr>
          </w:p>
        </w:tc>
      </w:tr>
      <w:tr>
        <w:trPr>
          <w:trHeight w:val="20"/>
        </w:trPr>
        <w:tc>
          <w:tcPr>
            <w:tcW w:w="6420" w:type="dxa"/>
            <w:vAlign w:val="bottom"/>
            <w:tcBorders>
              <w:top w:val="single" w:sz="8" w:color="D2EEF5"/>
              <w:bottom w:val="single" w:sz="8" w:color="D2EEF5"/>
            </w:tcBorders>
            <w:gridSpan w:val="4"/>
            <w:vMerge w:val="restart"/>
          </w:tcPr>
          <w:p>
            <w:pPr>
              <w:spacing w:after="0"/>
              <w:rPr>
                <w:sz w:val="20"/>
                <w:szCs w:val="20"/>
                <w:color w:val="auto"/>
              </w:rPr>
            </w:pPr>
            <w:r>
              <w:rPr>
                <w:rFonts w:ascii="Arial" w:cs="Arial" w:eastAsia="Arial" w:hAnsi="Arial"/>
                <w:sz w:val="20"/>
                <w:szCs w:val="20"/>
                <w:color w:val="auto"/>
              </w:rPr>
              <w:t>Provision for income taxes consisted of the following: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642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46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4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43"/>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4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20" w:type="dxa"/>
            <w:vAlign w:val="bottom"/>
            <w:tcBorders>
              <w:top w:val="single" w:sz="8" w:color="auto"/>
              <w:bottom w:val="single" w:sz="8" w:color="D2EEF5"/>
            </w:tcBorders>
          </w:tcPr>
          <w:p>
            <w:pPr>
              <w:spacing w:after="0" w:line="20" w:lineRule="exact"/>
              <w:rPr>
                <w:sz w:val="1"/>
                <w:szCs w:val="1"/>
                <w:color w:val="auto"/>
              </w:rPr>
            </w:pPr>
          </w:p>
        </w:tc>
        <w:tc>
          <w:tcPr>
            <w:tcW w:w="46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Current</w:t>
            </w:r>
          </w:p>
        </w:tc>
        <w:tc>
          <w:tcPr>
            <w:tcW w:w="280" w:type="dxa"/>
            <w:vAlign w:val="bottom"/>
            <w:shd w:val="clear" w:color="auto" w:fill="D2EEF5"/>
          </w:tcPr>
          <w:p>
            <w:pPr>
              <w:spacing w:after="0"/>
              <w:rPr>
                <w:sz w:val="23"/>
                <w:szCs w:val="23"/>
                <w:color w:val="auto"/>
              </w:rPr>
            </w:pPr>
          </w:p>
        </w:tc>
        <w:tc>
          <w:tcPr>
            <w:tcW w:w="92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260" w:type="dxa"/>
            <w:vAlign w:val="bottom"/>
            <w:shd w:val="clear" w:color="auto" w:fill="D2EEF5"/>
          </w:tcPr>
          <w:p>
            <w:pPr>
              <w:spacing w:after="0"/>
              <w:rPr>
                <w:sz w:val="23"/>
                <w:szCs w:val="23"/>
                <w:color w:val="auto"/>
              </w:rPr>
            </w:pPr>
          </w:p>
        </w:tc>
        <w:tc>
          <w:tcPr>
            <w:tcW w:w="94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220" w:type="dxa"/>
            <w:vAlign w:val="bottom"/>
            <w:shd w:val="clear" w:color="auto" w:fill="D2EEF5"/>
          </w:tcPr>
          <w:p>
            <w:pPr>
              <w:spacing w:after="0"/>
              <w:rPr>
                <w:sz w:val="23"/>
                <w:szCs w:val="23"/>
                <w:color w:val="auto"/>
              </w:rPr>
            </w:pPr>
          </w:p>
        </w:tc>
        <w:tc>
          <w:tcPr>
            <w:tcW w:w="980" w:type="dxa"/>
            <w:vAlign w:val="bottom"/>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380" w:type="dxa"/>
            <w:vAlign w:val="bottom"/>
            <w:gridSpan w:val="3"/>
          </w:tcPr>
          <w:p>
            <w:pPr>
              <w:ind w:left="480"/>
              <w:spacing w:after="0"/>
              <w:rPr>
                <w:sz w:val="20"/>
                <w:szCs w:val="20"/>
                <w:color w:val="auto"/>
              </w:rPr>
            </w:pPr>
            <w:r>
              <w:rPr>
                <w:rFonts w:ascii="Arial" w:cs="Arial" w:eastAsia="Arial" w:hAnsi="Arial"/>
                <w:sz w:val="20"/>
                <w:szCs w:val="20"/>
                <w:color w:val="auto"/>
              </w:rPr>
              <w:t>Federal U.S.</w:t>
            </w:r>
          </w:p>
        </w:tc>
        <w:tc>
          <w:tcPr>
            <w:tcW w:w="28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ind w:right="3"/>
              <w:spacing w:after="0"/>
              <w:rPr>
                <w:sz w:val="20"/>
                <w:szCs w:val="20"/>
                <w:color w:val="auto"/>
              </w:rPr>
            </w:pPr>
            <w:r>
              <w:rPr>
                <w:rFonts w:ascii="Arial" w:cs="Arial" w:eastAsia="Arial" w:hAnsi="Arial"/>
                <w:sz w:val="20"/>
                <w:szCs w:val="20"/>
                <w:b w:val="1"/>
                <w:bCs w:val="1"/>
                <w:color w:val="auto"/>
              </w:rPr>
              <w:t>8,975</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3"/>
              <w:spacing w:after="0"/>
              <w:rPr>
                <w:sz w:val="20"/>
                <w:szCs w:val="20"/>
                <w:color w:val="auto"/>
              </w:rPr>
            </w:pPr>
            <w:r>
              <w:rPr>
                <w:rFonts w:ascii="Arial" w:cs="Arial" w:eastAsia="Arial" w:hAnsi="Arial"/>
                <w:sz w:val="20"/>
                <w:szCs w:val="20"/>
                <w:color w:val="auto"/>
              </w:rPr>
              <w:t>708</w:t>
            </w: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(3,809)</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638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State U.S.</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1,108</w:t>
            </w:r>
          </w:p>
        </w:tc>
        <w:tc>
          <w:tcPr>
            <w:tcW w:w="1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1,100</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924</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6380" w:type="dxa"/>
            <w:vAlign w:val="bottom"/>
            <w:tcBorders>
              <w:bottom w:val="single" w:sz="8" w:color="D2EEF5"/>
            </w:tcBorders>
            <w:gridSpan w:val="3"/>
          </w:tcPr>
          <w:p>
            <w:pPr>
              <w:ind w:left="480"/>
              <w:spacing w:after="0"/>
              <w:rPr>
                <w:sz w:val="20"/>
                <w:szCs w:val="20"/>
                <w:color w:val="auto"/>
              </w:rPr>
            </w:pPr>
            <w:r>
              <w:rPr>
                <w:rFonts w:ascii="Arial" w:cs="Arial" w:eastAsia="Arial" w:hAnsi="Arial"/>
                <w:sz w:val="20"/>
                <w:szCs w:val="20"/>
                <w:color w:val="auto"/>
              </w:rPr>
              <w:t>Foreign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59,452</w:t>
            </w:r>
          </w:p>
        </w:tc>
        <w:tc>
          <w:tcPr>
            <w:tcW w:w="120" w:type="dxa"/>
            <w:vAlign w:val="bottom"/>
            <w:tcBorders>
              <w:bottom w:val="single" w:sz="8" w:color="D2EEF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58,235</w:t>
            </w:r>
          </w:p>
        </w:tc>
        <w:tc>
          <w:tcPr>
            <w:tcW w:w="12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54,087</w:t>
            </w:r>
          </w:p>
        </w:tc>
        <w:tc>
          <w:tcPr>
            <w:tcW w:w="0" w:type="dxa"/>
            <w:vAlign w:val="bottom"/>
          </w:tcPr>
          <w:p>
            <w:pPr>
              <w:spacing w:after="0"/>
              <w:rPr>
                <w:sz w:val="1"/>
                <w:szCs w:val="1"/>
                <w:color w:val="auto"/>
              </w:rPr>
            </w:pPr>
          </w:p>
        </w:tc>
      </w:tr>
      <w:tr>
        <w:trPr>
          <w:trHeight w:val="285"/>
        </w:trPr>
        <w:tc>
          <w:tcPr>
            <w:tcW w:w="40" w:type="dxa"/>
            <w:vAlign w:val="bottom"/>
            <w:tcBorders>
              <w:bottom w:val="single" w:sz="8" w:color="D2EEF5"/>
            </w:tcBorders>
            <w:shd w:val="clear" w:color="auto" w:fill="D2EEF5"/>
          </w:tcPr>
          <w:p>
            <w:pPr>
              <w:spacing w:after="0"/>
              <w:rPr>
                <w:sz w:val="24"/>
                <w:szCs w:val="24"/>
                <w:color w:val="auto"/>
              </w:rPr>
            </w:pPr>
          </w:p>
        </w:tc>
        <w:tc>
          <w:tcPr>
            <w:tcW w:w="638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Total current provision</w:t>
            </w: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69,535</w:t>
            </w:r>
          </w:p>
        </w:tc>
        <w:tc>
          <w:tcPr>
            <w:tcW w:w="120" w:type="dxa"/>
            <w:vAlign w:val="bottom"/>
            <w:tcBorders>
              <w:bottom w:val="single" w:sz="8" w:color="D2EEF5"/>
            </w:tcBorders>
            <w:shd w:val="clear" w:color="auto" w:fill="D2EEF5"/>
          </w:tcPr>
          <w:p>
            <w:pPr>
              <w:spacing w:after="0"/>
              <w:rPr>
                <w:sz w:val="24"/>
                <w:szCs w:val="24"/>
                <w:color w:val="auto"/>
              </w:rPr>
            </w:pPr>
          </w:p>
        </w:tc>
        <w:tc>
          <w:tcPr>
            <w:tcW w:w="260" w:type="dxa"/>
            <w:vAlign w:val="bottom"/>
            <w:tcBorders>
              <w:bottom w:val="single" w:sz="8" w:color="auto"/>
            </w:tcBorders>
            <w:shd w:val="clear" w:color="auto" w:fill="D2EEF5"/>
          </w:tcPr>
          <w:p>
            <w:pPr>
              <w:spacing w:after="0"/>
              <w:rPr>
                <w:sz w:val="24"/>
                <w:szCs w:val="24"/>
                <w:color w:val="auto"/>
              </w:rPr>
            </w:pPr>
          </w:p>
        </w:tc>
        <w:tc>
          <w:tcPr>
            <w:tcW w:w="94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20"/>
                <w:szCs w:val="20"/>
                <w:color w:val="auto"/>
              </w:rPr>
              <w:t>60,043</w:t>
            </w: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ind w:right="2"/>
              <w:spacing w:after="0"/>
              <w:rPr>
                <w:sz w:val="20"/>
                <w:szCs w:val="20"/>
                <w:color w:val="auto"/>
              </w:rPr>
            </w:pPr>
            <w:r>
              <w:rPr>
                <w:rFonts w:ascii="Arial" w:cs="Arial" w:eastAsia="Arial" w:hAnsi="Arial"/>
                <w:sz w:val="20"/>
                <w:szCs w:val="20"/>
                <w:color w:val="auto"/>
              </w:rPr>
              <w:t>51,202</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6380" w:type="dxa"/>
            <w:vAlign w:val="bottom"/>
            <w:gridSpan w:val="3"/>
          </w:tcPr>
          <w:p>
            <w:pPr>
              <w:spacing w:after="0"/>
              <w:rPr>
                <w:sz w:val="20"/>
                <w:szCs w:val="20"/>
                <w:color w:val="auto"/>
              </w:rPr>
            </w:pPr>
            <w:r>
              <w:rPr>
                <w:rFonts w:ascii="Arial" w:cs="Arial" w:eastAsia="Arial" w:hAnsi="Arial"/>
                <w:sz w:val="20"/>
                <w:szCs w:val="20"/>
                <w:b w:val="1"/>
                <w:bCs w:val="1"/>
                <w:color w:val="auto"/>
              </w:rPr>
              <w:t>Deferred</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40" w:type="dxa"/>
            <w:vAlign w:val="bottom"/>
            <w:shd w:val="clear" w:color="auto" w:fill="D2EEF5"/>
          </w:tcPr>
          <w:p>
            <w:pPr>
              <w:spacing w:after="0"/>
              <w:rPr>
                <w:sz w:val="24"/>
                <w:szCs w:val="24"/>
                <w:color w:val="auto"/>
              </w:rPr>
            </w:pPr>
          </w:p>
        </w:tc>
        <w:tc>
          <w:tcPr>
            <w:tcW w:w="638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Federal U.S.</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(328)</w:t>
            </w:r>
          </w:p>
        </w:tc>
        <w:tc>
          <w:tcPr>
            <w:tcW w:w="1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13,645</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6,933</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380" w:type="dxa"/>
            <w:vAlign w:val="bottom"/>
            <w:gridSpan w:val="3"/>
          </w:tcPr>
          <w:p>
            <w:pPr>
              <w:ind w:left="480"/>
              <w:spacing w:after="0"/>
              <w:rPr>
                <w:sz w:val="20"/>
                <w:szCs w:val="20"/>
                <w:color w:val="auto"/>
              </w:rPr>
            </w:pPr>
            <w:r>
              <w:rPr>
                <w:rFonts w:ascii="Arial" w:cs="Arial" w:eastAsia="Arial" w:hAnsi="Arial"/>
                <w:sz w:val="20"/>
                <w:szCs w:val="20"/>
                <w:color w:val="auto"/>
              </w:rPr>
              <w:t>State U.S.</w:t>
            </w: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Arial" w:cs="Arial" w:eastAsia="Arial" w:hAnsi="Arial"/>
                <w:sz w:val="20"/>
                <w:szCs w:val="20"/>
                <w:b w:val="1"/>
                <w:bCs w:val="1"/>
                <w:color w:val="auto"/>
              </w:rPr>
              <w:t>670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(837)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(619)</w:t>
            </w:r>
          </w:p>
        </w:tc>
        <w:tc>
          <w:tcPr>
            <w:tcW w:w="0" w:type="dxa"/>
            <w:vAlign w:val="bottom"/>
          </w:tcPr>
          <w:p>
            <w:pPr>
              <w:spacing w:after="0"/>
              <w:rPr>
                <w:sz w:val="1"/>
                <w:szCs w:val="1"/>
                <w:color w:val="auto"/>
              </w:rPr>
            </w:pP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6380" w:type="dxa"/>
            <w:vAlign w:val="bottom"/>
            <w:tcBorders>
              <w:bottom w:val="single" w:sz="8" w:color="D2EEF5"/>
            </w:tcBorders>
            <w:gridSpan w:val="3"/>
            <w:shd w:val="clear" w:color="auto" w:fill="D2EEF5"/>
          </w:tcPr>
          <w:p>
            <w:pPr>
              <w:ind w:left="480"/>
              <w:spacing w:after="0"/>
              <w:rPr>
                <w:sz w:val="20"/>
                <w:szCs w:val="20"/>
                <w:color w:val="auto"/>
              </w:rPr>
            </w:pPr>
            <w:r>
              <w:rPr>
                <w:rFonts w:ascii="Arial" w:cs="Arial" w:eastAsia="Arial" w:hAnsi="Arial"/>
                <w:sz w:val="20"/>
                <w:szCs w:val="20"/>
                <w:color w:val="auto"/>
              </w:rPr>
              <w:t>Foreign</w:t>
            </w: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(320)</w:t>
            </w:r>
          </w:p>
        </w:tc>
        <w:tc>
          <w:tcPr>
            <w:tcW w:w="120" w:type="dxa"/>
            <w:vAlign w:val="bottom"/>
            <w:tcBorders>
              <w:bottom w:val="single" w:sz="8" w:color="D2EEF5"/>
            </w:tcBorders>
            <w:shd w:val="clear" w:color="auto" w:fill="D2EEF5"/>
          </w:tcPr>
          <w:p>
            <w:pPr>
              <w:spacing w:after="0"/>
              <w:rPr>
                <w:sz w:val="24"/>
                <w:szCs w:val="24"/>
                <w:color w:val="auto"/>
              </w:rPr>
            </w:pPr>
          </w:p>
        </w:tc>
        <w:tc>
          <w:tcPr>
            <w:tcW w:w="260" w:type="dxa"/>
            <w:vAlign w:val="bottom"/>
            <w:tcBorders>
              <w:bottom w:val="single" w:sz="8" w:color="auto"/>
            </w:tcBorders>
            <w:shd w:val="clear" w:color="auto" w:fill="D2EEF5"/>
          </w:tcPr>
          <w:p>
            <w:pPr>
              <w:spacing w:after="0"/>
              <w:rPr>
                <w:sz w:val="24"/>
                <w:szCs w:val="24"/>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(3,375)</w:t>
            </w:r>
          </w:p>
        </w:tc>
        <w:tc>
          <w:tcPr>
            <w:tcW w:w="120" w:type="dxa"/>
            <w:vAlign w:val="bottom"/>
            <w:tcBorders>
              <w:bottom w:val="single" w:sz="8" w:color="D2EEF5"/>
            </w:tcBorders>
            <w:shd w:val="clear" w:color="auto" w:fill="D2EEF5"/>
          </w:tcPr>
          <w:p>
            <w:pPr>
              <w:spacing w:after="0"/>
              <w:rPr>
                <w:sz w:val="24"/>
                <w:szCs w:val="24"/>
                <w:color w:val="auto"/>
              </w:rPr>
            </w:pPr>
          </w:p>
        </w:tc>
        <w:tc>
          <w:tcPr>
            <w:tcW w:w="220" w:type="dxa"/>
            <w:vAlign w:val="bottom"/>
            <w:tcBorders>
              <w:bottom w:val="single" w:sz="8" w:color="auto"/>
            </w:tcBorders>
            <w:shd w:val="clear" w:color="auto" w:fill="D2EEF5"/>
          </w:tcPr>
          <w:p>
            <w:pPr>
              <w:spacing w:after="0"/>
              <w:rPr>
                <w:sz w:val="24"/>
                <w:szCs w:val="24"/>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(2,865)</w:t>
            </w:r>
          </w:p>
        </w:tc>
        <w:tc>
          <w:tcPr>
            <w:tcW w:w="0" w:type="dxa"/>
            <w:vAlign w:val="bottom"/>
          </w:tcPr>
          <w:p>
            <w:pPr>
              <w:spacing w:after="0"/>
              <w:rPr>
                <w:sz w:val="1"/>
                <w:szCs w:val="1"/>
                <w:color w:val="auto"/>
              </w:rPr>
            </w:pPr>
          </w:p>
        </w:tc>
      </w:tr>
      <w:tr>
        <w:trPr>
          <w:trHeight w:val="247"/>
        </w:trPr>
        <w:tc>
          <w:tcPr>
            <w:tcW w:w="40" w:type="dxa"/>
            <w:vAlign w:val="bottom"/>
            <w:tcBorders>
              <w:bottom w:val="single" w:sz="8" w:color="D2EEF5"/>
            </w:tcBorders>
          </w:tcPr>
          <w:p>
            <w:pPr>
              <w:spacing w:after="0"/>
              <w:rPr>
                <w:sz w:val="21"/>
                <w:szCs w:val="21"/>
                <w:color w:val="auto"/>
              </w:rPr>
            </w:pPr>
          </w:p>
        </w:tc>
        <w:tc>
          <w:tcPr>
            <w:tcW w:w="638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Total deferred provision</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22</w:t>
            </w:r>
          </w:p>
        </w:tc>
        <w:tc>
          <w:tcPr>
            <w:tcW w:w="120" w:type="dxa"/>
            <w:vAlign w:val="bottom"/>
            <w:tcBorders>
              <w:bottom w:val="single" w:sz="8" w:color="D2EEF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9,433</w:t>
            </w:r>
          </w:p>
        </w:tc>
        <w:tc>
          <w:tcPr>
            <w:tcW w:w="120" w:type="dxa"/>
            <w:vAlign w:val="bottom"/>
            <w:tcBorders>
              <w:bottom w:val="single" w:sz="8" w:color="D2EEF5"/>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3,449</w:t>
            </w:r>
          </w:p>
        </w:tc>
        <w:tc>
          <w:tcPr>
            <w:tcW w:w="0" w:type="dxa"/>
            <w:vAlign w:val="bottom"/>
          </w:tcPr>
          <w:p>
            <w:pPr>
              <w:spacing w:after="0"/>
              <w:rPr>
                <w:sz w:val="1"/>
                <w:szCs w:val="1"/>
                <w:color w:val="auto"/>
              </w:rPr>
            </w:pPr>
          </w:p>
        </w:tc>
      </w:tr>
      <w:tr>
        <w:trPr>
          <w:trHeight w:val="255"/>
        </w:trPr>
        <w:tc>
          <w:tcPr>
            <w:tcW w:w="40" w:type="dxa"/>
            <w:vAlign w:val="bottom"/>
            <w:shd w:val="clear" w:color="auto" w:fill="D2EEF5"/>
          </w:tcPr>
          <w:p>
            <w:pPr>
              <w:spacing w:after="0"/>
              <w:rPr>
                <w:sz w:val="22"/>
                <w:szCs w:val="22"/>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Total provision for income taxes</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69,557</w:t>
            </w:r>
          </w:p>
        </w:tc>
        <w:tc>
          <w:tcPr>
            <w:tcW w:w="380" w:type="dxa"/>
            <w:vAlign w:val="bottom"/>
            <w:gridSpan w:val="2"/>
            <w:shd w:val="clear" w:color="auto" w:fill="D2EEF5"/>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69,476</w:t>
            </w:r>
          </w:p>
        </w:tc>
        <w:tc>
          <w:tcPr>
            <w:tcW w:w="120" w:type="dxa"/>
            <w:vAlign w:val="bottom"/>
            <w:shd w:val="clear" w:color="auto" w:fill="D2EEF5"/>
          </w:tcPr>
          <w:p>
            <w:pPr>
              <w:spacing w:after="0"/>
              <w:rPr>
                <w:sz w:val="22"/>
                <w:szCs w:val="22"/>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54,651</w:t>
            </w:r>
          </w:p>
        </w:tc>
        <w:tc>
          <w:tcPr>
            <w:tcW w:w="0" w:type="dxa"/>
            <w:vAlign w:val="bottom"/>
          </w:tcPr>
          <w:p>
            <w:pPr>
              <w:spacing w:after="0"/>
              <w:rPr>
                <w:sz w:val="1"/>
                <w:szCs w:val="1"/>
                <w:color w:val="auto"/>
              </w:rPr>
            </w:pP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tcBorders>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46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-4330065</wp:posOffset>
            </wp:positionV>
            <wp:extent cx="787400"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extLst>
                    </a:blip>
                    <a:srcRect/>
                    <a:stretch>
                      <a:fillRect/>
                    </a:stretch>
                  </pic:blipFill>
                  <pic:spPr bwMode="auto">
                    <a:xfrm>
                      <a:off x="0" y="0"/>
                      <a:ext cx="787400" cy="508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-2758440</wp:posOffset>
            </wp:positionV>
            <wp:extent cx="246380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extLst>
                    </a:blip>
                    <a:srcRect/>
                    <a:stretch>
                      <a:fillRect/>
                    </a:stretch>
                  </pic:blipFill>
                  <pic:spPr bwMode="auto">
                    <a:xfrm>
                      <a:off x="0" y="0"/>
                      <a:ext cx="2463800" cy="508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-43815</wp:posOffset>
            </wp:positionV>
            <wp:extent cx="246380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extLst>
                    </a:blip>
                    <a:srcRect/>
                    <a:stretch>
                      <a:fillRect/>
                    </a:stretch>
                  </pic:blipFill>
                  <pic:spPr bwMode="auto">
                    <a:xfrm>
                      <a:off x="0" y="0"/>
                      <a:ext cx="2463800" cy="50800"/>
                    </a:xfrm>
                    <a:prstGeom prst="rect">
                      <a:avLst/>
                    </a:prstGeom>
                    <a:noFill/>
                  </pic:spPr>
                </pic:pic>
              </a:graphicData>
            </a:graphic>
          </wp:anchor>
        </w:drawing>
      </w:r>
    </w:p>
    <w:p>
      <w:pPr>
        <w:sectPr>
          <w:pgSz w:w="11880" w:h="15480" w:orient="portrait"/>
          <w:cols w:equalWidth="0" w:num="1">
            <w:col w:w="10260"/>
          </w:cols>
          <w:pgMar w:left="82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0260"/>
          </w:cols>
          <w:pgMar w:left="820" w:top="422" w:right="800" w:bottom="0" w:gutter="0" w:footer="0" w:header="0"/>
          <w:type w:val="continuous"/>
        </w:sectPr>
      </w:pPr>
    </w:p>
    <w:bookmarkStart w:id="91" w:name="page92"/>
    <w:bookmarkEnd w:id="91"/>
    <w:p>
      <w:pPr>
        <w:jc w:val="center"/>
        <w:ind w:right="50"/>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50"/>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left="10" w:right="620"/>
        <w:spacing w:after="0" w:line="283" w:lineRule="auto"/>
        <w:rPr>
          <w:sz w:val="20"/>
          <w:szCs w:val="20"/>
          <w:color w:val="auto"/>
        </w:rPr>
      </w:pPr>
      <w:r>
        <w:rPr>
          <w:rFonts w:ascii="Arial" w:cs="Arial" w:eastAsia="Arial" w:hAnsi="Arial"/>
          <w:sz w:val="20"/>
          <w:szCs w:val="20"/>
          <w:color w:val="auto"/>
        </w:rPr>
        <w:t>The provision for income taxes for the year ended December 31, 2025 is reconciled with the U.S. federal statutory rate as follows:</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34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7"/>
                <w:szCs w:val="17"/>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2025</w:t>
            </w:r>
          </w:p>
        </w:tc>
        <w:tc>
          <w:tcPr>
            <w:tcW w:w="1180" w:type="dxa"/>
            <w:vAlign w:val="bottom"/>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1760" w:type="dxa"/>
            <w:vAlign w:val="bottom"/>
            <w:tcBorders>
              <w:top w:val="single" w:sz="8" w:color="auto"/>
            </w:tcBorders>
            <w:gridSpan w:val="2"/>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73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260" w:type="dxa"/>
            <w:vAlign w:val="bottom"/>
          </w:tcPr>
          <w:p>
            <w:pPr>
              <w:spacing w:after="0"/>
              <w:rPr>
                <w:sz w:val="19"/>
                <w:szCs w:val="19"/>
                <w:color w:val="auto"/>
              </w:rPr>
            </w:pPr>
          </w:p>
        </w:tc>
        <w:tc>
          <w:tcPr>
            <w:tcW w:w="1500" w:type="dxa"/>
            <w:vAlign w:val="bottom"/>
            <w:gridSpan w:val="3"/>
          </w:tcPr>
          <w:p>
            <w:pPr>
              <w:jc w:val="right"/>
              <w:ind w:right="700"/>
              <w:spacing w:after="0" w:line="224" w:lineRule="exact"/>
              <w:rPr>
                <w:sz w:val="20"/>
                <w:szCs w:val="20"/>
                <w:color w:val="auto"/>
              </w:rPr>
            </w:pPr>
            <w:r>
              <w:rPr>
                <w:rFonts w:ascii="Arial" w:cs="Arial" w:eastAsia="Arial" w:hAnsi="Arial"/>
                <w:sz w:val="20"/>
                <w:szCs w:val="20"/>
                <w:b w:val="1"/>
                <w:bCs w:val="1"/>
                <w:color w:val="auto"/>
              </w:rPr>
              <w:t>Amount</w:t>
            </w:r>
          </w:p>
        </w:tc>
        <w:tc>
          <w:tcPr>
            <w:tcW w:w="1180" w:type="dxa"/>
            <w:vAlign w:val="bottom"/>
          </w:tcPr>
          <w:p>
            <w:pPr>
              <w:jc w:val="right"/>
              <w:ind w:right="300"/>
              <w:spacing w:after="0" w:line="224" w:lineRule="exact"/>
              <w:rPr>
                <w:sz w:val="20"/>
                <w:szCs w:val="20"/>
                <w:color w:val="auto"/>
              </w:rPr>
            </w:pPr>
            <w:r>
              <w:rPr>
                <w:rFonts w:ascii="Arial" w:cs="Arial" w:eastAsia="Arial" w:hAnsi="Arial"/>
                <w:sz w:val="20"/>
                <w:szCs w:val="20"/>
                <w:b w:val="1"/>
                <w:bCs w:val="1"/>
                <w:color w:val="auto"/>
              </w:rPr>
              <w:t>Percent</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20" w:type="dxa"/>
            <w:vAlign w:val="bottom"/>
            <w:tcBorders>
              <w:bottom w:val="single" w:sz="8" w:color="D2EEF5"/>
            </w:tcBorders>
          </w:tcPr>
          <w:p>
            <w:pPr>
              <w:spacing w:after="0" w:line="20" w:lineRule="exact"/>
              <w:rPr>
                <w:sz w:val="1"/>
                <w:szCs w:val="1"/>
                <w:color w:val="auto"/>
              </w:rPr>
            </w:pPr>
          </w:p>
        </w:tc>
        <w:tc>
          <w:tcPr>
            <w:tcW w:w="5580" w:type="dxa"/>
            <w:vAlign w:val="bottom"/>
            <w:tcBorders>
              <w:bottom w:val="single" w:sz="8" w:color="D2EE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34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U.S. Federal Statutory Tax Rate</w:t>
            </w:r>
          </w:p>
        </w:tc>
        <w:tc>
          <w:tcPr>
            <w:tcW w:w="260" w:type="dxa"/>
            <w:vAlign w:val="bottom"/>
            <w:shd w:val="clear" w:color="auto" w:fill="D2EEF5"/>
          </w:tcPr>
          <w:p>
            <w:pPr>
              <w:jc w:val="right"/>
              <w:ind w:right="20"/>
              <w:spacing w:after="0"/>
              <w:rPr>
                <w:sz w:val="20"/>
                <w:szCs w:val="20"/>
                <w:color w:val="auto"/>
              </w:rPr>
            </w:pPr>
            <w:r>
              <w:rPr>
                <w:rFonts w:ascii="Arial" w:cs="Arial" w:eastAsia="Arial" w:hAnsi="Arial"/>
                <w:sz w:val="20"/>
                <w:szCs w:val="20"/>
                <w:b w:val="1"/>
                <w:bCs w:val="1"/>
                <w:color w:val="auto"/>
              </w:rPr>
              <w:t>$</w:t>
            </w:r>
          </w:p>
        </w:tc>
        <w:tc>
          <w:tcPr>
            <w:tcW w:w="11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30,976</w:t>
            </w:r>
          </w:p>
        </w:tc>
        <w:tc>
          <w:tcPr>
            <w:tcW w:w="60" w:type="dxa"/>
            <w:vAlign w:val="bottom"/>
            <w:shd w:val="clear" w:color="auto" w:fill="D2EEF5"/>
          </w:tcPr>
          <w:p>
            <w:pPr>
              <w:spacing w:after="0"/>
              <w:rPr>
                <w:sz w:val="23"/>
                <w:szCs w:val="23"/>
                <w:color w:val="auto"/>
              </w:rPr>
            </w:pPr>
          </w:p>
        </w:tc>
        <w:tc>
          <w:tcPr>
            <w:tcW w:w="260" w:type="dxa"/>
            <w:vAlign w:val="bottom"/>
            <w:shd w:val="clear" w:color="auto" w:fill="D2EEF5"/>
          </w:tcPr>
          <w:p>
            <w:pPr>
              <w:spacing w:after="0"/>
              <w:rPr>
                <w:sz w:val="23"/>
                <w:szCs w:val="23"/>
                <w:color w:val="auto"/>
              </w:rPr>
            </w:pPr>
          </w:p>
        </w:tc>
        <w:tc>
          <w:tcPr>
            <w:tcW w:w="118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21.0 %</w:t>
            </w:r>
          </w:p>
        </w:tc>
      </w:tr>
      <w:tr>
        <w:trPr>
          <w:trHeight w:val="278"/>
        </w:trPr>
        <w:tc>
          <w:tcPr>
            <w:tcW w:w="4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Arial" w:cs="Arial" w:eastAsia="Arial" w:hAnsi="Arial"/>
                <w:sz w:val="20"/>
                <w:szCs w:val="20"/>
                <w:color w:val="auto"/>
              </w:rPr>
              <w:t>Increase (decrease) in taxes as a result of:</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2"/>
        </w:trPr>
        <w:tc>
          <w:tcPr>
            <w:tcW w:w="40" w:type="dxa"/>
            <w:vAlign w:val="bottom"/>
            <w:shd w:val="clear" w:color="auto" w:fill="D2EEF5"/>
          </w:tcPr>
          <w:p>
            <w:pPr>
              <w:spacing w:after="0"/>
              <w:rPr>
                <w:sz w:val="24"/>
                <w:szCs w:val="24"/>
                <w:color w:val="auto"/>
              </w:rPr>
            </w:pPr>
          </w:p>
        </w:tc>
        <w:tc>
          <w:tcPr>
            <w:tcW w:w="7340" w:type="dxa"/>
            <w:vAlign w:val="bottom"/>
            <w:gridSpan w:val="3"/>
            <w:shd w:val="clear" w:color="auto" w:fill="D2EEF5"/>
          </w:tcPr>
          <w:p>
            <w:pPr>
              <w:ind w:left="120"/>
              <w:spacing w:after="0"/>
              <w:rPr>
                <w:sz w:val="20"/>
                <w:szCs w:val="20"/>
                <w:color w:val="auto"/>
              </w:rPr>
            </w:pPr>
            <w:r>
              <w:rPr>
                <w:rFonts w:ascii="Arial" w:cs="Arial" w:eastAsia="Arial" w:hAnsi="Arial"/>
                <w:sz w:val="20"/>
                <w:szCs w:val="20"/>
                <w:b w:val="1"/>
                <w:bCs w:val="1"/>
                <w:color w:val="auto"/>
              </w:rPr>
              <w:t xml:space="preserve">State and Local Income Taxes, Net of Federal Income Tax Effect </w:t>
            </w:r>
            <w:r>
              <w:rPr>
                <w:rFonts w:ascii="Arial" w:cs="Arial" w:eastAsia="Arial" w:hAnsi="Arial"/>
                <w:sz w:val="13"/>
                <w:szCs w:val="13"/>
                <w:b w:val="1"/>
                <w:bCs w:val="1"/>
                <w:color w:val="auto"/>
              </w:rPr>
              <w:t>(a)</w:t>
            </w: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2,495</w:t>
            </w: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200"/>
              <w:spacing w:after="0"/>
              <w:rPr>
                <w:sz w:val="20"/>
                <w:szCs w:val="20"/>
                <w:color w:val="auto"/>
              </w:rPr>
            </w:pPr>
            <w:r>
              <w:rPr>
                <w:rFonts w:ascii="Arial" w:cs="Arial" w:eastAsia="Arial" w:hAnsi="Arial"/>
                <w:sz w:val="20"/>
                <w:szCs w:val="20"/>
                <w:b w:val="1"/>
                <w:bCs w:val="1"/>
                <w:color w:val="auto"/>
              </w:rPr>
              <w:t>1.7</w:t>
            </w:r>
          </w:p>
        </w:tc>
      </w:tr>
      <w:tr>
        <w:trPr>
          <w:trHeight w:val="275"/>
        </w:trPr>
        <w:tc>
          <w:tcPr>
            <w:tcW w:w="40" w:type="dxa"/>
            <w:vAlign w:val="bottom"/>
          </w:tcPr>
          <w:p>
            <w:pPr>
              <w:spacing w:after="0"/>
              <w:rPr>
                <w:sz w:val="23"/>
                <w:szCs w:val="23"/>
                <w:color w:val="auto"/>
              </w:rPr>
            </w:pPr>
          </w:p>
        </w:tc>
        <w:tc>
          <w:tcPr>
            <w:tcW w:w="7340" w:type="dxa"/>
            <w:vAlign w:val="bottom"/>
            <w:gridSpan w:val="3"/>
          </w:tcPr>
          <w:p>
            <w:pPr>
              <w:ind w:left="120"/>
              <w:spacing w:after="0"/>
              <w:rPr>
                <w:sz w:val="20"/>
                <w:szCs w:val="20"/>
                <w:color w:val="auto"/>
              </w:rPr>
            </w:pPr>
            <w:r>
              <w:rPr>
                <w:rFonts w:ascii="Arial" w:cs="Arial" w:eastAsia="Arial" w:hAnsi="Arial"/>
                <w:sz w:val="20"/>
                <w:szCs w:val="20"/>
                <w:b w:val="1"/>
                <w:bCs w:val="1"/>
                <w:color w:val="auto"/>
              </w:rPr>
              <w:t>Foreign Tax Effects</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5"/>
        </w:trPr>
        <w:tc>
          <w:tcPr>
            <w:tcW w:w="40" w:type="dxa"/>
            <w:vAlign w:val="bottom"/>
            <w:tcBorders>
              <w:bottom w:val="single" w:sz="8" w:color="D2EEF5"/>
            </w:tcBorders>
            <w:shd w:val="clear" w:color="auto" w:fill="D2EEF5"/>
          </w:tcPr>
          <w:p>
            <w:pPr>
              <w:spacing w:after="0"/>
              <w:rPr>
                <w:sz w:val="23"/>
                <w:szCs w:val="23"/>
                <w:color w:val="auto"/>
              </w:rPr>
            </w:pPr>
          </w:p>
        </w:tc>
        <w:tc>
          <w:tcPr>
            <w:tcW w:w="7340" w:type="dxa"/>
            <w:vAlign w:val="bottom"/>
            <w:tcBorders>
              <w:bottom w:val="single" w:sz="8" w:color="D2EEF5"/>
            </w:tcBorders>
            <w:gridSpan w:val="3"/>
            <w:shd w:val="clear" w:color="auto" w:fill="D2EEF5"/>
          </w:tcPr>
          <w:p>
            <w:pPr>
              <w:ind w:left="240"/>
              <w:spacing w:after="0"/>
              <w:rPr>
                <w:sz w:val="20"/>
                <w:szCs w:val="20"/>
                <w:color w:val="auto"/>
              </w:rPr>
            </w:pPr>
            <w:r>
              <w:rPr>
                <w:rFonts w:ascii="Arial" w:cs="Arial" w:eastAsia="Arial" w:hAnsi="Arial"/>
                <w:sz w:val="20"/>
                <w:szCs w:val="20"/>
                <w:b w:val="1"/>
                <w:bCs w:val="1"/>
                <w:i w:val="1"/>
                <w:iCs w:val="1"/>
                <w:color w:val="auto"/>
              </w:rPr>
              <w:t>Canada</w:t>
            </w:r>
          </w:p>
        </w:tc>
        <w:tc>
          <w:tcPr>
            <w:tcW w:w="260" w:type="dxa"/>
            <w:vAlign w:val="bottom"/>
            <w:tcBorders>
              <w:bottom w:val="single" w:sz="8" w:color="D2EEF5"/>
            </w:tcBorders>
            <w:shd w:val="clear" w:color="auto" w:fill="D2EEF5"/>
          </w:tcPr>
          <w:p>
            <w:pPr>
              <w:spacing w:after="0"/>
              <w:rPr>
                <w:sz w:val="23"/>
                <w:szCs w:val="23"/>
                <w:color w:val="auto"/>
              </w:rPr>
            </w:pPr>
          </w:p>
        </w:tc>
        <w:tc>
          <w:tcPr>
            <w:tcW w:w="1180" w:type="dxa"/>
            <w:vAlign w:val="bottom"/>
            <w:tcBorders>
              <w:bottom w:val="single" w:sz="8" w:color="D2EEF5"/>
            </w:tcBorders>
            <w:shd w:val="clear" w:color="auto" w:fill="D2EEF5"/>
          </w:tcPr>
          <w:p>
            <w:pPr>
              <w:spacing w:after="0"/>
              <w:rPr>
                <w:sz w:val="23"/>
                <w:szCs w:val="23"/>
                <w:color w:val="auto"/>
              </w:rPr>
            </w:pPr>
          </w:p>
        </w:tc>
        <w:tc>
          <w:tcPr>
            <w:tcW w:w="60" w:type="dxa"/>
            <w:vAlign w:val="bottom"/>
            <w:tcBorders>
              <w:bottom w:val="single" w:sz="8" w:color="D2EEF5"/>
            </w:tcBorders>
            <w:shd w:val="clear" w:color="auto" w:fill="D2EEF5"/>
          </w:tcPr>
          <w:p>
            <w:pPr>
              <w:spacing w:after="0"/>
              <w:rPr>
                <w:sz w:val="23"/>
                <w:szCs w:val="23"/>
                <w:color w:val="auto"/>
              </w:rPr>
            </w:pPr>
          </w:p>
        </w:tc>
        <w:tc>
          <w:tcPr>
            <w:tcW w:w="260" w:type="dxa"/>
            <w:vAlign w:val="bottom"/>
            <w:tcBorders>
              <w:bottom w:val="single" w:sz="8" w:color="D2EEF5"/>
            </w:tcBorders>
            <w:shd w:val="clear" w:color="auto" w:fill="D2EEF5"/>
          </w:tcPr>
          <w:p>
            <w:pPr>
              <w:spacing w:after="0"/>
              <w:rPr>
                <w:sz w:val="23"/>
                <w:szCs w:val="23"/>
                <w:color w:val="auto"/>
              </w:rPr>
            </w:pPr>
          </w:p>
        </w:tc>
        <w:tc>
          <w:tcPr>
            <w:tcW w:w="1180" w:type="dxa"/>
            <w:vAlign w:val="bottom"/>
            <w:tcBorders>
              <w:bottom w:val="single" w:sz="8" w:color="D2EEF5"/>
            </w:tcBorders>
            <w:shd w:val="clear" w:color="auto" w:fill="D2EEF5"/>
          </w:tcPr>
          <w:p>
            <w:pPr>
              <w:spacing w:after="0"/>
              <w:rPr>
                <w:sz w:val="23"/>
                <w:szCs w:val="23"/>
                <w:color w:val="auto"/>
              </w:rPr>
            </w:pPr>
          </w:p>
        </w:tc>
      </w:tr>
      <w:tr>
        <w:trPr>
          <w:trHeight w:val="275"/>
        </w:trPr>
        <w:tc>
          <w:tcPr>
            <w:tcW w:w="40" w:type="dxa"/>
            <w:vAlign w:val="bottom"/>
          </w:tcPr>
          <w:p>
            <w:pPr>
              <w:spacing w:after="0"/>
              <w:rPr>
                <w:sz w:val="23"/>
                <w:szCs w:val="23"/>
                <w:color w:val="auto"/>
              </w:rPr>
            </w:pPr>
          </w:p>
        </w:tc>
        <w:tc>
          <w:tcPr>
            <w:tcW w:w="7340" w:type="dxa"/>
            <w:vAlign w:val="bottom"/>
            <w:gridSpan w:val="3"/>
          </w:tcPr>
          <w:p>
            <w:pPr>
              <w:ind w:left="480"/>
              <w:spacing w:after="0"/>
              <w:rPr>
                <w:sz w:val="20"/>
                <w:szCs w:val="20"/>
                <w:color w:val="auto"/>
              </w:rPr>
            </w:pPr>
            <w:r>
              <w:rPr>
                <w:rFonts w:ascii="Arial" w:cs="Arial" w:eastAsia="Arial" w:hAnsi="Arial"/>
                <w:sz w:val="20"/>
                <w:szCs w:val="20"/>
                <w:color w:val="auto"/>
              </w:rPr>
              <w:t>State taxes, net of federal income tax effect</w:t>
            </w:r>
          </w:p>
        </w:tc>
        <w:tc>
          <w:tcPr>
            <w:tcW w:w="260" w:type="dxa"/>
            <w:vAlign w:val="bottom"/>
          </w:tcPr>
          <w:p>
            <w:pPr>
              <w:spacing w:after="0"/>
              <w:rPr>
                <w:sz w:val="23"/>
                <w:szCs w:val="23"/>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b w:val="1"/>
                <w:bCs w:val="1"/>
                <w:color w:val="auto"/>
              </w:rPr>
              <w:t>12,637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200"/>
              <w:spacing w:after="0"/>
              <w:rPr>
                <w:sz w:val="20"/>
                <w:szCs w:val="20"/>
                <w:color w:val="auto"/>
              </w:rPr>
            </w:pPr>
            <w:r>
              <w:rPr>
                <w:rFonts w:ascii="Arial" w:cs="Arial" w:eastAsia="Arial" w:hAnsi="Arial"/>
                <w:sz w:val="20"/>
                <w:szCs w:val="20"/>
                <w:b w:val="1"/>
                <w:bCs w:val="1"/>
                <w:color w:val="auto"/>
              </w:rPr>
              <w:t>8.6</w:t>
            </w:r>
          </w:p>
        </w:tc>
      </w:tr>
      <w:tr>
        <w:trPr>
          <w:trHeight w:val="295"/>
        </w:trPr>
        <w:tc>
          <w:tcPr>
            <w:tcW w:w="40" w:type="dxa"/>
            <w:vAlign w:val="bottom"/>
            <w:shd w:val="clear" w:color="auto" w:fill="D2EEF5"/>
          </w:tcPr>
          <w:p>
            <w:pPr>
              <w:spacing w:after="0"/>
              <w:rPr>
                <w:sz w:val="24"/>
                <w:szCs w:val="24"/>
                <w:color w:val="auto"/>
              </w:rPr>
            </w:pPr>
          </w:p>
        </w:tc>
        <w:tc>
          <w:tcPr>
            <w:tcW w:w="734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Foreign rate differential</w:t>
            </w: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(6,891)</w:t>
            </w: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120"/>
              <w:spacing w:after="0"/>
              <w:rPr>
                <w:sz w:val="20"/>
                <w:szCs w:val="20"/>
                <w:color w:val="auto"/>
              </w:rPr>
            </w:pPr>
            <w:r>
              <w:rPr>
                <w:rFonts w:ascii="Arial" w:cs="Arial" w:eastAsia="Arial" w:hAnsi="Arial"/>
                <w:sz w:val="20"/>
                <w:szCs w:val="20"/>
                <w:b w:val="1"/>
                <w:bCs w:val="1"/>
                <w:color w:val="auto"/>
              </w:rPr>
              <w:t>(4.7)</w:t>
            </w:r>
          </w:p>
        </w:tc>
      </w:tr>
      <w:tr>
        <w:trPr>
          <w:trHeight w:val="275"/>
        </w:trPr>
        <w:tc>
          <w:tcPr>
            <w:tcW w:w="40" w:type="dxa"/>
            <w:vAlign w:val="bottom"/>
          </w:tcPr>
          <w:p>
            <w:pPr>
              <w:spacing w:after="0"/>
              <w:rPr>
                <w:sz w:val="23"/>
                <w:szCs w:val="23"/>
                <w:color w:val="auto"/>
              </w:rPr>
            </w:pPr>
          </w:p>
        </w:tc>
        <w:tc>
          <w:tcPr>
            <w:tcW w:w="7340" w:type="dxa"/>
            <w:vAlign w:val="bottom"/>
            <w:gridSpan w:val="3"/>
          </w:tcPr>
          <w:p>
            <w:pPr>
              <w:ind w:left="480"/>
              <w:spacing w:after="0"/>
              <w:rPr>
                <w:sz w:val="20"/>
                <w:szCs w:val="20"/>
                <w:color w:val="auto"/>
              </w:rPr>
            </w:pPr>
            <w:r>
              <w:rPr>
                <w:rFonts w:ascii="Arial" w:cs="Arial" w:eastAsia="Arial" w:hAnsi="Arial"/>
                <w:sz w:val="20"/>
                <w:szCs w:val="20"/>
                <w:color w:val="auto"/>
              </w:rPr>
              <w:t>Withholding tax</w:t>
            </w:r>
          </w:p>
        </w:tc>
        <w:tc>
          <w:tcPr>
            <w:tcW w:w="260" w:type="dxa"/>
            <w:vAlign w:val="bottom"/>
          </w:tcPr>
          <w:p>
            <w:pPr>
              <w:spacing w:after="0"/>
              <w:rPr>
                <w:sz w:val="23"/>
                <w:szCs w:val="23"/>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b w:val="1"/>
                <w:bCs w:val="1"/>
                <w:color w:val="auto"/>
              </w:rPr>
              <w:t>15,259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200"/>
              <w:spacing w:after="0"/>
              <w:rPr>
                <w:sz w:val="20"/>
                <w:szCs w:val="20"/>
                <w:color w:val="auto"/>
              </w:rPr>
            </w:pPr>
            <w:r>
              <w:rPr>
                <w:rFonts w:ascii="Arial" w:cs="Arial" w:eastAsia="Arial" w:hAnsi="Arial"/>
                <w:sz w:val="20"/>
                <w:szCs w:val="20"/>
                <w:b w:val="1"/>
                <w:bCs w:val="1"/>
                <w:color w:val="auto"/>
              </w:rPr>
              <w:t>10.3</w:t>
            </w:r>
          </w:p>
        </w:tc>
      </w:tr>
      <w:tr>
        <w:trPr>
          <w:trHeight w:val="295"/>
        </w:trPr>
        <w:tc>
          <w:tcPr>
            <w:tcW w:w="40" w:type="dxa"/>
            <w:vAlign w:val="bottom"/>
            <w:shd w:val="clear" w:color="auto" w:fill="D2EEF5"/>
          </w:tcPr>
          <w:p>
            <w:pPr>
              <w:spacing w:after="0"/>
              <w:rPr>
                <w:sz w:val="24"/>
                <w:szCs w:val="24"/>
                <w:color w:val="auto"/>
              </w:rPr>
            </w:pPr>
          </w:p>
        </w:tc>
        <w:tc>
          <w:tcPr>
            <w:tcW w:w="734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Other</w:t>
            </w: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1,058</w:t>
            </w: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200"/>
              <w:spacing w:after="0"/>
              <w:rPr>
                <w:sz w:val="20"/>
                <w:szCs w:val="20"/>
                <w:color w:val="auto"/>
              </w:rPr>
            </w:pPr>
            <w:r>
              <w:rPr>
                <w:rFonts w:ascii="Arial" w:cs="Arial" w:eastAsia="Arial" w:hAnsi="Arial"/>
                <w:sz w:val="20"/>
                <w:szCs w:val="20"/>
                <w:b w:val="1"/>
                <w:bCs w:val="1"/>
                <w:color w:val="auto"/>
              </w:rPr>
              <w:t>0.7</w:t>
            </w:r>
          </w:p>
        </w:tc>
      </w:tr>
      <w:tr>
        <w:trPr>
          <w:trHeight w:val="265"/>
        </w:trPr>
        <w:tc>
          <w:tcPr>
            <w:tcW w:w="40" w:type="dxa"/>
            <w:vAlign w:val="bottom"/>
          </w:tcPr>
          <w:p>
            <w:pPr>
              <w:spacing w:after="0"/>
              <w:rPr>
                <w:sz w:val="23"/>
                <w:szCs w:val="23"/>
                <w:color w:val="auto"/>
              </w:rPr>
            </w:pPr>
          </w:p>
        </w:tc>
        <w:tc>
          <w:tcPr>
            <w:tcW w:w="7340" w:type="dxa"/>
            <w:vAlign w:val="bottom"/>
            <w:gridSpan w:val="3"/>
          </w:tcPr>
          <w:p>
            <w:pPr>
              <w:ind w:left="240"/>
              <w:spacing w:after="0"/>
              <w:rPr>
                <w:sz w:val="20"/>
                <w:szCs w:val="20"/>
                <w:color w:val="auto"/>
              </w:rPr>
            </w:pPr>
            <w:r>
              <w:rPr>
                <w:rFonts w:ascii="Arial" w:cs="Arial" w:eastAsia="Arial" w:hAnsi="Arial"/>
                <w:sz w:val="20"/>
                <w:szCs w:val="20"/>
                <w:b w:val="1"/>
                <w:bCs w:val="1"/>
                <w:i w:val="1"/>
                <w:iCs w:val="1"/>
                <w:color w:val="auto"/>
              </w:rPr>
              <w:t>Brazil</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85"/>
        </w:trPr>
        <w:tc>
          <w:tcPr>
            <w:tcW w:w="40" w:type="dxa"/>
            <w:vAlign w:val="bottom"/>
            <w:shd w:val="clear" w:color="auto" w:fill="D2EEF5"/>
          </w:tcPr>
          <w:p>
            <w:pPr>
              <w:spacing w:after="0"/>
              <w:rPr>
                <w:sz w:val="24"/>
                <w:szCs w:val="24"/>
                <w:color w:val="auto"/>
              </w:rPr>
            </w:pPr>
          </w:p>
        </w:tc>
        <w:tc>
          <w:tcPr>
            <w:tcW w:w="734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Foreign rate differential</w:t>
            </w: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1,887</w:t>
            </w: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200"/>
              <w:spacing w:after="0"/>
              <w:rPr>
                <w:sz w:val="20"/>
                <w:szCs w:val="20"/>
                <w:color w:val="auto"/>
              </w:rPr>
            </w:pPr>
            <w:r>
              <w:rPr>
                <w:rFonts w:ascii="Arial" w:cs="Arial" w:eastAsia="Arial" w:hAnsi="Arial"/>
                <w:sz w:val="20"/>
                <w:szCs w:val="20"/>
                <w:b w:val="1"/>
                <w:bCs w:val="1"/>
                <w:color w:val="auto"/>
              </w:rPr>
              <w:t>1.3</w:t>
            </w:r>
          </w:p>
        </w:tc>
      </w:tr>
      <w:tr>
        <w:trPr>
          <w:trHeight w:val="275"/>
        </w:trPr>
        <w:tc>
          <w:tcPr>
            <w:tcW w:w="40" w:type="dxa"/>
            <w:vAlign w:val="bottom"/>
          </w:tcPr>
          <w:p>
            <w:pPr>
              <w:spacing w:after="0"/>
              <w:rPr>
                <w:sz w:val="23"/>
                <w:szCs w:val="23"/>
                <w:color w:val="auto"/>
              </w:rPr>
            </w:pPr>
          </w:p>
        </w:tc>
        <w:tc>
          <w:tcPr>
            <w:tcW w:w="7340" w:type="dxa"/>
            <w:vAlign w:val="bottom"/>
            <w:gridSpan w:val="3"/>
          </w:tcPr>
          <w:p>
            <w:pPr>
              <w:ind w:left="480"/>
              <w:spacing w:after="0"/>
              <w:rPr>
                <w:sz w:val="20"/>
                <w:szCs w:val="20"/>
                <w:color w:val="auto"/>
              </w:rPr>
            </w:pPr>
            <w:r>
              <w:rPr>
                <w:rFonts w:ascii="Arial" w:cs="Arial" w:eastAsia="Arial" w:hAnsi="Arial"/>
                <w:sz w:val="20"/>
                <w:szCs w:val="20"/>
                <w:color w:val="auto"/>
              </w:rPr>
              <w:t>Nontaxable income from application of presumed profits method</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(2,301)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20"/>
                <w:szCs w:val="20"/>
                <w:b w:val="1"/>
                <w:bCs w:val="1"/>
                <w:color w:val="auto"/>
              </w:rPr>
              <w:t>(1.6)</w:t>
            </w:r>
          </w:p>
        </w:tc>
      </w:tr>
      <w:tr>
        <w:trPr>
          <w:trHeight w:val="295"/>
        </w:trPr>
        <w:tc>
          <w:tcPr>
            <w:tcW w:w="40" w:type="dxa"/>
            <w:vAlign w:val="bottom"/>
            <w:shd w:val="clear" w:color="auto" w:fill="D2EEF5"/>
          </w:tcPr>
          <w:p>
            <w:pPr>
              <w:spacing w:after="0"/>
              <w:rPr>
                <w:sz w:val="24"/>
                <w:szCs w:val="24"/>
                <w:color w:val="auto"/>
              </w:rPr>
            </w:pPr>
          </w:p>
        </w:tc>
        <w:tc>
          <w:tcPr>
            <w:tcW w:w="734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Other</w:t>
            </w: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1,903</w:t>
            </w: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200"/>
              <w:spacing w:after="0"/>
              <w:rPr>
                <w:sz w:val="20"/>
                <w:szCs w:val="20"/>
                <w:color w:val="auto"/>
              </w:rPr>
            </w:pPr>
            <w:r>
              <w:rPr>
                <w:rFonts w:ascii="Arial" w:cs="Arial" w:eastAsia="Arial" w:hAnsi="Arial"/>
                <w:sz w:val="20"/>
                <w:szCs w:val="20"/>
                <w:b w:val="1"/>
                <w:bCs w:val="1"/>
                <w:color w:val="auto"/>
              </w:rPr>
              <w:t>1.3</w:t>
            </w:r>
          </w:p>
        </w:tc>
      </w:tr>
      <w:tr>
        <w:trPr>
          <w:trHeight w:val="265"/>
        </w:trPr>
        <w:tc>
          <w:tcPr>
            <w:tcW w:w="40" w:type="dxa"/>
            <w:vAlign w:val="bottom"/>
          </w:tcPr>
          <w:p>
            <w:pPr>
              <w:spacing w:after="0"/>
              <w:rPr>
                <w:sz w:val="23"/>
                <w:szCs w:val="23"/>
                <w:color w:val="auto"/>
              </w:rPr>
            </w:pPr>
          </w:p>
        </w:tc>
        <w:tc>
          <w:tcPr>
            <w:tcW w:w="7340" w:type="dxa"/>
            <w:vAlign w:val="bottom"/>
            <w:gridSpan w:val="3"/>
          </w:tcPr>
          <w:p>
            <w:pPr>
              <w:ind w:left="240"/>
              <w:spacing w:after="0"/>
              <w:rPr>
                <w:sz w:val="20"/>
                <w:szCs w:val="20"/>
                <w:color w:val="auto"/>
              </w:rPr>
            </w:pPr>
            <w:r>
              <w:rPr>
                <w:rFonts w:ascii="Arial" w:cs="Arial" w:eastAsia="Arial" w:hAnsi="Arial"/>
                <w:sz w:val="20"/>
                <w:szCs w:val="20"/>
                <w:b w:val="1"/>
                <w:bCs w:val="1"/>
                <w:i w:val="1"/>
                <w:iCs w:val="1"/>
                <w:color w:val="auto"/>
              </w:rPr>
              <w:t>Belgium</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85"/>
        </w:trPr>
        <w:tc>
          <w:tcPr>
            <w:tcW w:w="40" w:type="dxa"/>
            <w:vAlign w:val="bottom"/>
            <w:shd w:val="clear" w:color="auto" w:fill="D2EEF5"/>
          </w:tcPr>
          <w:p>
            <w:pPr>
              <w:spacing w:after="0"/>
              <w:rPr>
                <w:sz w:val="24"/>
                <w:szCs w:val="24"/>
                <w:color w:val="auto"/>
              </w:rPr>
            </w:pPr>
          </w:p>
        </w:tc>
        <w:tc>
          <w:tcPr>
            <w:tcW w:w="734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Changes in valuation allowance</w:t>
            </w: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1,807</w:t>
            </w: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200"/>
              <w:spacing w:after="0"/>
              <w:rPr>
                <w:sz w:val="20"/>
                <w:szCs w:val="20"/>
                <w:color w:val="auto"/>
              </w:rPr>
            </w:pPr>
            <w:r>
              <w:rPr>
                <w:rFonts w:ascii="Arial" w:cs="Arial" w:eastAsia="Arial" w:hAnsi="Arial"/>
                <w:sz w:val="20"/>
                <w:szCs w:val="20"/>
                <w:b w:val="1"/>
                <w:bCs w:val="1"/>
                <w:color w:val="auto"/>
              </w:rPr>
              <w:t>1.2</w:t>
            </w:r>
          </w:p>
        </w:tc>
      </w:tr>
      <w:tr>
        <w:trPr>
          <w:trHeight w:val="275"/>
        </w:trPr>
        <w:tc>
          <w:tcPr>
            <w:tcW w:w="40" w:type="dxa"/>
            <w:vAlign w:val="bottom"/>
          </w:tcPr>
          <w:p>
            <w:pPr>
              <w:spacing w:after="0"/>
              <w:rPr>
                <w:sz w:val="23"/>
                <w:szCs w:val="23"/>
                <w:color w:val="auto"/>
              </w:rPr>
            </w:pPr>
          </w:p>
        </w:tc>
        <w:tc>
          <w:tcPr>
            <w:tcW w:w="7340" w:type="dxa"/>
            <w:vAlign w:val="bottom"/>
            <w:gridSpan w:val="3"/>
          </w:tcPr>
          <w:p>
            <w:pPr>
              <w:ind w:left="480"/>
              <w:spacing w:after="0"/>
              <w:rPr>
                <w:sz w:val="20"/>
                <w:szCs w:val="20"/>
                <w:color w:val="auto"/>
              </w:rPr>
            </w:pPr>
            <w:r>
              <w:rPr>
                <w:rFonts w:ascii="Arial" w:cs="Arial" w:eastAsia="Arial" w:hAnsi="Arial"/>
                <w:sz w:val="20"/>
                <w:szCs w:val="20"/>
                <w:color w:val="auto"/>
              </w:rPr>
              <w:t>Prior year differences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(1,990)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20"/>
                <w:szCs w:val="20"/>
                <w:b w:val="1"/>
                <w:bCs w:val="1"/>
                <w:color w:val="auto"/>
              </w:rPr>
              <w:t>(1.3)</w:t>
            </w:r>
          </w:p>
        </w:tc>
      </w:tr>
      <w:tr>
        <w:trPr>
          <w:trHeight w:val="295"/>
        </w:trPr>
        <w:tc>
          <w:tcPr>
            <w:tcW w:w="40" w:type="dxa"/>
            <w:vAlign w:val="bottom"/>
            <w:shd w:val="clear" w:color="auto" w:fill="D2EEF5"/>
          </w:tcPr>
          <w:p>
            <w:pPr>
              <w:spacing w:after="0"/>
              <w:rPr>
                <w:sz w:val="24"/>
                <w:szCs w:val="24"/>
                <w:color w:val="auto"/>
              </w:rPr>
            </w:pPr>
          </w:p>
        </w:tc>
        <w:tc>
          <w:tcPr>
            <w:tcW w:w="734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Other</w:t>
            </w: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1,960</w:t>
            </w: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200"/>
              <w:spacing w:after="0"/>
              <w:rPr>
                <w:sz w:val="20"/>
                <w:szCs w:val="20"/>
                <w:color w:val="auto"/>
              </w:rPr>
            </w:pPr>
            <w:r>
              <w:rPr>
                <w:rFonts w:ascii="Arial" w:cs="Arial" w:eastAsia="Arial" w:hAnsi="Arial"/>
                <w:sz w:val="20"/>
                <w:szCs w:val="20"/>
                <w:b w:val="1"/>
                <w:bCs w:val="1"/>
                <w:color w:val="auto"/>
              </w:rPr>
              <w:t>1.3</w:t>
            </w:r>
          </w:p>
        </w:tc>
      </w:tr>
      <w:tr>
        <w:trPr>
          <w:trHeight w:val="275"/>
        </w:trPr>
        <w:tc>
          <w:tcPr>
            <w:tcW w:w="40" w:type="dxa"/>
            <w:vAlign w:val="bottom"/>
          </w:tcPr>
          <w:p>
            <w:pPr>
              <w:spacing w:after="0"/>
              <w:rPr>
                <w:sz w:val="23"/>
                <w:szCs w:val="23"/>
                <w:color w:val="auto"/>
              </w:rPr>
            </w:pPr>
          </w:p>
        </w:tc>
        <w:tc>
          <w:tcPr>
            <w:tcW w:w="7340" w:type="dxa"/>
            <w:vAlign w:val="bottom"/>
            <w:gridSpan w:val="3"/>
          </w:tcPr>
          <w:p>
            <w:pPr>
              <w:ind w:left="240"/>
              <w:spacing w:after="0"/>
              <w:rPr>
                <w:sz w:val="20"/>
                <w:szCs w:val="20"/>
                <w:color w:val="auto"/>
              </w:rPr>
            </w:pPr>
            <w:r>
              <w:rPr>
                <w:rFonts w:ascii="Arial" w:cs="Arial" w:eastAsia="Arial" w:hAnsi="Arial"/>
                <w:sz w:val="20"/>
                <w:szCs w:val="20"/>
                <w:b w:val="1"/>
                <w:bCs w:val="1"/>
                <w:i w:val="1"/>
                <w:iCs w:val="1"/>
                <w:color w:val="auto"/>
              </w:rPr>
              <w:t>Other Foreign Jurisdictions</w:t>
            </w:r>
          </w:p>
        </w:tc>
        <w:tc>
          <w:tcPr>
            <w:tcW w:w="260" w:type="dxa"/>
            <w:vAlign w:val="bottom"/>
          </w:tcPr>
          <w:p>
            <w:pPr>
              <w:spacing w:after="0"/>
              <w:rPr>
                <w:sz w:val="23"/>
                <w:szCs w:val="23"/>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b w:val="1"/>
                <w:bCs w:val="1"/>
                <w:color w:val="auto"/>
              </w:rPr>
              <w:t>3,522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200"/>
              <w:spacing w:after="0"/>
              <w:rPr>
                <w:sz w:val="20"/>
                <w:szCs w:val="20"/>
                <w:color w:val="auto"/>
              </w:rPr>
            </w:pPr>
            <w:r>
              <w:rPr>
                <w:rFonts w:ascii="Arial" w:cs="Arial" w:eastAsia="Arial" w:hAnsi="Arial"/>
                <w:sz w:val="20"/>
                <w:szCs w:val="20"/>
                <w:b w:val="1"/>
                <w:bCs w:val="1"/>
                <w:color w:val="auto"/>
              </w:rPr>
              <w:t>2.4</w:t>
            </w:r>
          </w:p>
        </w:tc>
      </w:tr>
      <w:tr>
        <w:trPr>
          <w:trHeight w:val="295"/>
        </w:trPr>
        <w:tc>
          <w:tcPr>
            <w:tcW w:w="40" w:type="dxa"/>
            <w:vAlign w:val="bottom"/>
            <w:shd w:val="clear" w:color="auto" w:fill="D2EEF5"/>
          </w:tcPr>
          <w:p>
            <w:pPr>
              <w:spacing w:after="0"/>
              <w:rPr>
                <w:sz w:val="24"/>
                <w:szCs w:val="24"/>
                <w:color w:val="auto"/>
              </w:rPr>
            </w:pPr>
          </w:p>
        </w:tc>
        <w:tc>
          <w:tcPr>
            <w:tcW w:w="7340" w:type="dxa"/>
            <w:vAlign w:val="bottom"/>
            <w:gridSpan w:val="3"/>
            <w:shd w:val="clear" w:color="auto" w:fill="D2EEF5"/>
          </w:tcPr>
          <w:p>
            <w:pPr>
              <w:ind w:left="120"/>
              <w:spacing w:after="0"/>
              <w:rPr>
                <w:sz w:val="20"/>
                <w:szCs w:val="20"/>
                <w:color w:val="auto"/>
              </w:rPr>
            </w:pPr>
            <w:r>
              <w:rPr>
                <w:rFonts w:ascii="Arial" w:cs="Arial" w:eastAsia="Arial" w:hAnsi="Arial"/>
                <w:sz w:val="20"/>
                <w:szCs w:val="20"/>
                <w:b w:val="1"/>
                <w:bCs w:val="1"/>
                <w:color w:val="auto"/>
              </w:rPr>
              <w:t>Effect of Cross Border Tax Laws</w:t>
            </w: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spacing w:after="0"/>
              <w:rPr>
                <w:sz w:val="24"/>
                <w:szCs w:val="24"/>
                <w:color w:val="auto"/>
              </w:rPr>
            </w:pPr>
          </w:p>
        </w:tc>
      </w:tr>
      <w:tr>
        <w:trPr>
          <w:trHeight w:val="275"/>
        </w:trPr>
        <w:tc>
          <w:tcPr>
            <w:tcW w:w="40" w:type="dxa"/>
            <w:vAlign w:val="bottom"/>
          </w:tcPr>
          <w:p>
            <w:pPr>
              <w:spacing w:after="0"/>
              <w:rPr>
                <w:sz w:val="23"/>
                <w:szCs w:val="23"/>
                <w:color w:val="auto"/>
              </w:rPr>
            </w:pPr>
          </w:p>
        </w:tc>
        <w:tc>
          <w:tcPr>
            <w:tcW w:w="7340" w:type="dxa"/>
            <w:vAlign w:val="bottom"/>
            <w:gridSpan w:val="3"/>
          </w:tcPr>
          <w:p>
            <w:pPr>
              <w:ind w:left="240"/>
              <w:spacing w:after="0"/>
              <w:rPr>
                <w:sz w:val="20"/>
                <w:szCs w:val="20"/>
                <w:color w:val="auto"/>
              </w:rPr>
            </w:pPr>
            <w:r>
              <w:rPr>
                <w:rFonts w:ascii="Arial" w:cs="Arial" w:eastAsia="Arial" w:hAnsi="Arial"/>
                <w:sz w:val="20"/>
                <w:szCs w:val="20"/>
                <w:color w:val="auto"/>
              </w:rPr>
              <w:t>Global intangible low-taxed income</w:t>
            </w:r>
          </w:p>
        </w:tc>
        <w:tc>
          <w:tcPr>
            <w:tcW w:w="260" w:type="dxa"/>
            <w:vAlign w:val="bottom"/>
          </w:tcPr>
          <w:p>
            <w:pPr>
              <w:spacing w:after="0"/>
              <w:rPr>
                <w:sz w:val="23"/>
                <w:szCs w:val="23"/>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b w:val="1"/>
                <w:bCs w:val="1"/>
                <w:color w:val="auto"/>
              </w:rPr>
              <w:t>1,800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200"/>
              <w:spacing w:after="0"/>
              <w:rPr>
                <w:sz w:val="20"/>
                <w:szCs w:val="20"/>
                <w:color w:val="auto"/>
              </w:rPr>
            </w:pPr>
            <w:r>
              <w:rPr>
                <w:rFonts w:ascii="Arial" w:cs="Arial" w:eastAsia="Arial" w:hAnsi="Arial"/>
                <w:sz w:val="20"/>
                <w:szCs w:val="20"/>
                <w:b w:val="1"/>
                <w:bCs w:val="1"/>
                <w:color w:val="auto"/>
              </w:rPr>
              <w:t>1.2</w:t>
            </w:r>
          </w:p>
        </w:tc>
      </w:tr>
      <w:tr>
        <w:trPr>
          <w:trHeight w:val="295"/>
        </w:trPr>
        <w:tc>
          <w:tcPr>
            <w:tcW w:w="40" w:type="dxa"/>
            <w:vAlign w:val="bottom"/>
            <w:shd w:val="clear" w:color="auto" w:fill="D2EEF5"/>
          </w:tcPr>
          <w:p>
            <w:pPr>
              <w:spacing w:after="0"/>
              <w:rPr>
                <w:sz w:val="24"/>
                <w:szCs w:val="24"/>
                <w:color w:val="auto"/>
              </w:rPr>
            </w:pPr>
          </w:p>
        </w:tc>
        <w:tc>
          <w:tcPr>
            <w:tcW w:w="7340" w:type="dxa"/>
            <w:vAlign w:val="bottom"/>
            <w:gridSpan w:val="3"/>
            <w:shd w:val="clear" w:color="auto" w:fill="D2EEF5"/>
          </w:tcPr>
          <w:p>
            <w:pPr>
              <w:ind w:left="120"/>
              <w:spacing w:after="0"/>
              <w:rPr>
                <w:sz w:val="20"/>
                <w:szCs w:val="20"/>
                <w:color w:val="auto"/>
              </w:rPr>
            </w:pPr>
            <w:r>
              <w:rPr>
                <w:rFonts w:ascii="Arial" w:cs="Arial" w:eastAsia="Arial" w:hAnsi="Arial"/>
                <w:sz w:val="20"/>
                <w:szCs w:val="20"/>
                <w:b w:val="1"/>
                <w:bCs w:val="1"/>
                <w:color w:val="auto"/>
              </w:rPr>
              <w:t>Changes in Valuation Allowance</w:t>
            </w: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3,128</w:t>
            </w: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200"/>
              <w:spacing w:after="0"/>
              <w:rPr>
                <w:sz w:val="20"/>
                <w:szCs w:val="20"/>
                <w:color w:val="auto"/>
              </w:rPr>
            </w:pPr>
            <w:r>
              <w:rPr>
                <w:rFonts w:ascii="Arial" w:cs="Arial" w:eastAsia="Arial" w:hAnsi="Arial"/>
                <w:sz w:val="20"/>
                <w:szCs w:val="20"/>
                <w:b w:val="1"/>
                <w:bCs w:val="1"/>
                <w:color w:val="auto"/>
              </w:rPr>
              <w:t>2.1</w:t>
            </w:r>
          </w:p>
        </w:tc>
      </w:tr>
      <w:tr>
        <w:trPr>
          <w:trHeight w:val="275"/>
        </w:trPr>
        <w:tc>
          <w:tcPr>
            <w:tcW w:w="40" w:type="dxa"/>
            <w:vAlign w:val="bottom"/>
          </w:tcPr>
          <w:p>
            <w:pPr>
              <w:spacing w:after="0"/>
              <w:rPr>
                <w:sz w:val="23"/>
                <w:szCs w:val="23"/>
                <w:color w:val="auto"/>
              </w:rPr>
            </w:pPr>
          </w:p>
        </w:tc>
        <w:tc>
          <w:tcPr>
            <w:tcW w:w="7340" w:type="dxa"/>
            <w:vAlign w:val="bottom"/>
            <w:gridSpan w:val="3"/>
          </w:tcPr>
          <w:p>
            <w:pPr>
              <w:ind w:left="120"/>
              <w:spacing w:after="0"/>
              <w:rPr>
                <w:sz w:val="20"/>
                <w:szCs w:val="20"/>
                <w:color w:val="auto"/>
              </w:rPr>
            </w:pPr>
            <w:r>
              <w:rPr>
                <w:rFonts w:ascii="Arial" w:cs="Arial" w:eastAsia="Arial" w:hAnsi="Arial"/>
                <w:sz w:val="20"/>
                <w:szCs w:val="20"/>
                <w:b w:val="1"/>
                <w:bCs w:val="1"/>
                <w:color w:val="auto"/>
              </w:rPr>
              <w:t>Nontaxable or Nondeductible Items</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95"/>
        </w:trPr>
        <w:tc>
          <w:tcPr>
            <w:tcW w:w="40" w:type="dxa"/>
            <w:vAlign w:val="bottom"/>
            <w:shd w:val="clear" w:color="auto" w:fill="D2EEF5"/>
          </w:tcPr>
          <w:p>
            <w:pPr>
              <w:spacing w:after="0"/>
              <w:rPr>
                <w:sz w:val="24"/>
                <w:szCs w:val="24"/>
                <w:color w:val="auto"/>
              </w:rPr>
            </w:pPr>
          </w:p>
        </w:tc>
        <w:tc>
          <w:tcPr>
            <w:tcW w:w="7340" w:type="dxa"/>
            <w:vAlign w:val="bottom"/>
            <w:gridSpan w:val="3"/>
            <w:shd w:val="clear" w:color="auto" w:fill="D2EEF5"/>
          </w:tcPr>
          <w:p>
            <w:pPr>
              <w:ind w:left="240"/>
              <w:spacing w:after="0"/>
              <w:rPr>
                <w:sz w:val="20"/>
                <w:szCs w:val="20"/>
                <w:color w:val="auto"/>
              </w:rPr>
            </w:pPr>
            <w:r>
              <w:rPr>
                <w:rFonts w:ascii="Arial" w:cs="Arial" w:eastAsia="Arial" w:hAnsi="Arial"/>
                <w:sz w:val="20"/>
                <w:szCs w:val="20"/>
                <w:color w:val="auto"/>
              </w:rPr>
              <w:t>Non-deductible equity compensation</w:t>
            </w: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2,256</w:t>
            </w:r>
          </w:p>
        </w:tc>
        <w:tc>
          <w:tcPr>
            <w:tcW w:w="6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1180" w:type="dxa"/>
            <w:vAlign w:val="bottom"/>
            <w:shd w:val="clear" w:color="auto" w:fill="D2EEF5"/>
          </w:tcPr>
          <w:p>
            <w:pPr>
              <w:jc w:val="right"/>
              <w:ind w:right="200"/>
              <w:spacing w:after="0"/>
              <w:rPr>
                <w:sz w:val="20"/>
                <w:szCs w:val="20"/>
                <w:color w:val="auto"/>
              </w:rPr>
            </w:pPr>
            <w:r>
              <w:rPr>
                <w:rFonts w:ascii="Arial" w:cs="Arial" w:eastAsia="Arial" w:hAnsi="Arial"/>
                <w:sz w:val="20"/>
                <w:szCs w:val="20"/>
                <w:b w:val="1"/>
                <w:bCs w:val="1"/>
                <w:color w:val="auto"/>
              </w:rPr>
              <w:t>1.5</w:t>
            </w:r>
          </w:p>
        </w:tc>
      </w:tr>
      <w:tr>
        <w:trPr>
          <w:trHeight w:val="275"/>
        </w:trPr>
        <w:tc>
          <w:tcPr>
            <w:tcW w:w="40" w:type="dxa"/>
            <w:vAlign w:val="bottom"/>
            <w:tcBorders>
              <w:bottom w:val="single" w:sz="8" w:color="D2EEF5"/>
            </w:tcBorders>
          </w:tcPr>
          <w:p>
            <w:pPr>
              <w:spacing w:after="0"/>
              <w:rPr>
                <w:sz w:val="23"/>
                <w:szCs w:val="23"/>
                <w:color w:val="auto"/>
              </w:rPr>
            </w:pPr>
          </w:p>
        </w:tc>
        <w:tc>
          <w:tcPr>
            <w:tcW w:w="7340" w:type="dxa"/>
            <w:vAlign w:val="bottom"/>
            <w:tcBorders>
              <w:bottom w:val="single" w:sz="8" w:color="D2EEF5"/>
            </w:tcBorders>
            <w:gridSpan w:val="3"/>
          </w:tcPr>
          <w:p>
            <w:pPr>
              <w:ind w:left="120"/>
              <w:spacing w:after="0"/>
              <w:rPr>
                <w:sz w:val="20"/>
                <w:szCs w:val="20"/>
                <w:color w:val="auto"/>
              </w:rPr>
            </w:pPr>
            <w:r>
              <w:rPr>
                <w:rFonts w:ascii="Arial" w:cs="Arial" w:eastAsia="Arial" w:hAnsi="Arial"/>
                <w:sz w:val="20"/>
                <w:szCs w:val="20"/>
                <w:b w:val="1"/>
                <w:bCs w:val="1"/>
                <w:color w:val="auto"/>
              </w:rPr>
              <w:t>Other Adjustments</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51</w:t>
            </w:r>
          </w:p>
        </w:tc>
        <w:tc>
          <w:tcPr>
            <w:tcW w:w="60" w:type="dxa"/>
            <w:vAlign w:val="bottom"/>
            <w:tcBorders>
              <w:bottom w:val="single" w:sz="8" w:color="D2EEF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w:t>
            </w:r>
          </w:p>
        </w:tc>
      </w:tr>
      <w:tr>
        <w:trPr>
          <w:trHeight w:val="270"/>
        </w:trPr>
        <w:tc>
          <w:tcPr>
            <w:tcW w:w="40" w:type="dxa"/>
            <w:vAlign w:val="bottom"/>
            <w:tcBorders>
              <w:bottom w:val="single" w:sz="8" w:color="D2EEF5"/>
            </w:tcBorders>
            <w:shd w:val="clear" w:color="auto" w:fill="D2EEF5"/>
          </w:tcPr>
          <w:p>
            <w:pPr>
              <w:spacing w:after="0"/>
              <w:rPr>
                <w:sz w:val="23"/>
                <w:szCs w:val="23"/>
                <w:color w:val="auto"/>
              </w:rPr>
            </w:pPr>
          </w:p>
        </w:tc>
        <w:tc>
          <w:tcPr>
            <w:tcW w:w="734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b w:val="1"/>
                <w:bCs w:val="1"/>
                <w:color w:val="auto"/>
              </w:rPr>
              <w:t>Total provision for income taxes</w:t>
            </w:r>
          </w:p>
        </w:tc>
        <w:tc>
          <w:tcPr>
            <w:tcW w:w="26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20"/>
                <w:szCs w:val="20"/>
                <w:b w:val="1"/>
                <w:bCs w:val="1"/>
                <w:color w:val="auto"/>
              </w:rPr>
              <w:t>$</w:t>
            </w:r>
          </w:p>
        </w:tc>
        <w:tc>
          <w:tcPr>
            <w:tcW w:w="118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69,557</w:t>
            </w:r>
          </w:p>
        </w:tc>
        <w:tc>
          <w:tcPr>
            <w:tcW w:w="60" w:type="dxa"/>
            <w:vAlign w:val="bottom"/>
            <w:tcBorders>
              <w:bottom w:val="single" w:sz="8" w:color="D2EEF5"/>
            </w:tcBorders>
            <w:shd w:val="clear" w:color="auto" w:fill="D2EEF5"/>
          </w:tcPr>
          <w:p>
            <w:pPr>
              <w:spacing w:after="0"/>
              <w:rPr>
                <w:sz w:val="23"/>
                <w:szCs w:val="23"/>
                <w:color w:val="auto"/>
              </w:rPr>
            </w:pPr>
          </w:p>
        </w:tc>
        <w:tc>
          <w:tcPr>
            <w:tcW w:w="260" w:type="dxa"/>
            <w:vAlign w:val="bottom"/>
            <w:tcBorders>
              <w:bottom w:val="single" w:sz="8" w:color="auto"/>
            </w:tcBorders>
            <w:shd w:val="clear" w:color="auto" w:fill="D2EEF5"/>
          </w:tcPr>
          <w:p>
            <w:pPr>
              <w:spacing w:after="0"/>
              <w:rPr>
                <w:sz w:val="23"/>
                <w:szCs w:val="23"/>
                <w:color w:val="auto"/>
              </w:rPr>
            </w:pPr>
          </w:p>
        </w:tc>
        <w:tc>
          <w:tcPr>
            <w:tcW w:w="1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47.2 %</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tcBorders>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5580" w:type="dxa"/>
            <w:vAlign w:val="bottom"/>
            <w:tcBorders>
              <w:top w:val="single" w:sz="8" w:color="D2EEF5"/>
            </w:tcBorders>
          </w:tcPr>
          <w:p>
            <w:pPr>
              <w:spacing w:after="0" w:line="20" w:lineRule="exact"/>
              <w:rPr>
                <w:sz w:val="1"/>
                <w:szCs w:val="1"/>
                <w:color w:val="auto"/>
              </w:rPr>
            </w:pPr>
          </w:p>
        </w:tc>
        <w:tc>
          <w:tcPr>
            <w:tcW w:w="260" w:type="dxa"/>
            <w:vAlign w:val="bottom"/>
            <w:tcBorders>
              <w:top w:val="single" w:sz="8" w:color="D2EEF5"/>
              <w:bottom w:val="single" w:sz="8" w:color="auto"/>
            </w:tcBorders>
          </w:tcPr>
          <w:p>
            <w:pPr>
              <w:spacing w:after="0" w:line="20" w:lineRule="exact"/>
              <w:rPr>
                <w:sz w:val="1"/>
                <w:szCs w:val="1"/>
                <w:color w:val="auto"/>
              </w:rPr>
            </w:pPr>
          </w:p>
        </w:tc>
        <w:tc>
          <w:tcPr>
            <w:tcW w:w="1180" w:type="dxa"/>
            <w:vAlign w:val="bottom"/>
            <w:tcBorders>
              <w:top w:val="single" w:sz="8" w:color="D2EEF5"/>
              <w:bottom w:val="single" w:sz="8" w:color="auto"/>
            </w:tcBorders>
          </w:tcPr>
          <w:p>
            <w:pPr>
              <w:spacing w:after="0" w:line="20" w:lineRule="exact"/>
              <w:rPr>
                <w:sz w:val="1"/>
                <w:szCs w:val="1"/>
                <w:color w:val="auto"/>
              </w:rPr>
            </w:pPr>
          </w:p>
        </w:tc>
        <w:tc>
          <w:tcPr>
            <w:tcW w:w="60" w:type="dxa"/>
            <w:vAlign w:val="bottom"/>
            <w:tcBorders>
              <w:top w:val="single" w:sz="8" w:color="D2EEF5"/>
            </w:tcBorders>
          </w:tcPr>
          <w:p>
            <w:pPr>
              <w:spacing w:after="0" w:line="20" w:lineRule="exact"/>
              <w:rPr>
                <w:sz w:val="1"/>
                <w:szCs w:val="1"/>
                <w:color w:val="auto"/>
              </w:rPr>
            </w:pPr>
          </w:p>
        </w:tc>
        <w:tc>
          <w:tcPr>
            <w:tcW w:w="260" w:type="dxa"/>
            <w:vAlign w:val="bottom"/>
            <w:tcBorders>
              <w:top w:val="single" w:sz="8" w:color="D2EEF5"/>
              <w:bottom w:val="single" w:sz="8" w:color="auto"/>
            </w:tcBorders>
          </w:tcPr>
          <w:p>
            <w:pPr>
              <w:spacing w:after="0" w:line="20" w:lineRule="exact"/>
              <w:rPr>
                <w:sz w:val="1"/>
                <w:szCs w:val="1"/>
                <w:color w:val="auto"/>
              </w:rPr>
            </w:pPr>
          </w:p>
        </w:tc>
        <w:tc>
          <w:tcPr>
            <w:tcW w:w="1180" w:type="dxa"/>
            <w:vAlign w:val="bottom"/>
            <w:tcBorders>
              <w:top w:val="single" w:sz="8" w:color="D2EE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-43815</wp:posOffset>
            </wp:positionV>
            <wp:extent cx="189230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extLst>
                    </a:blip>
                    <a:srcRect/>
                    <a:stretch>
                      <a:fillRect/>
                    </a:stretch>
                  </pic:blipFill>
                  <pic:spPr bwMode="auto">
                    <a:xfrm>
                      <a:off x="0" y="0"/>
                      <a:ext cx="1892300" cy="50800"/>
                    </a:xfrm>
                    <a:prstGeom prst="rect">
                      <a:avLst/>
                    </a:prstGeom>
                    <a:noFill/>
                  </pic:spPr>
                </pic:pic>
              </a:graphicData>
            </a:graphic>
          </wp:anchor>
        </w:drawing>
      </w:r>
    </w:p>
    <w:p>
      <w:pPr>
        <w:spacing w:after="0" w:line="67" w:lineRule="exact"/>
        <w:rPr>
          <w:sz w:val="20"/>
          <w:szCs w:val="20"/>
          <w:color w:val="auto"/>
        </w:rPr>
      </w:pPr>
    </w:p>
    <w:p>
      <w:pPr>
        <w:ind w:left="730" w:right="620" w:hanging="730"/>
        <w:spacing w:after="0" w:line="283" w:lineRule="auto"/>
        <w:tabs>
          <w:tab w:leader="none" w:pos="730" w:val="left"/>
        </w:tabs>
        <w:numPr>
          <w:ilvl w:val="0"/>
          <w:numId w:val="45"/>
        </w:numPr>
        <w:rPr>
          <w:rFonts w:ascii="Arial" w:cs="Arial" w:eastAsia="Arial" w:hAnsi="Arial"/>
          <w:sz w:val="20"/>
          <w:szCs w:val="20"/>
          <w:color w:val="auto"/>
        </w:rPr>
      </w:pPr>
      <w:r>
        <w:rPr>
          <w:rFonts w:ascii="Arial" w:cs="Arial" w:eastAsia="Arial" w:hAnsi="Arial"/>
          <w:sz w:val="20"/>
          <w:szCs w:val="20"/>
          <w:color w:val="auto"/>
        </w:rPr>
        <w:t>State taxes in California, Illinois and Utah made up the majority (greater than 50 percent) of the tax effect in this category.</w:t>
      </w:r>
    </w:p>
    <w:p>
      <w:pPr>
        <w:sectPr>
          <w:pgSz w:w="11880" w:h="15480" w:orient="portrait"/>
          <w:cols w:equalWidth="0" w:num="1">
            <w:col w:w="10330"/>
          </w:cols>
          <w:pgMar w:left="810" w:top="42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0"/>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10330"/>
          </w:cols>
          <w:pgMar w:left="810" w:top="422" w:right="740" w:bottom="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right="260"/>
        <w:spacing w:after="0" w:line="283" w:lineRule="auto"/>
        <w:rPr>
          <w:sz w:val="20"/>
          <w:szCs w:val="20"/>
          <w:color w:val="auto"/>
        </w:rPr>
      </w:pPr>
      <w:r>
        <w:rPr>
          <w:rFonts w:ascii="Arial" w:cs="Arial" w:eastAsia="Arial" w:hAnsi="Arial"/>
          <w:sz w:val="20"/>
          <w:szCs w:val="20"/>
          <w:color w:val="auto"/>
        </w:rPr>
        <w:t>The provision for income taxes for the years ended December 31, 2024 and 2023 is reconciled with the U.S. federal statutory rate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21"/>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21"/>
              <w:spacing w:after="0"/>
              <w:rPr>
                <w:sz w:val="20"/>
                <w:szCs w:val="20"/>
                <w:color w:val="auto"/>
              </w:rPr>
            </w:pPr>
            <w:r>
              <w:rPr>
                <w:rFonts w:ascii="Arial" w:cs="Arial" w:eastAsia="Arial" w:hAnsi="Arial"/>
                <w:sz w:val="18"/>
                <w:szCs w:val="18"/>
                <w:b w:val="1"/>
                <w:bCs w:val="1"/>
                <w:color w:val="auto"/>
              </w:rPr>
              <w:t>2023</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20" w:type="dxa"/>
            <w:vAlign w:val="bottom"/>
            <w:tcBorders>
              <w:top w:val="single" w:sz="8" w:color="auto"/>
              <w:bottom w:val="single" w:sz="8" w:color="D2EEF5"/>
            </w:tcBorders>
          </w:tcPr>
          <w:p>
            <w:pPr>
              <w:spacing w:after="0" w:line="20" w:lineRule="exact"/>
              <w:rPr>
                <w:sz w:val="1"/>
                <w:szCs w:val="1"/>
                <w:color w:val="auto"/>
              </w:rPr>
            </w:pPr>
          </w:p>
        </w:tc>
        <w:tc>
          <w:tcPr>
            <w:tcW w:w="594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Provision computed at federal statutory rate</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23,914</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22,265</w:t>
            </w:r>
          </w:p>
        </w:tc>
      </w:tr>
      <w:tr>
        <w:trPr>
          <w:trHeight w:val="261"/>
        </w:trPr>
        <w:tc>
          <w:tcPr>
            <w:tcW w:w="40" w:type="dxa"/>
            <w:vAlign w:val="bottom"/>
          </w:tcPr>
          <w:p>
            <w:pPr>
              <w:spacing w:after="0"/>
              <w:rPr>
                <w:sz w:val="22"/>
                <w:szCs w:val="22"/>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Increase (decrease) in taxes as a result of:</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5"/>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State taxes, net of federal benefit</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(2,840)</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(2,889)</w:t>
            </w: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Valuation allowance</w:t>
            </w: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35,660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19,494</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Global intangible low-tax income</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1,691</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4,861</w:t>
            </w: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Nondeductible share-based compensation</w:t>
            </w: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3,859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3,192</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Foreign tax rate differential</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11,893</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10,595</w:t>
            </w: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Impact of rate changes on deferred tax balances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Tax holiday</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(1,335)</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(1,082)</w:t>
            </w: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Audit settlement</w:t>
            </w: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739</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Tax credits</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(259)</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w:t>
            </w:r>
          </w:p>
        </w:tc>
      </w:tr>
      <w:tr>
        <w:trPr>
          <w:trHeight w:val="275"/>
        </w:trPr>
        <w:tc>
          <w:tcPr>
            <w:tcW w:w="40" w:type="dxa"/>
            <w:vAlign w:val="bottom"/>
            <w:tcBorders>
              <w:bottom w:val="single" w:sz="8" w:color="D2EEF5"/>
            </w:tcBorders>
          </w:tcPr>
          <w:p>
            <w:pPr>
              <w:spacing w:after="0"/>
              <w:rPr>
                <w:sz w:val="23"/>
                <w:szCs w:val="23"/>
                <w:color w:val="auto"/>
              </w:rPr>
            </w:pPr>
          </w:p>
        </w:tc>
        <w:tc>
          <w:tcPr>
            <w:tcW w:w="7700" w:type="dxa"/>
            <w:vAlign w:val="bottom"/>
            <w:tcBorders>
              <w:bottom w:val="single" w:sz="8" w:color="D2EEF5"/>
            </w:tcBorders>
            <w:gridSpan w:val="3"/>
          </w:tcPr>
          <w:p>
            <w:pPr>
              <w:ind w:left="480"/>
              <w:spacing w:after="0"/>
              <w:rPr>
                <w:sz w:val="20"/>
                <w:szCs w:val="20"/>
                <w:color w:val="auto"/>
              </w:rPr>
            </w:pPr>
            <w:r>
              <w:rPr>
                <w:rFonts w:ascii="Arial" w:cs="Arial" w:eastAsia="Arial" w:hAnsi="Arial"/>
                <w:sz w:val="20"/>
                <w:szCs w:val="20"/>
                <w:color w:val="auto"/>
              </w:rPr>
              <w:t>Other</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(2,210)</w:t>
            </w:r>
          </w:p>
        </w:tc>
        <w:tc>
          <w:tcPr>
            <w:tcW w:w="1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(2,432)</w:t>
            </w:r>
          </w:p>
        </w:tc>
      </w:tr>
      <w:tr>
        <w:trPr>
          <w:trHeight w:val="26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Total provision for income taxes</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69,476</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54,651</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tcBorders>
          </w:tcPr>
          <w:p>
            <w:pPr>
              <w:spacing w:after="0" w:line="20" w:lineRule="exact"/>
              <w:rPr>
                <w:sz w:val="1"/>
                <w:szCs w:val="1"/>
                <w:color w:val="auto"/>
              </w:rPr>
            </w:pPr>
          </w:p>
        </w:tc>
        <w:tc>
          <w:tcPr>
            <w:tcW w:w="20" w:type="dxa"/>
            <w:vAlign w:val="bottom"/>
            <w:tcBorders>
              <w:top w:val="single" w:sz="8" w:color="D2EEF5"/>
            </w:tcBorders>
          </w:tcPr>
          <w:p>
            <w:pPr>
              <w:spacing w:after="0" w:line="20" w:lineRule="exact"/>
              <w:rPr>
                <w:sz w:val="1"/>
                <w:szCs w:val="1"/>
                <w:color w:val="auto"/>
              </w:rPr>
            </w:pPr>
          </w:p>
        </w:tc>
        <w:tc>
          <w:tcPr>
            <w:tcW w:w="594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-43815</wp:posOffset>
            </wp:positionV>
            <wp:extent cx="162560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extLst>
                    </a:blip>
                    <a:srcRect/>
                    <a:stretch>
                      <a:fillRect/>
                    </a:stretch>
                  </pic:blipFill>
                  <pic:spPr bwMode="auto">
                    <a:xfrm>
                      <a:off x="0" y="0"/>
                      <a:ext cx="1625600" cy="50800"/>
                    </a:xfrm>
                    <a:prstGeom prst="rect">
                      <a:avLst/>
                    </a:prstGeom>
                    <a:noFill/>
                  </pic:spPr>
                </pic:pic>
              </a:graphicData>
            </a:graphic>
          </wp:anchor>
        </w:drawing>
      </w:r>
    </w:p>
    <w:p>
      <w:pPr>
        <w:spacing w:after="0" w:line="187" w:lineRule="exact"/>
        <w:rPr>
          <w:sz w:val="20"/>
          <w:szCs w:val="20"/>
          <w:color w:val="auto"/>
        </w:rPr>
      </w:pPr>
    </w:p>
    <w:p>
      <w:pPr>
        <w:ind w:right="600"/>
        <w:spacing w:after="0" w:line="283" w:lineRule="auto"/>
        <w:rPr>
          <w:sz w:val="20"/>
          <w:szCs w:val="20"/>
          <w:color w:val="auto"/>
        </w:rPr>
      </w:pPr>
      <w:r>
        <w:rPr>
          <w:rFonts w:ascii="Arial" w:cs="Arial" w:eastAsia="Arial" w:hAnsi="Arial"/>
          <w:sz w:val="20"/>
          <w:szCs w:val="20"/>
          <w:color w:val="auto"/>
        </w:rPr>
        <w:t>The components of the tax effects of temporary differences and carryforwards that gave rise to significant portions of the deferred tax assets and liabilities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60" w:type="dxa"/>
            <w:vAlign w:val="bottom"/>
          </w:tcPr>
          <w:p>
            <w:pPr>
              <w:spacing w:after="0"/>
              <w:rPr>
                <w:sz w:val="19"/>
                <w:szCs w:val="19"/>
                <w:color w:val="auto"/>
              </w:rPr>
            </w:pPr>
          </w:p>
        </w:tc>
        <w:tc>
          <w:tcPr>
            <w:tcW w:w="940" w:type="dxa"/>
            <w:vAlign w:val="bottom"/>
          </w:tcPr>
          <w:p>
            <w:pPr>
              <w:jc w:val="right"/>
              <w:ind w:right="321"/>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21"/>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420" w:type="dxa"/>
            <w:vAlign w:val="bottom"/>
            <w:tcBorders>
              <w:bottom w:val="single" w:sz="8" w:color="D2EEF5"/>
            </w:tcBorders>
          </w:tcPr>
          <w:p>
            <w:pPr>
              <w:spacing w:after="0" w:line="20" w:lineRule="exact"/>
              <w:rPr>
                <w:sz w:val="1"/>
                <w:szCs w:val="1"/>
                <w:color w:val="auto"/>
              </w:rPr>
            </w:pPr>
          </w:p>
        </w:tc>
        <w:tc>
          <w:tcPr>
            <w:tcW w:w="5960" w:type="dxa"/>
            <w:vAlign w:val="bottom"/>
            <w:tcBorders>
              <w:bottom w:val="single" w:sz="8" w:color="D2EE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Net operating loss carryforwards</w:t>
            </w:r>
          </w:p>
        </w:tc>
        <w:tc>
          <w:tcPr>
            <w:tcW w:w="260" w:type="dxa"/>
            <w:vAlign w:val="bottom"/>
            <w:shd w:val="clear" w:color="auto" w:fill="D2EEF5"/>
          </w:tcPr>
          <w:p>
            <w:pPr>
              <w:jc w:val="right"/>
              <w:ind w:right="20"/>
              <w:spacing w:after="0"/>
              <w:rPr>
                <w:sz w:val="20"/>
                <w:szCs w:val="20"/>
                <w:color w:val="auto"/>
              </w:rPr>
            </w:pPr>
            <w:r>
              <w:rPr>
                <w:rFonts w:ascii="Arial" w:cs="Arial" w:eastAsia="Arial" w:hAnsi="Arial"/>
                <w:sz w:val="20"/>
                <w:szCs w:val="20"/>
                <w:b w:val="1"/>
                <w:bCs w:val="1"/>
                <w:color w:val="auto"/>
              </w:rPr>
              <w:t>$</w:t>
            </w: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57,210</w:t>
            </w:r>
          </w:p>
        </w:tc>
        <w:tc>
          <w:tcPr>
            <w:tcW w:w="380" w:type="dxa"/>
            <w:vAlign w:val="bottom"/>
            <w:gridSpan w:val="2"/>
            <w:shd w:val="clear" w:color="auto" w:fill="D2EEF5"/>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56,097</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Net capital loss carryforwards</w:t>
            </w: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b w:val="1"/>
                <w:bCs w:val="1"/>
                <w:color w:val="auto"/>
              </w:rPr>
              <w:t>3,652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2,890</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Reserves and accruals</w:t>
            </w: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16,532</w:t>
            </w:r>
          </w:p>
        </w:tc>
        <w:tc>
          <w:tcPr>
            <w:tcW w:w="1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8,187</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Employee benefits and compensation</w:t>
            </w: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b w:val="1"/>
                <w:bCs w:val="1"/>
                <w:color w:val="auto"/>
              </w:rPr>
              <w:t>12,636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10,481</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Asset retirement obligations</w:t>
            </w: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12,432</w:t>
            </w:r>
          </w:p>
        </w:tc>
        <w:tc>
          <w:tcPr>
            <w:tcW w:w="1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11,506</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Lease liability</w:t>
            </w: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b w:val="1"/>
                <w:bCs w:val="1"/>
                <w:color w:val="auto"/>
              </w:rPr>
              <w:t>16,462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14,381</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Disallowed interest carryforward</w:t>
            </w: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186,937</w:t>
            </w:r>
          </w:p>
        </w:tc>
        <w:tc>
          <w:tcPr>
            <w:tcW w:w="1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167,369</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770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10,690</w:t>
            </w:r>
          </w:p>
        </w:tc>
        <w:tc>
          <w:tcPr>
            <w:tcW w:w="120" w:type="dxa"/>
            <w:vAlign w:val="bottom"/>
            <w:tcBorders>
              <w:bottom w:val="single" w:sz="8" w:color="D2EEF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8,804</w:t>
            </w: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Deferred tax assets before valuation allowance</w:t>
            </w:r>
          </w:p>
        </w:tc>
        <w:tc>
          <w:tcPr>
            <w:tcW w:w="260" w:type="dxa"/>
            <w:vAlign w:val="bottom"/>
            <w:shd w:val="clear" w:color="auto" w:fill="D2EEF5"/>
          </w:tcPr>
          <w:p>
            <w:pPr>
              <w:spacing w:after="0"/>
              <w:rPr>
                <w:sz w:val="23"/>
                <w:szCs w:val="23"/>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316,551</w:t>
            </w:r>
          </w:p>
        </w:tc>
        <w:tc>
          <w:tcPr>
            <w:tcW w:w="120" w:type="dxa"/>
            <w:vAlign w:val="bottom"/>
            <w:shd w:val="clear" w:color="auto" w:fill="D2EEF5"/>
          </w:tcPr>
          <w:p>
            <w:pPr>
              <w:spacing w:after="0"/>
              <w:rPr>
                <w:sz w:val="23"/>
                <w:szCs w:val="23"/>
                <w:color w:val="auto"/>
              </w:rPr>
            </w:pPr>
          </w:p>
        </w:tc>
        <w:tc>
          <w:tcPr>
            <w:tcW w:w="260" w:type="dxa"/>
            <w:vAlign w:val="bottom"/>
            <w:shd w:val="clear" w:color="auto" w:fill="D2EEF5"/>
          </w:tcPr>
          <w:p>
            <w:pPr>
              <w:spacing w:after="0"/>
              <w:rPr>
                <w:sz w:val="23"/>
                <w:szCs w:val="23"/>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279,715</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770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Valuation allowance</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(172,294)</w:t>
            </w:r>
          </w:p>
        </w:tc>
        <w:tc>
          <w:tcPr>
            <w:tcW w:w="120" w:type="dxa"/>
            <w:vAlign w:val="bottom"/>
            <w:tcBorders>
              <w:bottom w:val="single" w:sz="8" w:color="D2EEF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(160,595)</w:t>
            </w:r>
          </w:p>
        </w:tc>
        <w:tc>
          <w:tcPr>
            <w:tcW w:w="0" w:type="dxa"/>
            <w:vAlign w:val="bottom"/>
          </w:tcPr>
          <w:p>
            <w:pPr>
              <w:spacing w:after="0"/>
              <w:rPr>
                <w:sz w:val="1"/>
                <w:szCs w:val="1"/>
                <w:color w:val="auto"/>
              </w:rPr>
            </w:pPr>
          </w:p>
        </w:tc>
      </w:tr>
      <w:tr>
        <w:trPr>
          <w:trHeight w:val="265"/>
        </w:trPr>
        <w:tc>
          <w:tcPr>
            <w:tcW w:w="40" w:type="dxa"/>
            <w:vAlign w:val="bottom"/>
            <w:tcBorders>
              <w:bottom w:val="single" w:sz="8" w:color="D2EEF5"/>
            </w:tcBorders>
            <w:shd w:val="clear" w:color="auto" w:fill="D2EEF5"/>
          </w:tcPr>
          <w:p>
            <w:pPr>
              <w:spacing w:after="0"/>
              <w:rPr>
                <w:sz w:val="23"/>
                <w:szCs w:val="23"/>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b w:val="1"/>
                <w:bCs w:val="1"/>
                <w:color w:val="auto"/>
              </w:rPr>
              <w:t>Net deferred tax assets</w:t>
            </w:r>
          </w:p>
        </w:tc>
        <w:tc>
          <w:tcPr>
            <w:tcW w:w="26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144,257</w:t>
            </w:r>
          </w:p>
        </w:tc>
        <w:tc>
          <w:tcPr>
            <w:tcW w:w="120" w:type="dxa"/>
            <w:vAlign w:val="bottom"/>
            <w:tcBorders>
              <w:bottom w:val="single" w:sz="8" w:color="D2EEF5"/>
            </w:tcBorders>
            <w:shd w:val="clear" w:color="auto" w:fill="D2EEF5"/>
          </w:tcPr>
          <w:p>
            <w:pPr>
              <w:spacing w:after="0"/>
              <w:rPr>
                <w:sz w:val="23"/>
                <w:szCs w:val="23"/>
                <w:color w:val="auto"/>
              </w:rPr>
            </w:pPr>
          </w:p>
        </w:tc>
        <w:tc>
          <w:tcPr>
            <w:tcW w:w="260" w:type="dxa"/>
            <w:vAlign w:val="bottom"/>
            <w:tcBorders>
              <w:bottom w:val="single" w:sz="8" w:color="auto"/>
            </w:tcBorders>
            <w:shd w:val="clear" w:color="auto" w:fill="D2EEF5"/>
          </w:tcPr>
          <w:p>
            <w:pPr>
              <w:spacing w:after="0"/>
              <w:rPr>
                <w:sz w:val="23"/>
                <w:szCs w:val="23"/>
                <w:color w:val="auto"/>
              </w:rPr>
            </w:pPr>
          </w:p>
        </w:tc>
        <w:tc>
          <w:tcPr>
            <w:tcW w:w="94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20"/>
                <w:szCs w:val="20"/>
                <w:color w:val="auto"/>
              </w:rPr>
              <w:t>119,120</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Depreciation and amortization</w:t>
            </w: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(188,522)</w:t>
            </w:r>
          </w:p>
        </w:tc>
        <w:tc>
          <w:tcPr>
            <w:tcW w:w="1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(170,646)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Reserves and accruals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(15,207)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(11,240)</w:t>
            </w:r>
          </w:p>
        </w:tc>
        <w:tc>
          <w:tcPr>
            <w:tcW w:w="0" w:type="dxa"/>
            <w:vAlign w:val="bottom"/>
          </w:tcPr>
          <w:p>
            <w:pPr>
              <w:spacing w:after="0"/>
              <w:rPr>
                <w:sz w:val="1"/>
                <w:szCs w:val="1"/>
                <w:color w:val="auto"/>
              </w:rPr>
            </w:pP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Other</w:t>
            </w:r>
          </w:p>
        </w:tc>
        <w:tc>
          <w:tcPr>
            <w:tcW w:w="260" w:type="dxa"/>
            <w:vAlign w:val="bottom"/>
            <w:tcBorders>
              <w:bottom w:val="single" w:sz="8" w:color="auto"/>
            </w:tcBorders>
            <w:shd w:val="clear" w:color="auto" w:fill="D2EEF5"/>
          </w:tcPr>
          <w:p>
            <w:pPr>
              <w:spacing w:after="0"/>
              <w:rPr>
                <w:sz w:val="24"/>
                <w:szCs w:val="24"/>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(7,750)</w:t>
            </w:r>
          </w:p>
        </w:tc>
        <w:tc>
          <w:tcPr>
            <w:tcW w:w="120" w:type="dxa"/>
            <w:vAlign w:val="bottom"/>
            <w:tcBorders>
              <w:bottom w:val="single" w:sz="8" w:color="D2EEF5"/>
            </w:tcBorders>
            <w:shd w:val="clear" w:color="auto" w:fill="D2EEF5"/>
          </w:tcPr>
          <w:p>
            <w:pPr>
              <w:spacing w:after="0"/>
              <w:rPr>
                <w:sz w:val="24"/>
                <w:szCs w:val="24"/>
                <w:color w:val="auto"/>
              </w:rPr>
            </w:pPr>
          </w:p>
        </w:tc>
        <w:tc>
          <w:tcPr>
            <w:tcW w:w="260" w:type="dxa"/>
            <w:vAlign w:val="bottom"/>
            <w:tcBorders>
              <w:bottom w:val="single" w:sz="8" w:color="auto"/>
            </w:tcBorders>
            <w:shd w:val="clear" w:color="auto" w:fill="D2EEF5"/>
          </w:tcPr>
          <w:p>
            <w:pPr>
              <w:spacing w:after="0"/>
              <w:rPr>
                <w:sz w:val="24"/>
                <w:szCs w:val="24"/>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(3,869)</w:t>
            </w:r>
          </w:p>
        </w:tc>
        <w:tc>
          <w:tcPr>
            <w:tcW w:w="0" w:type="dxa"/>
            <w:vAlign w:val="bottom"/>
          </w:tcPr>
          <w:p>
            <w:pPr>
              <w:spacing w:after="0"/>
              <w:rPr>
                <w:sz w:val="1"/>
                <w:szCs w:val="1"/>
                <w:color w:val="auto"/>
              </w:rPr>
            </w:pPr>
          </w:p>
        </w:tc>
      </w:tr>
      <w:tr>
        <w:trPr>
          <w:trHeight w:val="246"/>
        </w:trPr>
        <w:tc>
          <w:tcPr>
            <w:tcW w:w="40" w:type="dxa"/>
            <w:vAlign w:val="bottom"/>
            <w:tcBorders>
              <w:bottom w:val="single" w:sz="8" w:color="D2EEF5"/>
            </w:tcBorders>
          </w:tcPr>
          <w:p>
            <w:pPr>
              <w:spacing w:after="0"/>
              <w:rPr>
                <w:sz w:val="21"/>
                <w:szCs w:val="21"/>
                <w:color w:val="auto"/>
              </w:rPr>
            </w:pPr>
          </w:p>
        </w:tc>
        <w:tc>
          <w:tcPr>
            <w:tcW w:w="770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Total deferred tax liabilities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(211,479)</w:t>
            </w:r>
          </w:p>
        </w:tc>
        <w:tc>
          <w:tcPr>
            <w:tcW w:w="120" w:type="dxa"/>
            <w:vAlign w:val="bottom"/>
            <w:tcBorders>
              <w:bottom w:val="single" w:sz="8" w:color="D2EEF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(185,755)</w:t>
            </w:r>
          </w:p>
        </w:tc>
        <w:tc>
          <w:tcPr>
            <w:tcW w:w="0" w:type="dxa"/>
            <w:vAlign w:val="bottom"/>
          </w:tcPr>
          <w:p>
            <w:pPr>
              <w:spacing w:after="0"/>
              <w:rPr>
                <w:sz w:val="1"/>
                <w:szCs w:val="1"/>
                <w:color w:val="auto"/>
              </w:rPr>
            </w:pPr>
          </w:p>
        </w:tc>
      </w:tr>
      <w:tr>
        <w:trPr>
          <w:trHeight w:val="265"/>
        </w:trPr>
        <w:tc>
          <w:tcPr>
            <w:tcW w:w="40" w:type="dxa"/>
            <w:vAlign w:val="bottom"/>
            <w:tcBorders>
              <w:bottom w:val="single" w:sz="8" w:color="D2EEF5"/>
            </w:tcBorders>
            <w:shd w:val="clear" w:color="auto" w:fill="D2EEF5"/>
          </w:tcPr>
          <w:p>
            <w:pPr>
              <w:spacing w:after="0"/>
              <w:rPr>
                <w:sz w:val="23"/>
                <w:szCs w:val="23"/>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b w:val="1"/>
                <w:bCs w:val="1"/>
                <w:color w:val="auto"/>
              </w:rPr>
              <w:t>Net deferred tax liabilities</w:t>
            </w:r>
          </w:p>
        </w:tc>
        <w:tc>
          <w:tcPr>
            <w:tcW w:w="26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20"/>
                <w:szCs w:val="20"/>
                <w:b w:val="1"/>
                <w:bCs w:val="1"/>
                <w:color w:val="auto"/>
              </w:rPr>
              <w:t>$</w:t>
            </w:r>
          </w:p>
        </w:tc>
        <w:tc>
          <w:tcPr>
            <w:tcW w:w="9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(67,222)</w:t>
            </w:r>
          </w:p>
        </w:tc>
        <w:tc>
          <w:tcPr>
            <w:tcW w:w="120" w:type="dxa"/>
            <w:vAlign w:val="bottom"/>
            <w:tcBorders>
              <w:bottom w:val="single" w:sz="8" w:color="D2EEF5"/>
            </w:tcBorders>
            <w:shd w:val="clear" w:color="auto" w:fill="D2EEF5"/>
          </w:tcPr>
          <w:p>
            <w:pPr>
              <w:spacing w:after="0"/>
              <w:rPr>
                <w:sz w:val="23"/>
                <w:szCs w:val="23"/>
                <w:color w:val="auto"/>
              </w:rPr>
            </w:pPr>
          </w:p>
        </w:tc>
        <w:tc>
          <w:tcPr>
            <w:tcW w:w="26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(66,635)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00" w:type="dxa"/>
            <w:vAlign w:val="bottom"/>
            <w:gridSpan w:val="3"/>
            <w:vMerge w:val="restart"/>
          </w:tcPr>
          <w:p>
            <w:pPr>
              <w:spacing w:after="0"/>
              <w:rPr>
                <w:sz w:val="20"/>
                <w:szCs w:val="20"/>
                <w:color w:val="auto"/>
              </w:rPr>
            </w:pPr>
            <w:r>
              <w:rPr>
                <w:rFonts w:ascii="Arial" w:cs="Arial" w:eastAsia="Arial" w:hAnsi="Arial"/>
                <w:sz w:val="20"/>
                <w:szCs w:val="20"/>
                <w:color w:val="auto"/>
              </w:rPr>
              <w:t>Noncurrent net deferred tax assets</w:t>
            </w: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7700" w:type="dxa"/>
            <w:vAlign w:val="bottom"/>
            <w:gridSpan w:val="3"/>
            <w:vMerge w:val="continue"/>
          </w:tcPr>
          <w:p>
            <w:pPr>
              <w:spacing w:after="0"/>
              <w:rPr>
                <w:sz w:val="21"/>
                <w:szCs w:val="21"/>
                <w:color w:val="auto"/>
              </w:rPr>
            </w:pPr>
          </w:p>
        </w:tc>
        <w:tc>
          <w:tcPr>
            <w:tcW w:w="260" w:type="dxa"/>
            <w:vAlign w:val="bottom"/>
            <w:tcBorders>
              <w:top w:val="single" w:sz="8" w:color="auto"/>
            </w:tcBorders>
          </w:tcPr>
          <w:p>
            <w:pPr>
              <w:jc w:val="right"/>
              <w:ind w:right="20"/>
              <w:spacing w:after="0"/>
              <w:rPr>
                <w:sz w:val="20"/>
                <w:szCs w:val="20"/>
                <w:color w:val="auto"/>
              </w:rPr>
            </w:pPr>
            <w:r>
              <w:rPr>
                <w:rFonts w:ascii="Arial" w:cs="Arial" w:eastAsia="Arial" w:hAnsi="Arial"/>
                <w:sz w:val="20"/>
                <w:szCs w:val="20"/>
                <w:b w:val="1"/>
                <w:bCs w:val="1"/>
                <w:color w:val="auto"/>
              </w:rPr>
              <w:t>$</w:t>
            </w: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3,853</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2,865</w:t>
            </w:r>
          </w:p>
        </w:tc>
        <w:tc>
          <w:tcPr>
            <w:tcW w:w="0" w:type="dxa"/>
            <w:vAlign w:val="bottom"/>
          </w:tcPr>
          <w:p>
            <w:pPr>
              <w:spacing w:after="0"/>
              <w:rPr>
                <w:sz w:val="1"/>
                <w:szCs w:val="1"/>
                <w:color w:val="auto"/>
              </w:rPr>
            </w:pPr>
          </w:p>
        </w:tc>
      </w:tr>
      <w:tr>
        <w:trPr>
          <w:trHeight w:val="296"/>
        </w:trPr>
        <w:tc>
          <w:tcPr>
            <w:tcW w:w="40" w:type="dxa"/>
            <w:vAlign w:val="bottom"/>
            <w:tcBorders>
              <w:bottom w:val="single" w:sz="8" w:color="D2EEF5"/>
            </w:tcBorders>
            <w:shd w:val="clear" w:color="auto" w:fill="D2EEF5"/>
          </w:tcPr>
          <w:p>
            <w:pPr>
              <w:spacing w:after="0"/>
              <w:rPr>
                <w:sz w:val="24"/>
                <w:szCs w:val="24"/>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Noncurrent net deferred tax liabilities</w:t>
            </w:r>
          </w:p>
        </w:tc>
        <w:tc>
          <w:tcPr>
            <w:tcW w:w="260" w:type="dxa"/>
            <w:vAlign w:val="bottom"/>
            <w:tcBorders>
              <w:bottom w:val="single" w:sz="8" w:color="auto"/>
            </w:tcBorders>
            <w:shd w:val="clear" w:color="auto" w:fill="D2EEF5"/>
          </w:tcPr>
          <w:p>
            <w:pPr>
              <w:spacing w:after="0"/>
              <w:rPr>
                <w:sz w:val="24"/>
                <w:szCs w:val="24"/>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(71,075)</w:t>
            </w:r>
          </w:p>
        </w:tc>
        <w:tc>
          <w:tcPr>
            <w:tcW w:w="120" w:type="dxa"/>
            <w:vAlign w:val="bottom"/>
            <w:tcBorders>
              <w:bottom w:val="single" w:sz="8" w:color="D2EEF5"/>
            </w:tcBorders>
            <w:shd w:val="clear" w:color="auto" w:fill="D2EEF5"/>
          </w:tcPr>
          <w:p>
            <w:pPr>
              <w:spacing w:after="0"/>
              <w:rPr>
                <w:sz w:val="24"/>
                <w:szCs w:val="24"/>
                <w:color w:val="auto"/>
              </w:rPr>
            </w:pPr>
          </w:p>
        </w:tc>
        <w:tc>
          <w:tcPr>
            <w:tcW w:w="260" w:type="dxa"/>
            <w:vAlign w:val="bottom"/>
            <w:tcBorders>
              <w:bottom w:val="single" w:sz="8" w:color="auto"/>
            </w:tcBorders>
            <w:shd w:val="clear" w:color="auto" w:fill="D2EEF5"/>
          </w:tcPr>
          <w:p>
            <w:pPr>
              <w:spacing w:after="0"/>
              <w:rPr>
                <w:sz w:val="24"/>
                <w:szCs w:val="24"/>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(69,500)</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7700" w:type="dxa"/>
            <w:vAlign w:val="bottom"/>
            <w:gridSpan w:val="3"/>
          </w:tcPr>
          <w:p>
            <w:pPr>
              <w:spacing w:after="0" w:line="227" w:lineRule="exact"/>
              <w:rPr>
                <w:sz w:val="20"/>
                <w:szCs w:val="20"/>
                <w:color w:val="auto"/>
              </w:rPr>
            </w:pPr>
            <w:r>
              <w:rPr>
                <w:rFonts w:ascii="Arial" w:cs="Arial" w:eastAsia="Arial" w:hAnsi="Arial"/>
                <w:sz w:val="20"/>
                <w:szCs w:val="20"/>
                <w:b w:val="1"/>
                <w:bCs w:val="1"/>
                <w:color w:val="auto"/>
              </w:rPr>
              <w:t>Noncurrent net deferred tax liabilities</w:t>
            </w:r>
          </w:p>
        </w:tc>
        <w:tc>
          <w:tcPr>
            <w:tcW w:w="260" w:type="dxa"/>
            <w:vAlign w:val="bottom"/>
          </w:tcPr>
          <w:p>
            <w:pPr>
              <w:jc w:val="right"/>
              <w:ind w:right="20"/>
              <w:spacing w:after="0" w:line="227" w:lineRule="exact"/>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(67,222)</w:t>
            </w:r>
          </w:p>
        </w:tc>
        <w:tc>
          <w:tcPr>
            <w:tcW w:w="380" w:type="dxa"/>
            <w:vAlign w:val="bottom"/>
            <w:gridSpan w:val="2"/>
          </w:tcPr>
          <w:p>
            <w:pPr>
              <w:jc w:val="right"/>
              <w:ind w:right="20"/>
              <w:spacing w:after="0" w:line="227"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27" w:lineRule="exact"/>
              <w:rPr>
                <w:sz w:val="20"/>
                <w:szCs w:val="20"/>
                <w:color w:val="auto"/>
              </w:rPr>
            </w:pPr>
            <w:r>
              <w:rPr>
                <w:rFonts w:ascii="Arial" w:cs="Arial" w:eastAsia="Arial" w:hAnsi="Arial"/>
                <w:sz w:val="20"/>
                <w:szCs w:val="20"/>
                <w:color w:val="auto"/>
              </w:rPr>
              <w:t>(66,635)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-596265</wp:posOffset>
            </wp:positionV>
            <wp:extent cx="162560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1625600" cy="5080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-43815</wp:posOffset>
            </wp:positionV>
            <wp:extent cx="162560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1625600" cy="50800"/>
                    </a:xfrm>
                    <a:prstGeom prst="rect">
                      <a:avLst/>
                    </a:prstGeom>
                    <a:noFill/>
                  </pic:spPr>
                </pic:pic>
              </a:graphicData>
            </a:graphic>
          </wp:anchor>
        </w:drawing>
      </w:r>
    </w:p>
    <w:p>
      <w:pPr>
        <w:spacing w:after="0" w:line="187" w:lineRule="exact"/>
        <w:rPr>
          <w:sz w:val="20"/>
          <w:szCs w:val="20"/>
          <w:color w:val="auto"/>
        </w:rPr>
      </w:pPr>
    </w:p>
    <w:p>
      <w:pPr>
        <w:ind w:right="200"/>
        <w:spacing w:after="0" w:line="299" w:lineRule="auto"/>
        <w:rPr>
          <w:sz w:val="20"/>
          <w:szCs w:val="20"/>
          <w:color w:val="auto"/>
        </w:rPr>
      </w:pPr>
      <w:r>
        <w:rPr>
          <w:rFonts w:ascii="Arial" w:cs="Arial" w:eastAsia="Arial" w:hAnsi="Arial"/>
          <w:sz w:val="18"/>
          <w:szCs w:val="18"/>
          <w:color w:val="auto"/>
        </w:rPr>
        <w:t>On July 4, 2025, the One Big Beautiful Bill Act (“OBBBA”) was enacted in the U.S. The OBBBA includes a broad range of tax reform provisions, such as the permanent extension of certain expiring provisions of the Tax Cuts and Jobs Act of 2017, modifications to the international tax framework and the restoration of favorable tax treatment for certain business provisions. The Company has included the impact of the provisions effective in its 2025 consolidated financial statements, recording a</w:t>
      </w:r>
    </w:p>
    <w:p>
      <w:pPr>
        <w:sectPr>
          <w:pgSz w:w="11880" w:h="15480" w:orient="portrait"/>
          <w:cols w:equalWidth="0" w:num="1">
            <w:col w:w="10260"/>
          </w:cols>
          <w:pgMar w:left="820" w:top="422" w:right="80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10260"/>
          </w:cols>
          <w:pgMar w:left="820" w:top="422" w:right="800" w:bottom="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right="240"/>
        <w:spacing w:after="0" w:line="266" w:lineRule="auto"/>
        <w:rPr>
          <w:sz w:val="20"/>
          <w:szCs w:val="20"/>
          <w:color w:val="auto"/>
        </w:rPr>
      </w:pPr>
      <w:r>
        <w:rPr>
          <w:rFonts w:ascii="Arial" w:cs="Arial" w:eastAsia="Arial" w:hAnsi="Arial"/>
          <w:sz w:val="20"/>
          <w:szCs w:val="20"/>
          <w:color w:val="auto"/>
        </w:rPr>
        <w:t>$16.6 million tax benefit related to the reduction of the valuation allowance attributable to the change in the limitation on the deductibility of interest expense. There were no other material impacts to the Company’s results of operations or financial condition.</w:t>
      </w:r>
    </w:p>
    <w:p>
      <w:pPr>
        <w:spacing w:after="0" w:line="15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At December 31, 2025 and 2024, the Company had available U.S. federal net operating loss carryforwards of $155.4 million and $164.1 million, respectively, which have no expiration date. At December 31, 2025 and 2024, the Company had available state net operating loss carryforwards of $299.5 million and $293.8 million, respectively, of which $64.1 million and $89.6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have no expiration date, and foreign net operating loss carryforwards of approximately $32.6 million and $21.4 million,</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respectively, the majority of which have no expiration date. At December 31, 2025 and 2024, a valuation allowance was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established against foreign net operating loss carryforwards for $5.4 million and $3.6 million, respectively. At December 31,</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2025 we established a valuation allowance against U.S. federal net operating loss carryforwards of $0.8 million. At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and 2024, we also established a valuation allowance against U.S. state net operating loss carryforwards for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$17.2 million and $12.5 million, respectively. Based on management’s assessment, it is not more likely than not that these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deferred tax assets will be realized through future taxable income.</w:t>
      </w:r>
    </w:p>
    <w:p>
      <w:pPr>
        <w:spacing w:after="0" w:line="210" w:lineRule="exact"/>
        <w:rPr>
          <w:sz w:val="20"/>
          <w:szCs w:val="20"/>
          <w:color w:val="auto"/>
        </w:rPr>
      </w:pPr>
    </w:p>
    <w:p>
      <w:pPr>
        <w:ind w:right="220"/>
        <w:spacing w:after="0" w:line="299" w:lineRule="auto"/>
        <w:rPr>
          <w:sz w:val="20"/>
          <w:szCs w:val="20"/>
          <w:color w:val="auto"/>
        </w:rPr>
      </w:pPr>
      <w:r>
        <w:rPr>
          <w:rFonts w:ascii="Arial" w:cs="Arial" w:eastAsia="Arial" w:hAnsi="Arial"/>
          <w:sz w:val="18"/>
          <w:szCs w:val="18"/>
          <w:color w:val="auto"/>
        </w:rPr>
        <w:t>At December 31, 2025 and 2024, the deferred tax liability balance related to repatriation of earnings not deemed to be indefinitely reinvested was $7.8 million and $3.8 million, respectively.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w:t>
      </w:r>
    </w:p>
    <w:p>
      <w:pPr>
        <w:spacing w:after="0" w:line="129" w:lineRule="exact"/>
        <w:rPr>
          <w:sz w:val="20"/>
          <w:szCs w:val="20"/>
          <w:color w:val="auto"/>
        </w:rPr>
      </w:pPr>
    </w:p>
    <w:p>
      <w:pPr>
        <w:ind w:right="140"/>
        <w:spacing w:after="0" w:line="266" w:lineRule="auto"/>
        <w:rPr>
          <w:sz w:val="20"/>
          <w:szCs w:val="20"/>
          <w:color w:val="auto"/>
        </w:rPr>
      </w:pPr>
      <w:r>
        <w:rPr>
          <w:rFonts w:ascii="Arial" w:cs="Arial" w:eastAsia="Arial" w:hAnsi="Arial"/>
          <w:sz w:val="20"/>
          <w:szCs w:val="20"/>
          <w:color w:val="auto"/>
        </w:rPr>
        <w:t>The Company recognizes interest and penalties as part of the provision for income taxes. For the years ended December 31, 2025, 2024 and 2023, interest and penalties related to uncertain income tax positions that were recognized in the Consolidated Statements of Operations and Comprehensive Income (Loss) were not material.</w:t>
      </w:r>
    </w:p>
    <w:p>
      <w:pPr>
        <w:spacing w:after="0" w:line="155"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The Company, which represents all of its subsidiaries, files income tax returns in the U.S. federal jurisdiction and various states and foreign jurisdictions. The Company is no longer subject to U.S. federal, state, and local tax examinations before 2016, and non-U.S. income tax examinations by tax authorities for years before 2012. Tax years through December 31, 2018 have been audited by the Internal Revenue Service and are effectively closed for U.S. federal income tax purposes and no other fiscal years are currently under audit. For Nordion’s Canadian tax, all tax years through October 31, 2018 have been closed through audit or statute, and no other fiscal years are currently under audit.</w:t>
      </w:r>
    </w:p>
    <w:p>
      <w:pPr>
        <w:spacing w:after="0" w:line="149" w:lineRule="exact"/>
        <w:rPr>
          <w:sz w:val="20"/>
          <w:szCs w:val="20"/>
          <w:color w:val="auto"/>
        </w:rPr>
      </w:pPr>
    </w:p>
    <w:p>
      <w:pPr>
        <w:ind w:right="100"/>
        <w:spacing w:after="0" w:line="266" w:lineRule="auto"/>
        <w:rPr>
          <w:sz w:val="20"/>
          <w:szCs w:val="20"/>
          <w:color w:val="auto"/>
        </w:rPr>
      </w:pPr>
      <w:r>
        <w:rPr>
          <w:rFonts w:ascii="Arial" w:cs="Arial" w:eastAsia="Arial" w:hAnsi="Arial"/>
          <w:sz w:val="20"/>
          <w:szCs w:val="20"/>
          <w:color w:val="auto"/>
        </w:rPr>
        <w:t>A portion of the Company’s foreign operations benefit from a tax holiday, which is set to expire in 2030. This tax holiday may be terminated early if certain conditions are not met. The tax benefit attributable to this holiday was $1.1 million and $1.3 million for the fiscal years ended December 31, 2025 and 2024,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amounts of income taxes paid (net of refunds received) disaggregated by federal, state, and foreign taxes for the year ended</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9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5960" w:type="dxa"/>
            <w:vAlign w:val="bottom"/>
            <w:vMerge w:val="restart"/>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40" w:type="dxa"/>
            <w:vAlign w:val="bottom"/>
            <w:tcBorders>
              <w:bottom w:val="single" w:sz="8" w:color="D2EEF5"/>
            </w:tcBorders>
          </w:tcPr>
          <w:p>
            <w:pPr>
              <w:spacing w:after="0"/>
              <w:rPr>
                <w:sz w:val="23"/>
                <w:szCs w:val="23"/>
                <w:color w:val="auto"/>
              </w:rPr>
            </w:pPr>
          </w:p>
        </w:tc>
        <w:tc>
          <w:tcPr>
            <w:tcW w:w="1980" w:type="dxa"/>
            <w:vAlign w:val="bottom"/>
            <w:tcBorders>
              <w:bottom w:val="single" w:sz="8" w:color="D2EEF5"/>
            </w:tcBorders>
            <w:vMerge w:val="continue"/>
          </w:tcPr>
          <w:p>
            <w:pPr>
              <w:spacing w:after="0"/>
              <w:rPr>
                <w:sz w:val="23"/>
                <w:szCs w:val="23"/>
                <w:color w:val="auto"/>
              </w:rPr>
            </w:pPr>
          </w:p>
        </w:tc>
        <w:tc>
          <w:tcPr>
            <w:tcW w:w="5960" w:type="dxa"/>
            <w:vAlign w:val="bottom"/>
            <w:tcBorders>
              <w:bottom w:val="single" w:sz="8" w:color="D2EEF5"/>
            </w:tcBorders>
            <w:vMerge w:val="continue"/>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20"/>
                <w:szCs w:val="20"/>
                <w:b w:val="1"/>
                <w:bCs w:val="1"/>
                <w:color w:val="auto"/>
                <w:w w:val="97"/>
              </w:rPr>
              <w:t>Amount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b w:val="1"/>
                <w:bCs w:val="1"/>
                <w:color w:val="auto"/>
                <w:w w:val="95"/>
              </w:rPr>
              <w:t>Percent</w:t>
            </w: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94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Federal U.S.</w:t>
            </w:r>
          </w:p>
        </w:tc>
        <w:tc>
          <w:tcPr>
            <w:tcW w:w="2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1,570</w:t>
            </w:r>
          </w:p>
        </w:tc>
        <w:tc>
          <w:tcPr>
            <w:tcW w:w="160" w:type="dxa"/>
            <w:vAlign w:val="bottom"/>
            <w:shd w:val="clear" w:color="auto" w:fill="D2EEF5"/>
          </w:tcPr>
          <w:p>
            <w:pPr>
              <w:spacing w:after="0"/>
              <w:rPr>
                <w:sz w:val="23"/>
                <w:szCs w:val="23"/>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2.6 %</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7940" w:type="dxa"/>
            <w:vAlign w:val="bottom"/>
            <w:gridSpan w:val="2"/>
          </w:tcPr>
          <w:p>
            <w:pPr>
              <w:spacing w:after="0"/>
              <w:rPr>
                <w:sz w:val="20"/>
                <w:szCs w:val="20"/>
                <w:color w:val="auto"/>
              </w:rPr>
            </w:pPr>
            <w:r>
              <w:rPr>
                <w:rFonts w:ascii="Arial" w:cs="Arial" w:eastAsia="Arial" w:hAnsi="Arial"/>
                <w:sz w:val="20"/>
                <w:szCs w:val="20"/>
                <w:color w:val="auto"/>
              </w:rPr>
              <w:t>State U.S.</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369</w:t>
            </w:r>
          </w:p>
        </w:tc>
        <w:tc>
          <w:tcPr>
            <w:tcW w:w="160" w:type="dxa"/>
            <w:vAlign w:val="bottom"/>
          </w:tcPr>
          <w:p>
            <w:pPr>
              <w:spacing w:after="0"/>
              <w:rPr>
                <w:sz w:val="22"/>
                <w:szCs w:val="22"/>
                <w:color w:val="auto"/>
              </w:rPr>
            </w:pPr>
          </w:p>
        </w:tc>
        <w:tc>
          <w:tcPr>
            <w:tcW w:w="880" w:type="dxa"/>
            <w:vAlign w:val="bottom"/>
          </w:tcPr>
          <w:p>
            <w:pPr>
              <w:jc w:val="right"/>
              <w:ind w:right="140"/>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D2EEF5"/>
            </w:tcBorders>
            <w:shd w:val="clear" w:color="auto" w:fill="D2EEF5"/>
          </w:tcPr>
          <w:p>
            <w:pPr>
              <w:spacing w:after="0"/>
              <w:rPr>
                <w:sz w:val="23"/>
                <w:szCs w:val="23"/>
                <w:color w:val="auto"/>
              </w:rPr>
            </w:pPr>
          </w:p>
        </w:tc>
        <w:tc>
          <w:tcPr>
            <w:tcW w:w="794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20"/>
                <w:szCs w:val="20"/>
                <w:color w:val="auto"/>
              </w:rPr>
              <w:t>Foreign</w:t>
            </w:r>
          </w:p>
        </w:tc>
        <w:tc>
          <w:tcPr>
            <w:tcW w:w="200" w:type="dxa"/>
            <w:vAlign w:val="bottom"/>
            <w:tcBorders>
              <w:bottom w:val="single" w:sz="8" w:color="D2EEF5"/>
            </w:tcBorders>
            <w:shd w:val="clear" w:color="auto" w:fill="D2EEF5"/>
          </w:tcPr>
          <w:p>
            <w:pPr>
              <w:spacing w:after="0"/>
              <w:rPr>
                <w:sz w:val="23"/>
                <w:szCs w:val="23"/>
                <w:color w:val="auto"/>
              </w:rPr>
            </w:pPr>
          </w:p>
        </w:tc>
        <w:tc>
          <w:tcPr>
            <w:tcW w:w="100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D2EEF5"/>
            </w:tcBorders>
            <w:shd w:val="clear" w:color="auto" w:fill="D2EEF5"/>
          </w:tcPr>
          <w:p>
            <w:pPr>
              <w:spacing w:after="0"/>
              <w:rPr>
                <w:sz w:val="23"/>
                <w:szCs w:val="23"/>
                <w:color w:val="auto"/>
              </w:rPr>
            </w:pPr>
          </w:p>
        </w:tc>
        <w:tc>
          <w:tcPr>
            <w:tcW w:w="880" w:type="dxa"/>
            <w:vAlign w:val="bottom"/>
            <w:tcBorders>
              <w:bottom w:val="single" w:sz="8" w:color="D2EEF5"/>
            </w:tcBorders>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7940" w:type="dxa"/>
            <w:vAlign w:val="bottom"/>
            <w:gridSpan w:val="2"/>
          </w:tcPr>
          <w:p>
            <w:pPr>
              <w:ind w:left="240"/>
              <w:spacing w:after="0"/>
              <w:rPr>
                <w:sz w:val="20"/>
                <w:szCs w:val="20"/>
                <w:color w:val="auto"/>
              </w:rPr>
            </w:pPr>
            <w:r>
              <w:rPr>
                <w:rFonts w:ascii="Arial" w:cs="Arial" w:eastAsia="Arial" w:hAnsi="Arial"/>
                <w:sz w:val="20"/>
                <w:szCs w:val="20"/>
                <w:color w:val="auto"/>
              </w:rPr>
              <w:t>Canada</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34,597</w:t>
            </w:r>
          </w:p>
        </w:tc>
        <w:tc>
          <w:tcPr>
            <w:tcW w:w="160" w:type="dxa"/>
            <w:vAlign w:val="bottom"/>
          </w:tcPr>
          <w:p>
            <w:pPr>
              <w:spacing w:after="0"/>
              <w:rPr>
                <w:sz w:val="22"/>
                <w:szCs w:val="22"/>
                <w:color w:val="auto"/>
              </w:rPr>
            </w:pPr>
          </w:p>
        </w:tc>
        <w:tc>
          <w:tcPr>
            <w:tcW w:w="880" w:type="dxa"/>
            <w:vAlign w:val="bottom"/>
          </w:tcPr>
          <w:p>
            <w:pPr>
              <w:jc w:val="right"/>
              <w:ind w:right="140"/>
              <w:spacing w:after="0"/>
              <w:rPr>
                <w:sz w:val="20"/>
                <w:szCs w:val="20"/>
                <w:color w:val="auto"/>
              </w:rPr>
            </w:pPr>
            <w:r>
              <w:rPr>
                <w:rFonts w:ascii="Arial" w:cs="Arial" w:eastAsia="Arial" w:hAnsi="Arial"/>
                <w:sz w:val="20"/>
                <w:szCs w:val="20"/>
                <w:color w:val="auto"/>
              </w:rPr>
              <w:t>56.8</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D2EEF5"/>
            </w:tcBorders>
            <w:shd w:val="clear" w:color="auto" w:fill="D2EEF5"/>
          </w:tcPr>
          <w:p>
            <w:pPr>
              <w:spacing w:after="0"/>
              <w:rPr>
                <w:sz w:val="23"/>
                <w:szCs w:val="23"/>
                <w:color w:val="auto"/>
              </w:rPr>
            </w:pPr>
          </w:p>
        </w:tc>
        <w:tc>
          <w:tcPr>
            <w:tcW w:w="7940" w:type="dxa"/>
            <w:vAlign w:val="bottom"/>
            <w:tcBorders>
              <w:bottom w:val="single" w:sz="8" w:color="D2EEF5"/>
            </w:tcBorders>
            <w:gridSpan w:val="2"/>
            <w:shd w:val="clear" w:color="auto" w:fill="D2EEF5"/>
          </w:tcPr>
          <w:p>
            <w:pPr>
              <w:ind w:left="240"/>
              <w:spacing w:after="0"/>
              <w:rPr>
                <w:sz w:val="20"/>
                <w:szCs w:val="20"/>
                <w:color w:val="auto"/>
              </w:rPr>
            </w:pPr>
            <w:r>
              <w:rPr>
                <w:rFonts w:ascii="Arial" w:cs="Arial" w:eastAsia="Arial" w:hAnsi="Arial"/>
                <w:sz w:val="20"/>
                <w:szCs w:val="20"/>
                <w:color w:val="auto"/>
              </w:rPr>
              <w:t>Belgium</w:t>
            </w:r>
          </w:p>
        </w:tc>
        <w:tc>
          <w:tcPr>
            <w:tcW w:w="200" w:type="dxa"/>
            <w:vAlign w:val="bottom"/>
            <w:tcBorders>
              <w:bottom w:val="single" w:sz="8" w:color="D2EEF5"/>
            </w:tcBorders>
            <w:shd w:val="clear" w:color="auto" w:fill="D2EEF5"/>
          </w:tcPr>
          <w:p>
            <w:pPr>
              <w:spacing w:after="0"/>
              <w:rPr>
                <w:sz w:val="23"/>
                <w:szCs w:val="23"/>
                <w:color w:val="auto"/>
              </w:rPr>
            </w:pPr>
          </w:p>
        </w:tc>
        <w:tc>
          <w:tcPr>
            <w:tcW w:w="10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20"/>
                <w:szCs w:val="20"/>
                <w:color w:val="auto"/>
              </w:rPr>
              <w:t>7,477</w:t>
            </w:r>
          </w:p>
        </w:tc>
        <w:tc>
          <w:tcPr>
            <w:tcW w:w="160" w:type="dxa"/>
            <w:vAlign w:val="bottom"/>
            <w:tcBorders>
              <w:bottom w:val="single" w:sz="8" w:color="D2EEF5"/>
            </w:tcBorders>
            <w:shd w:val="clear" w:color="auto" w:fill="D2EEF5"/>
          </w:tcPr>
          <w:p>
            <w:pPr>
              <w:spacing w:after="0"/>
              <w:rPr>
                <w:sz w:val="23"/>
                <w:szCs w:val="23"/>
                <w:color w:val="auto"/>
              </w:rPr>
            </w:pPr>
          </w:p>
        </w:tc>
        <w:tc>
          <w:tcPr>
            <w:tcW w:w="880" w:type="dxa"/>
            <w:vAlign w:val="bottom"/>
            <w:tcBorders>
              <w:bottom w:val="single" w:sz="8" w:color="D2EEF5"/>
            </w:tcBorders>
            <w:shd w:val="clear" w:color="auto" w:fill="D2EEF5"/>
          </w:tcPr>
          <w:p>
            <w:pPr>
              <w:jc w:val="right"/>
              <w:ind w:right="140"/>
              <w:spacing w:after="0"/>
              <w:rPr>
                <w:sz w:val="20"/>
                <w:szCs w:val="20"/>
                <w:color w:val="auto"/>
              </w:rPr>
            </w:pPr>
            <w:r>
              <w:rPr>
                <w:rFonts w:ascii="Arial" w:cs="Arial" w:eastAsia="Arial" w:hAnsi="Arial"/>
                <w:sz w:val="20"/>
                <w:szCs w:val="20"/>
                <w:color w:val="auto"/>
              </w:rPr>
              <w:t>12.3</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7940" w:type="dxa"/>
            <w:vAlign w:val="bottom"/>
            <w:gridSpan w:val="2"/>
          </w:tcPr>
          <w:p>
            <w:pPr>
              <w:ind w:left="240"/>
              <w:spacing w:after="0"/>
              <w:rPr>
                <w:sz w:val="20"/>
                <w:szCs w:val="20"/>
                <w:color w:val="auto"/>
              </w:rPr>
            </w:pPr>
            <w:r>
              <w:rPr>
                <w:rFonts w:ascii="Arial" w:cs="Arial" w:eastAsia="Arial" w:hAnsi="Arial"/>
                <w:sz w:val="20"/>
                <w:szCs w:val="20"/>
                <w:color w:val="auto"/>
              </w:rPr>
              <w:t>United Kingdom</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3,958</w:t>
            </w:r>
          </w:p>
        </w:tc>
        <w:tc>
          <w:tcPr>
            <w:tcW w:w="160" w:type="dxa"/>
            <w:vAlign w:val="bottom"/>
          </w:tcPr>
          <w:p>
            <w:pPr>
              <w:spacing w:after="0"/>
              <w:rPr>
                <w:sz w:val="22"/>
                <w:szCs w:val="22"/>
                <w:color w:val="auto"/>
              </w:rPr>
            </w:pPr>
          </w:p>
        </w:tc>
        <w:tc>
          <w:tcPr>
            <w:tcW w:w="880" w:type="dxa"/>
            <w:vAlign w:val="bottom"/>
          </w:tcPr>
          <w:p>
            <w:pPr>
              <w:jc w:val="right"/>
              <w:ind w:right="140"/>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D2EEF5"/>
            </w:tcBorders>
            <w:shd w:val="clear" w:color="auto" w:fill="D2EEF5"/>
          </w:tcPr>
          <w:p>
            <w:pPr>
              <w:spacing w:after="0"/>
              <w:rPr>
                <w:sz w:val="23"/>
                <w:szCs w:val="23"/>
                <w:color w:val="auto"/>
              </w:rPr>
            </w:pPr>
          </w:p>
        </w:tc>
        <w:tc>
          <w:tcPr>
            <w:tcW w:w="7940" w:type="dxa"/>
            <w:vAlign w:val="bottom"/>
            <w:tcBorders>
              <w:bottom w:val="single" w:sz="8" w:color="D2EEF5"/>
            </w:tcBorders>
            <w:gridSpan w:val="2"/>
            <w:shd w:val="clear" w:color="auto" w:fill="D2EEF5"/>
          </w:tcPr>
          <w:p>
            <w:pPr>
              <w:ind w:left="240"/>
              <w:spacing w:after="0"/>
              <w:rPr>
                <w:sz w:val="20"/>
                <w:szCs w:val="20"/>
                <w:color w:val="auto"/>
              </w:rPr>
            </w:pPr>
            <w:r>
              <w:rPr>
                <w:rFonts w:ascii="Arial" w:cs="Arial" w:eastAsia="Arial" w:hAnsi="Arial"/>
                <w:sz w:val="20"/>
                <w:szCs w:val="20"/>
                <w:color w:val="auto"/>
              </w:rPr>
              <w:t>Mexico</w:t>
            </w:r>
          </w:p>
        </w:tc>
        <w:tc>
          <w:tcPr>
            <w:tcW w:w="200" w:type="dxa"/>
            <w:vAlign w:val="bottom"/>
            <w:tcBorders>
              <w:bottom w:val="single" w:sz="8" w:color="D2EEF5"/>
            </w:tcBorders>
            <w:shd w:val="clear" w:color="auto" w:fill="D2EEF5"/>
          </w:tcPr>
          <w:p>
            <w:pPr>
              <w:spacing w:after="0"/>
              <w:rPr>
                <w:sz w:val="23"/>
                <w:szCs w:val="23"/>
                <w:color w:val="auto"/>
              </w:rPr>
            </w:pPr>
          </w:p>
        </w:tc>
        <w:tc>
          <w:tcPr>
            <w:tcW w:w="1000" w:type="dxa"/>
            <w:vAlign w:val="bottom"/>
            <w:tcBorders>
              <w:bottom w:val="single" w:sz="8" w:color="D2EEF5"/>
            </w:tcBorders>
            <w:shd w:val="clear" w:color="auto" w:fill="D2EEF5"/>
          </w:tcPr>
          <w:p>
            <w:pPr>
              <w:jc w:val="right"/>
              <w:spacing w:after="0"/>
              <w:rPr>
                <w:sz w:val="20"/>
                <w:szCs w:val="20"/>
                <w:color w:val="auto"/>
              </w:rPr>
            </w:pPr>
            <w:r>
              <w:rPr>
                <w:rFonts w:ascii="Arial" w:cs="Arial" w:eastAsia="Arial" w:hAnsi="Arial"/>
                <w:sz w:val="20"/>
                <w:szCs w:val="20"/>
                <w:color w:val="auto"/>
              </w:rPr>
              <w:t>3,310</w:t>
            </w:r>
          </w:p>
        </w:tc>
        <w:tc>
          <w:tcPr>
            <w:tcW w:w="160" w:type="dxa"/>
            <w:vAlign w:val="bottom"/>
            <w:tcBorders>
              <w:bottom w:val="single" w:sz="8" w:color="D2EEF5"/>
            </w:tcBorders>
            <w:shd w:val="clear" w:color="auto" w:fill="D2EEF5"/>
          </w:tcPr>
          <w:p>
            <w:pPr>
              <w:spacing w:after="0"/>
              <w:rPr>
                <w:sz w:val="23"/>
                <w:szCs w:val="23"/>
                <w:color w:val="auto"/>
              </w:rPr>
            </w:pPr>
          </w:p>
        </w:tc>
        <w:tc>
          <w:tcPr>
            <w:tcW w:w="880" w:type="dxa"/>
            <w:vAlign w:val="bottom"/>
            <w:tcBorders>
              <w:bottom w:val="single" w:sz="8" w:color="D2EEF5"/>
            </w:tcBorders>
            <w:shd w:val="clear" w:color="auto" w:fill="D2EEF5"/>
          </w:tcPr>
          <w:p>
            <w:pPr>
              <w:jc w:val="right"/>
              <w:ind w:right="140"/>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75"/>
        </w:trPr>
        <w:tc>
          <w:tcPr>
            <w:tcW w:w="40" w:type="dxa"/>
            <w:vAlign w:val="bottom"/>
            <w:tcBorders>
              <w:bottom w:val="single" w:sz="8" w:color="D2EEF5"/>
            </w:tcBorders>
          </w:tcPr>
          <w:p>
            <w:pPr>
              <w:spacing w:after="0"/>
              <w:rPr>
                <w:sz w:val="23"/>
                <w:szCs w:val="23"/>
                <w:color w:val="auto"/>
              </w:rPr>
            </w:pPr>
          </w:p>
        </w:tc>
        <w:tc>
          <w:tcPr>
            <w:tcW w:w="7940" w:type="dxa"/>
            <w:vAlign w:val="bottom"/>
            <w:tcBorders>
              <w:bottom w:val="single" w:sz="8" w:color="D2EEF5"/>
            </w:tcBorders>
            <w:gridSpan w:val="2"/>
          </w:tcPr>
          <w:p>
            <w:pPr>
              <w:ind w:left="240"/>
              <w:spacing w:after="0"/>
              <w:rPr>
                <w:sz w:val="20"/>
                <w:szCs w:val="20"/>
                <w:color w:val="auto"/>
              </w:rPr>
            </w:pPr>
            <w:r>
              <w:rPr>
                <w:rFonts w:ascii="Arial" w:cs="Arial" w:eastAsia="Arial" w:hAnsi="Arial"/>
                <w:sz w:val="20"/>
                <w:szCs w:val="20"/>
                <w:color w:val="auto"/>
              </w:rPr>
              <w:t>All other foreign countries</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9,592</w:t>
            </w:r>
          </w:p>
        </w:tc>
        <w:tc>
          <w:tcPr>
            <w:tcW w:w="160" w:type="dxa"/>
            <w:vAlign w:val="bottom"/>
            <w:tcBorders>
              <w:bottom w:val="single" w:sz="8" w:color="D2EEF5"/>
            </w:tcBorders>
          </w:tcPr>
          <w:p>
            <w:pPr>
              <w:spacing w:after="0"/>
              <w:rPr>
                <w:sz w:val="23"/>
                <w:szCs w:val="23"/>
                <w:color w:val="auto"/>
              </w:rPr>
            </w:pPr>
          </w:p>
        </w:tc>
        <w:tc>
          <w:tcPr>
            <w:tcW w:w="880" w:type="dxa"/>
            <w:vAlign w:val="bottom"/>
            <w:tcBorders>
              <w:bottom w:val="single" w:sz="8" w:color="D2EEF5"/>
            </w:tcBorders>
          </w:tcPr>
          <w:p>
            <w:pPr>
              <w:jc w:val="right"/>
              <w:ind w:right="140"/>
              <w:spacing w:after="0"/>
              <w:rPr>
                <w:sz w:val="20"/>
                <w:szCs w:val="20"/>
                <w:color w:val="auto"/>
              </w:rPr>
            </w:pPr>
            <w:r>
              <w:rPr>
                <w:rFonts w:ascii="Arial" w:cs="Arial" w:eastAsia="Arial" w:hAnsi="Arial"/>
                <w:sz w:val="20"/>
                <w:szCs w:val="20"/>
                <w:color w:val="auto"/>
              </w:rPr>
              <w:t>15.8</w:t>
            </w:r>
          </w:p>
        </w:tc>
        <w:tc>
          <w:tcPr>
            <w:tcW w:w="0" w:type="dxa"/>
            <w:vAlign w:val="bottom"/>
          </w:tcPr>
          <w:p>
            <w:pPr>
              <w:spacing w:after="0"/>
              <w:rPr>
                <w:sz w:val="1"/>
                <w:szCs w:val="1"/>
                <w:color w:val="auto"/>
              </w:rPr>
            </w:pPr>
          </w:p>
        </w:tc>
      </w:tr>
      <w:tr>
        <w:trPr>
          <w:trHeight w:val="270"/>
        </w:trPr>
        <w:tc>
          <w:tcPr>
            <w:tcW w:w="40" w:type="dxa"/>
            <w:vAlign w:val="bottom"/>
            <w:tcBorders>
              <w:bottom w:val="single" w:sz="8" w:color="D2EEF5"/>
            </w:tcBorders>
            <w:shd w:val="clear" w:color="auto" w:fill="D2EEF5"/>
          </w:tcPr>
          <w:p>
            <w:pPr>
              <w:spacing w:after="0"/>
              <w:rPr>
                <w:sz w:val="23"/>
                <w:szCs w:val="23"/>
                <w:color w:val="auto"/>
              </w:rPr>
            </w:pPr>
          </w:p>
        </w:tc>
        <w:tc>
          <w:tcPr>
            <w:tcW w:w="794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20"/>
                <w:szCs w:val="20"/>
                <w:b w:val="1"/>
                <w:bCs w:val="1"/>
                <w:color w:val="auto"/>
              </w:rPr>
              <w:t>Total cash paid for income taxes, net of refunds received</w:t>
            </w:r>
          </w:p>
        </w:tc>
        <w:tc>
          <w:tcPr>
            <w:tcW w:w="2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60,873</w:t>
            </w:r>
          </w:p>
        </w:tc>
        <w:tc>
          <w:tcPr>
            <w:tcW w:w="160" w:type="dxa"/>
            <w:vAlign w:val="bottom"/>
            <w:tcBorders>
              <w:bottom w:val="single" w:sz="8" w:color="D2EEF5"/>
            </w:tcBorders>
            <w:shd w:val="clear" w:color="auto" w:fill="D2EEF5"/>
          </w:tcPr>
          <w:p>
            <w:pPr>
              <w:spacing w:after="0"/>
              <w:rPr>
                <w:sz w:val="23"/>
                <w:szCs w:val="23"/>
                <w:color w:val="auto"/>
              </w:rPr>
            </w:pPr>
          </w:p>
        </w:tc>
        <w:tc>
          <w:tcPr>
            <w:tcW w:w="880" w:type="dxa"/>
            <w:vAlign w:val="bottom"/>
            <w:tcBorders>
              <w:bottom w:val="single" w:sz="8" w:color="D2EEF5"/>
            </w:tcBorders>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980" w:type="dxa"/>
            <w:vAlign w:val="bottom"/>
            <w:tcBorders>
              <w:top w:val="single" w:sz="8" w:color="D2EEF5"/>
            </w:tcBorders>
          </w:tcPr>
          <w:p>
            <w:pPr>
              <w:spacing w:after="0" w:line="20" w:lineRule="exact"/>
              <w:rPr>
                <w:sz w:val="1"/>
                <w:szCs w:val="1"/>
                <w:color w:val="auto"/>
              </w:rPr>
            </w:pPr>
          </w:p>
        </w:tc>
        <w:tc>
          <w:tcPr>
            <w:tcW w:w="5960" w:type="dxa"/>
            <w:vAlign w:val="bottom"/>
            <w:tcBorders>
              <w:top w:val="single" w:sz="8" w:color="D2EEF5"/>
            </w:tcBorders>
          </w:tcPr>
          <w:p>
            <w:pPr>
              <w:spacing w:after="0" w:line="20" w:lineRule="exact"/>
              <w:rPr>
                <w:sz w:val="1"/>
                <w:szCs w:val="1"/>
                <w:color w:val="auto"/>
              </w:rPr>
            </w:pPr>
          </w:p>
        </w:tc>
        <w:tc>
          <w:tcPr>
            <w:tcW w:w="200" w:type="dxa"/>
            <w:vAlign w:val="bottom"/>
            <w:tcBorders>
              <w:top w:val="single" w:sz="8" w:color="D2EEF5"/>
              <w:bottom w:val="single" w:sz="8" w:color="auto"/>
            </w:tcBorders>
          </w:tcPr>
          <w:p>
            <w:pPr>
              <w:spacing w:after="0" w:line="20" w:lineRule="exact"/>
              <w:rPr>
                <w:sz w:val="1"/>
                <w:szCs w:val="1"/>
                <w:color w:val="auto"/>
              </w:rPr>
            </w:pPr>
          </w:p>
        </w:tc>
        <w:tc>
          <w:tcPr>
            <w:tcW w:w="1000" w:type="dxa"/>
            <w:vAlign w:val="bottom"/>
            <w:tcBorders>
              <w:top w:val="single" w:sz="8" w:color="D2EEF5"/>
              <w:bottom w:val="single" w:sz="8" w:color="auto"/>
            </w:tcBorders>
          </w:tcPr>
          <w:p>
            <w:pPr>
              <w:spacing w:after="0" w:line="20" w:lineRule="exact"/>
              <w:rPr>
                <w:sz w:val="1"/>
                <w:szCs w:val="1"/>
                <w:color w:val="auto"/>
              </w:rPr>
            </w:pPr>
          </w:p>
        </w:tc>
        <w:tc>
          <w:tcPr>
            <w:tcW w:w="160" w:type="dxa"/>
            <w:vAlign w:val="bottom"/>
            <w:tcBorders>
              <w:top w:val="single" w:sz="8" w:color="D2EEF5"/>
            </w:tcBorders>
          </w:tcPr>
          <w:p>
            <w:pPr>
              <w:spacing w:after="0" w:line="20" w:lineRule="exact"/>
              <w:rPr>
                <w:sz w:val="1"/>
                <w:szCs w:val="1"/>
                <w:color w:val="auto"/>
              </w:rPr>
            </w:pPr>
          </w:p>
        </w:tc>
        <w:tc>
          <w:tcPr>
            <w:tcW w:w="880" w:type="dxa"/>
            <w:vAlign w:val="bottom"/>
            <w:tcBorders>
              <w:top w:val="single" w:sz="8" w:color="D2EE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5057775</wp:posOffset>
            </wp:positionH>
            <wp:positionV relativeFrom="paragraph">
              <wp:posOffset>-43815</wp:posOffset>
            </wp:positionV>
            <wp:extent cx="787400"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787400" cy="50800"/>
                    </a:xfrm>
                    <a:prstGeom prst="rect">
                      <a:avLst/>
                    </a:prstGeom>
                    <a:noFill/>
                  </pic:spPr>
                </pic:pic>
              </a:graphicData>
            </a:graphic>
          </wp:anchor>
        </w:drawing>
      </w:r>
    </w:p>
    <w:p>
      <w:pPr>
        <w:sectPr>
          <w:pgSz w:w="11880" w:h="15480" w:orient="portrait"/>
          <w:cols w:equalWidth="0" w:num="1">
            <w:col w:w="10220"/>
          </w:cols>
          <w:pgMar w:left="820" w:top="42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0220"/>
          </w:cols>
          <w:pgMar w:left="820" w:top="422" w:right="840" w:bottom="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Employee Benefits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Retirement Benefits in the U.S.</w:t>
      </w:r>
    </w:p>
    <w:p>
      <w:pPr>
        <w:spacing w:after="0" w:line="217"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color w:val="auto"/>
        </w:rPr>
        <w:t>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$6.0 million, $6.0 million, and $5.7 million for the years ended December 31, 2025, 2024 and 2023, respectively, and are recorded in the same line as the respective employee’s wages. Administrative expenses related to the plan are paid by the Company and are not material.</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Retirement Benefits Outside the U.S.</w:t>
      </w:r>
    </w:p>
    <w:p>
      <w:pPr>
        <w:spacing w:after="0" w:line="217" w:lineRule="exact"/>
        <w:rPr>
          <w:sz w:val="20"/>
          <w:szCs w:val="20"/>
          <w:color w:val="auto"/>
        </w:rPr>
      </w:pPr>
    </w:p>
    <w:p>
      <w:pPr>
        <w:ind w:right="140"/>
        <w:spacing w:after="0" w:line="258" w:lineRule="auto"/>
        <w:rPr>
          <w:sz w:val="20"/>
          <w:szCs w:val="20"/>
          <w:color w:val="auto"/>
        </w:rPr>
      </w:pPr>
      <w:r>
        <w:rPr>
          <w:rFonts w:ascii="Arial" w:cs="Arial" w:eastAsia="Arial" w:hAnsi="Arial"/>
          <w:sz w:val="20"/>
          <w:szCs w:val="20"/>
          <w:color w:val="auto"/>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 respective employee’s wages, were $2.0 million, $1.7 million and $1.7 million for the years ended December 31, 2025, 2024 and 2023,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Benefit Pension Plans</w:t>
      </w:r>
    </w:p>
    <w:p>
      <w:pPr>
        <w:spacing w:after="0" w:line="217" w:lineRule="exact"/>
        <w:rPr>
          <w:sz w:val="20"/>
          <w:szCs w:val="20"/>
          <w:color w:val="auto"/>
        </w:rPr>
      </w:pPr>
    </w:p>
    <w:p>
      <w:pPr>
        <w:jc w:val="both"/>
        <w:ind w:right="380"/>
        <w:spacing w:after="0" w:line="266" w:lineRule="auto"/>
        <w:rPr>
          <w:sz w:val="20"/>
          <w:szCs w:val="20"/>
          <w:color w:val="auto"/>
        </w:rPr>
      </w:pPr>
      <w:r>
        <w:rPr>
          <w:rFonts w:ascii="Arial" w:cs="Arial" w:eastAsia="Arial" w:hAnsi="Arial"/>
          <w:sz w:val="20"/>
          <w:szCs w:val="20"/>
          <w:color w:val="auto"/>
        </w:rPr>
        <w:t>The Company also sponsors various post-employment benefit plans including, in certain countries outside the U.S., defined benefit and defined contribution plans, retirement compensation arrangements, and plans that provide extended health care coverage to retired employees, the majority of which relate to Nordion.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Defined benefit pension plan</w:t>
      </w:r>
    </w:p>
    <w:p>
      <w:pPr>
        <w:spacing w:after="0" w:line="213"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auto"/>
        </w:rPr>
        <w:t>The following defined benefit pension plan disclosure relates to Nordion. Certain immaterial foreign defined benefit pension plans have been excluded from the table below. The interest cost, expected return on plan assets and amortization of net actuarial loss are recorded in “Other income, net” and the service cost component is included in the same financial statement line item as the applicable employee’s wages in the Consolidated Statements of Operations and Comprehensive Income (Loss). The components of net periodic pension benefit for the defined benefit plans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38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17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5"/>
              </w:rPr>
              <w:t>(thousands of U.S. dollars)</w:t>
            </w:r>
          </w:p>
        </w:tc>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4"/>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4"/>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4"/>
              <w:spacing w:after="0"/>
              <w:rPr>
                <w:sz w:val="20"/>
                <w:szCs w:val="20"/>
                <w:color w:val="auto"/>
              </w:rPr>
            </w:pPr>
            <w:r>
              <w:rPr>
                <w:rFonts w:ascii="Arial" w:cs="Arial" w:eastAsia="Arial" w:hAnsi="Arial"/>
                <w:sz w:val="16"/>
                <w:szCs w:val="16"/>
                <w:b w:val="1"/>
                <w:bCs w:val="1"/>
                <w:color w:val="auto"/>
              </w:rPr>
              <w:t>2023</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20" w:type="dxa"/>
            <w:vAlign w:val="bottom"/>
            <w:tcBorders>
              <w:bottom w:val="single" w:sz="8" w:color="D2EEF5"/>
            </w:tcBorders>
          </w:tcPr>
          <w:p>
            <w:pPr>
              <w:spacing w:after="0" w:line="20" w:lineRule="exact"/>
              <w:rPr>
                <w:sz w:val="1"/>
                <w:szCs w:val="1"/>
                <w:color w:val="auto"/>
              </w:rPr>
            </w:pPr>
          </w:p>
        </w:tc>
        <w:tc>
          <w:tcPr>
            <w:tcW w:w="46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Service cost</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4"/>
              <w:spacing w:after="0"/>
              <w:rPr>
                <w:sz w:val="20"/>
                <w:szCs w:val="20"/>
                <w:color w:val="auto"/>
              </w:rPr>
            </w:pPr>
            <w:r>
              <w:rPr>
                <w:rFonts w:ascii="Arial" w:cs="Arial" w:eastAsia="Arial" w:hAnsi="Arial"/>
                <w:sz w:val="20"/>
                <w:szCs w:val="20"/>
                <w:b w:val="1"/>
                <w:bCs w:val="1"/>
                <w:color w:val="auto"/>
              </w:rPr>
              <w:t>495</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4"/>
              <w:spacing w:after="0"/>
              <w:rPr>
                <w:sz w:val="20"/>
                <w:szCs w:val="20"/>
                <w:color w:val="auto"/>
              </w:rPr>
            </w:pPr>
            <w:r>
              <w:rPr>
                <w:rFonts w:ascii="Arial" w:cs="Arial" w:eastAsia="Arial" w:hAnsi="Arial"/>
                <w:sz w:val="20"/>
                <w:szCs w:val="20"/>
                <w:color w:val="auto"/>
              </w:rPr>
              <w:t>570</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4"/>
              <w:spacing w:after="0"/>
              <w:rPr>
                <w:sz w:val="20"/>
                <w:szCs w:val="20"/>
                <w:color w:val="auto"/>
              </w:rPr>
            </w:pPr>
            <w:r>
              <w:rPr>
                <w:rFonts w:ascii="Arial" w:cs="Arial" w:eastAsia="Arial" w:hAnsi="Arial"/>
                <w:sz w:val="20"/>
                <w:szCs w:val="20"/>
                <w:color w:val="auto"/>
              </w:rPr>
              <w:t>525</w:t>
            </w:r>
          </w:p>
        </w:tc>
      </w:tr>
      <w:tr>
        <w:trPr>
          <w:trHeight w:val="278"/>
        </w:trPr>
        <w:tc>
          <w:tcPr>
            <w:tcW w:w="4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Arial" w:cs="Arial" w:eastAsia="Arial" w:hAnsi="Arial"/>
                <w:sz w:val="20"/>
                <w:szCs w:val="20"/>
                <w:color w:val="auto"/>
              </w:rPr>
              <w:t>Interest cost</w:t>
            </w:r>
          </w:p>
        </w:tc>
        <w:tc>
          <w:tcPr>
            <w:tcW w:w="28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b w:val="1"/>
                <w:bCs w:val="1"/>
                <w:color w:val="auto"/>
              </w:rPr>
              <w:t>9,478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color w:val="auto"/>
              </w:rPr>
              <w:t>10,435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color w:val="auto"/>
              </w:rPr>
              <w:t>10,917</w:t>
            </w: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638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Expected return on plan assets</w:t>
            </w: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(15,825)</w:t>
            </w:r>
          </w:p>
        </w:tc>
        <w:tc>
          <w:tcPr>
            <w:tcW w:w="120" w:type="dxa"/>
            <w:vAlign w:val="bottom"/>
            <w:tcBorders>
              <w:bottom w:val="single" w:sz="8" w:color="D2EEF5"/>
            </w:tcBorders>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(15,823)</w:t>
            </w:r>
          </w:p>
        </w:tc>
        <w:tc>
          <w:tcPr>
            <w:tcW w:w="120" w:type="dxa"/>
            <w:vAlign w:val="bottom"/>
            <w:tcBorders>
              <w:bottom w:val="single" w:sz="8" w:color="D2EEF5"/>
            </w:tcBorders>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(16,108)</w:t>
            </w:r>
          </w:p>
        </w:tc>
      </w:tr>
      <w:tr>
        <w:trPr>
          <w:trHeight w:val="227"/>
        </w:trPr>
        <w:tc>
          <w:tcPr>
            <w:tcW w:w="40" w:type="dxa"/>
            <w:vAlign w:val="bottom"/>
          </w:tcPr>
          <w:p>
            <w:pPr>
              <w:spacing w:after="0"/>
              <w:rPr>
                <w:sz w:val="19"/>
                <w:szCs w:val="19"/>
                <w:color w:val="auto"/>
              </w:rPr>
            </w:pPr>
          </w:p>
        </w:tc>
        <w:tc>
          <w:tcPr>
            <w:tcW w:w="6380" w:type="dxa"/>
            <w:vAlign w:val="bottom"/>
            <w:gridSpan w:val="3"/>
          </w:tcPr>
          <w:p>
            <w:pPr>
              <w:spacing w:after="0" w:line="227" w:lineRule="exact"/>
              <w:rPr>
                <w:sz w:val="20"/>
                <w:szCs w:val="20"/>
                <w:color w:val="auto"/>
              </w:rPr>
            </w:pPr>
            <w:r>
              <w:rPr>
                <w:rFonts w:ascii="Arial" w:cs="Arial" w:eastAsia="Arial" w:hAnsi="Arial"/>
                <w:sz w:val="20"/>
                <w:szCs w:val="20"/>
                <w:b w:val="1"/>
                <w:bCs w:val="1"/>
                <w:color w:val="auto"/>
              </w:rPr>
              <w:t>Net periodic benefit</w:t>
            </w:r>
          </w:p>
        </w:tc>
        <w:tc>
          <w:tcPr>
            <w:tcW w:w="280" w:type="dxa"/>
            <w:vAlign w:val="bottom"/>
          </w:tcPr>
          <w:p>
            <w:pPr>
              <w:jc w:val="right"/>
              <w:ind w:right="40"/>
              <w:spacing w:after="0" w:line="227" w:lineRule="exact"/>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(5,852)</w:t>
            </w:r>
          </w:p>
        </w:tc>
        <w:tc>
          <w:tcPr>
            <w:tcW w:w="400" w:type="dxa"/>
            <w:vAlign w:val="bottom"/>
            <w:gridSpan w:val="2"/>
          </w:tcPr>
          <w:p>
            <w:pPr>
              <w:jc w:val="right"/>
              <w:ind w:right="140"/>
              <w:spacing w:after="0" w:line="227" w:lineRule="exact"/>
              <w:rPr>
                <w:sz w:val="20"/>
                <w:szCs w:val="20"/>
                <w:color w:val="auto"/>
              </w:rPr>
            </w:pPr>
            <w:r>
              <w:rPr>
                <w:rFonts w:ascii="Arial" w:cs="Arial" w:eastAsia="Arial" w:hAnsi="Arial"/>
                <w:sz w:val="20"/>
                <w:szCs w:val="20"/>
                <w:color w:val="auto"/>
              </w:rPr>
              <w:t>$</w:t>
            </w:r>
          </w:p>
        </w:tc>
        <w:tc>
          <w:tcPr>
            <w:tcW w:w="920" w:type="dxa"/>
            <w:vAlign w:val="bottom"/>
          </w:tcPr>
          <w:p>
            <w:pPr>
              <w:jc w:val="right"/>
              <w:spacing w:after="0" w:line="227" w:lineRule="exact"/>
              <w:rPr>
                <w:sz w:val="20"/>
                <w:szCs w:val="20"/>
                <w:color w:val="auto"/>
              </w:rPr>
            </w:pPr>
            <w:r>
              <w:rPr>
                <w:rFonts w:ascii="Arial" w:cs="Arial" w:eastAsia="Arial" w:hAnsi="Arial"/>
                <w:sz w:val="20"/>
                <w:szCs w:val="20"/>
                <w:color w:val="auto"/>
              </w:rPr>
              <w:t>(4,818)</w:t>
            </w:r>
          </w:p>
        </w:tc>
        <w:tc>
          <w:tcPr>
            <w:tcW w:w="400" w:type="dxa"/>
            <w:vAlign w:val="bottom"/>
            <w:gridSpan w:val="2"/>
          </w:tcPr>
          <w:p>
            <w:pPr>
              <w:jc w:val="right"/>
              <w:ind w:right="140"/>
              <w:spacing w:after="0" w:line="227" w:lineRule="exact"/>
              <w:rPr>
                <w:sz w:val="20"/>
                <w:szCs w:val="20"/>
                <w:color w:val="auto"/>
              </w:rPr>
            </w:pPr>
            <w:r>
              <w:rPr>
                <w:rFonts w:ascii="Arial" w:cs="Arial" w:eastAsia="Arial" w:hAnsi="Arial"/>
                <w:sz w:val="20"/>
                <w:szCs w:val="20"/>
                <w:color w:val="auto"/>
              </w:rPr>
              <w:t>$</w:t>
            </w:r>
          </w:p>
        </w:tc>
        <w:tc>
          <w:tcPr>
            <w:tcW w:w="920" w:type="dxa"/>
            <w:vAlign w:val="bottom"/>
          </w:tcPr>
          <w:p>
            <w:pPr>
              <w:jc w:val="right"/>
              <w:spacing w:after="0" w:line="227" w:lineRule="exact"/>
              <w:rPr>
                <w:sz w:val="20"/>
                <w:szCs w:val="20"/>
                <w:color w:val="auto"/>
              </w:rPr>
            </w:pPr>
            <w:r>
              <w:rPr>
                <w:rFonts w:ascii="Arial" w:cs="Arial" w:eastAsia="Arial" w:hAnsi="Arial"/>
                <w:sz w:val="20"/>
                <w:szCs w:val="20"/>
                <w:color w:val="auto"/>
              </w:rPr>
              <w:t>(4,666)</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-43815</wp:posOffset>
            </wp:positionV>
            <wp:extent cx="246380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2463800" cy="5080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weighted average assumptions were used in the determination of the PBO and the net periodic benefit: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70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Pr>
          <w:p>
            <w:pPr>
              <w:jc w:val="right"/>
              <w:ind w:right="343"/>
              <w:spacing w:after="0"/>
              <w:rPr>
                <w:sz w:val="20"/>
                <w:szCs w:val="20"/>
                <w:color w:val="auto"/>
              </w:rPr>
            </w:pPr>
            <w:r>
              <w:rPr>
                <w:rFonts w:ascii="Arial" w:cs="Arial" w:eastAsia="Arial" w:hAnsi="Arial"/>
                <w:sz w:val="16"/>
                <w:szCs w:val="16"/>
                <w:b w:val="1"/>
                <w:bCs w:val="1"/>
                <w:color w:val="auto"/>
              </w:rPr>
              <w:t>2025</w:t>
            </w:r>
          </w:p>
        </w:tc>
        <w:tc>
          <w:tcPr>
            <w:tcW w:w="13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2024</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60" w:type="dxa"/>
            <w:vAlign w:val="bottom"/>
            <w:tcBorders>
              <w:top w:val="single" w:sz="8" w:color="auto"/>
              <w:bottom w:val="single" w:sz="8" w:color="D2EEF5"/>
            </w:tcBorders>
          </w:tcPr>
          <w:p>
            <w:pPr>
              <w:spacing w:after="0" w:line="20" w:lineRule="exact"/>
              <w:rPr>
                <w:sz w:val="1"/>
                <w:szCs w:val="1"/>
                <w:color w:val="auto"/>
              </w:rPr>
            </w:pPr>
          </w:p>
        </w:tc>
        <w:tc>
          <w:tcPr>
            <w:tcW w:w="5940" w:type="dxa"/>
            <w:vAlign w:val="bottom"/>
            <w:tcBorders>
              <w:bottom w:val="single" w:sz="8" w:color="D2EEF5"/>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Projected benefit obligation</w:t>
            </w:r>
          </w:p>
        </w:tc>
        <w:tc>
          <w:tcPr>
            <w:tcW w:w="120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1200" w:type="dxa"/>
            <w:vAlign w:val="bottom"/>
            <w:shd w:val="clear" w:color="auto" w:fill="D2EEF5"/>
          </w:tcPr>
          <w:p>
            <w:pPr>
              <w:spacing w:after="0"/>
              <w:rPr>
                <w:sz w:val="23"/>
                <w:szCs w:val="23"/>
                <w:color w:val="auto"/>
              </w:rPr>
            </w:pPr>
          </w:p>
        </w:tc>
      </w:tr>
      <w:tr>
        <w:trPr>
          <w:trHeight w:val="279"/>
        </w:trPr>
        <w:tc>
          <w:tcPr>
            <w:tcW w:w="40" w:type="dxa"/>
            <w:vAlign w:val="bottom"/>
          </w:tcPr>
          <w:p>
            <w:pPr>
              <w:spacing w:after="0"/>
              <w:rPr>
                <w:sz w:val="24"/>
                <w:szCs w:val="24"/>
                <w:color w:val="auto"/>
              </w:rPr>
            </w:pPr>
          </w:p>
        </w:tc>
        <w:tc>
          <w:tcPr>
            <w:tcW w:w="7700" w:type="dxa"/>
            <w:vAlign w:val="bottom"/>
            <w:gridSpan w:val="2"/>
          </w:tcPr>
          <w:p>
            <w:pPr>
              <w:spacing w:after="0"/>
              <w:rPr>
                <w:sz w:val="20"/>
                <w:szCs w:val="20"/>
                <w:color w:val="auto"/>
              </w:rPr>
            </w:pPr>
            <w:r>
              <w:rPr>
                <w:rFonts w:ascii="Arial" w:cs="Arial" w:eastAsia="Arial" w:hAnsi="Arial"/>
                <w:sz w:val="20"/>
                <w:szCs w:val="20"/>
                <w:color w:val="auto"/>
              </w:rPr>
              <w:t>Discount rate</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4.82 %</w:t>
            </w: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4.65 %</w:t>
            </w:r>
          </w:p>
        </w:tc>
      </w:tr>
      <w:tr>
        <w:trPr>
          <w:trHeight w:val="291"/>
        </w:trPr>
        <w:tc>
          <w:tcPr>
            <w:tcW w:w="40" w:type="dxa"/>
            <w:vAlign w:val="bottom"/>
            <w:shd w:val="clear" w:color="auto" w:fill="D2EEF5"/>
          </w:tcPr>
          <w:p>
            <w:pPr>
              <w:spacing w:after="0"/>
              <w:rPr>
                <w:sz w:val="24"/>
                <w:szCs w:val="24"/>
                <w:color w:val="auto"/>
              </w:rPr>
            </w:pPr>
          </w:p>
        </w:tc>
        <w:tc>
          <w:tcPr>
            <w:tcW w:w="770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Rate of compensation increase</w:t>
            </w:r>
          </w:p>
        </w:tc>
        <w:tc>
          <w:tcPr>
            <w:tcW w:w="12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3.00 %</w:t>
            </w:r>
          </w:p>
        </w:tc>
        <w:tc>
          <w:tcPr>
            <w:tcW w:w="1320" w:type="dxa"/>
            <w:vAlign w:val="bottom"/>
            <w:gridSpan w:val="2"/>
            <w:shd w:val="clear" w:color="auto" w:fill="D2EEF5"/>
          </w:tcPr>
          <w:p>
            <w:pPr>
              <w:jc w:val="right"/>
              <w:ind w:right="20"/>
              <w:spacing w:after="0"/>
              <w:rPr>
                <w:sz w:val="20"/>
                <w:szCs w:val="20"/>
                <w:color w:val="auto"/>
              </w:rPr>
            </w:pPr>
            <w:r>
              <w:rPr>
                <w:rFonts w:ascii="Arial" w:cs="Arial" w:eastAsia="Arial" w:hAnsi="Arial"/>
                <w:sz w:val="20"/>
                <w:szCs w:val="20"/>
                <w:color w:val="auto"/>
              </w:rPr>
              <w:t>3.00 %</w:t>
            </w:r>
          </w:p>
        </w:tc>
      </w:tr>
      <w:tr>
        <w:trPr>
          <w:trHeight w:val="275"/>
        </w:trPr>
        <w:tc>
          <w:tcPr>
            <w:tcW w:w="40" w:type="dxa"/>
            <w:vAlign w:val="bottom"/>
          </w:tcPr>
          <w:p>
            <w:pPr>
              <w:spacing w:after="0"/>
              <w:rPr>
                <w:sz w:val="23"/>
                <w:szCs w:val="23"/>
                <w:color w:val="auto"/>
              </w:rPr>
            </w:pPr>
          </w:p>
        </w:tc>
        <w:tc>
          <w:tcPr>
            <w:tcW w:w="7700" w:type="dxa"/>
            <w:vAlign w:val="bottom"/>
            <w:gridSpan w:val="2"/>
          </w:tcPr>
          <w:p>
            <w:pPr>
              <w:spacing w:after="0"/>
              <w:rPr>
                <w:sz w:val="20"/>
                <w:szCs w:val="20"/>
                <w:color w:val="auto"/>
              </w:rPr>
            </w:pPr>
            <w:r>
              <w:rPr>
                <w:rFonts w:ascii="Arial" w:cs="Arial" w:eastAsia="Arial" w:hAnsi="Arial"/>
                <w:sz w:val="20"/>
                <w:szCs w:val="20"/>
                <w:b w:val="1"/>
                <w:bCs w:val="1"/>
                <w:color w:val="auto"/>
              </w:rPr>
              <w:t>Periodic benefit</w:t>
            </w: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95"/>
        </w:trPr>
        <w:tc>
          <w:tcPr>
            <w:tcW w:w="40" w:type="dxa"/>
            <w:vAlign w:val="bottom"/>
            <w:shd w:val="clear" w:color="auto" w:fill="D2EEF5"/>
          </w:tcPr>
          <w:p>
            <w:pPr>
              <w:spacing w:after="0"/>
              <w:rPr>
                <w:sz w:val="24"/>
                <w:szCs w:val="24"/>
                <w:color w:val="auto"/>
              </w:rPr>
            </w:pPr>
          </w:p>
        </w:tc>
        <w:tc>
          <w:tcPr>
            <w:tcW w:w="770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Discount rate</w:t>
            </w:r>
          </w:p>
        </w:tc>
        <w:tc>
          <w:tcPr>
            <w:tcW w:w="12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4.65 %</w:t>
            </w:r>
          </w:p>
        </w:tc>
        <w:tc>
          <w:tcPr>
            <w:tcW w:w="1320" w:type="dxa"/>
            <w:vAlign w:val="bottom"/>
            <w:gridSpan w:val="2"/>
            <w:shd w:val="clear" w:color="auto" w:fill="D2EEF5"/>
          </w:tcPr>
          <w:p>
            <w:pPr>
              <w:jc w:val="right"/>
              <w:ind w:right="20"/>
              <w:spacing w:after="0"/>
              <w:rPr>
                <w:sz w:val="20"/>
                <w:szCs w:val="20"/>
                <w:color w:val="auto"/>
              </w:rPr>
            </w:pPr>
            <w:r>
              <w:rPr>
                <w:rFonts w:ascii="Arial" w:cs="Arial" w:eastAsia="Arial" w:hAnsi="Arial"/>
                <w:sz w:val="20"/>
                <w:szCs w:val="20"/>
                <w:color w:val="auto"/>
              </w:rPr>
              <w:t>4.65 %</w:t>
            </w:r>
          </w:p>
        </w:tc>
      </w:tr>
      <w:tr>
        <w:trPr>
          <w:trHeight w:val="279"/>
        </w:trPr>
        <w:tc>
          <w:tcPr>
            <w:tcW w:w="40" w:type="dxa"/>
            <w:vAlign w:val="bottom"/>
          </w:tcPr>
          <w:p>
            <w:pPr>
              <w:spacing w:after="0"/>
              <w:rPr>
                <w:sz w:val="24"/>
                <w:szCs w:val="24"/>
                <w:color w:val="auto"/>
              </w:rPr>
            </w:pPr>
          </w:p>
        </w:tc>
        <w:tc>
          <w:tcPr>
            <w:tcW w:w="7700" w:type="dxa"/>
            <w:vAlign w:val="bottom"/>
            <w:gridSpan w:val="2"/>
          </w:tcPr>
          <w:p>
            <w:pPr>
              <w:spacing w:after="0"/>
              <w:rPr>
                <w:sz w:val="20"/>
                <w:szCs w:val="20"/>
                <w:color w:val="auto"/>
              </w:rPr>
            </w:pPr>
            <w:r>
              <w:rPr>
                <w:rFonts w:ascii="Arial" w:cs="Arial" w:eastAsia="Arial" w:hAnsi="Arial"/>
                <w:sz w:val="20"/>
                <w:szCs w:val="20"/>
                <w:color w:val="auto"/>
              </w:rPr>
              <w:t>Expected return on plan assets</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6.00 %</w:t>
            </w: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6.25 %</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Rate of compensation increase</w:t>
            </w:r>
          </w:p>
        </w:tc>
        <w:tc>
          <w:tcPr>
            <w:tcW w:w="12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3.00 %</w:t>
            </w:r>
          </w:p>
        </w:tc>
        <w:tc>
          <w:tcPr>
            <w:tcW w:w="1320" w:type="dxa"/>
            <w:vAlign w:val="bottom"/>
            <w:gridSpan w:val="2"/>
            <w:shd w:val="clear" w:color="auto" w:fill="D2EEF5"/>
          </w:tcPr>
          <w:p>
            <w:pPr>
              <w:jc w:val="right"/>
              <w:ind w:right="20"/>
              <w:spacing w:after="0"/>
              <w:rPr>
                <w:sz w:val="20"/>
                <w:szCs w:val="20"/>
                <w:color w:val="auto"/>
              </w:rPr>
            </w:pPr>
            <w:r>
              <w:rPr>
                <w:rFonts w:ascii="Arial" w:cs="Arial" w:eastAsia="Arial" w:hAnsi="Arial"/>
                <w:sz w:val="20"/>
                <w:szCs w:val="20"/>
                <w:color w:val="auto"/>
              </w:rPr>
              <w:t>3.00 %</w:t>
            </w:r>
          </w:p>
        </w:tc>
      </w:tr>
    </w:tbl>
    <w:p>
      <w:pPr>
        <w:spacing w:after="0" w:line="200" w:lineRule="exact"/>
        <w:rPr>
          <w:sz w:val="20"/>
          <w:szCs w:val="20"/>
          <w:color w:val="auto"/>
        </w:rPr>
      </w:pPr>
    </w:p>
    <w:p>
      <w:pPr>
        <w:sectPr>
          <w:pgSz w:w="11880" w:h="15480" w:orient="portrait"/>
          <w:cols w:equalWidth="0" w:num="1">
            <w:col w:w="10260"/>
          </w:cols>
          <w:pgMar w:left="82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10260"/>
          </w:cols>
          <w:pgMar w:left="820" w:top="422" w:right="800" w:bottom="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The changes in the PBO, fair value of plan assets, and the funded status of the plans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9"/>
                <w:szCs w:val="19"/>
                <w:color w:val="auto"/>
              </w:rPr>
            </w:pPr>
          </w:p>
        </w:tc>
        <w:tc>
          <w:tcPr>
            <w:tcW w:w="920" w:type="dxa"/>
            <w:vAlign w:val="bottom"/>
          </w:tcPr>
          <w:p>
            <w:pPr>
              <w:jc w:val="right"/>
              <w:ind w:right="34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1"/>
              <w:spacing w:after="0"/>
              <w:rPr>
                <w:sz w:val="20"/>
                <w:szCs w:val="20"/>
                <w:color w:val="auto"/>
              </w:rPr>
            </w:pPr>
            <w:r>
              <w:rPr>
                <w:rFonts w:ascii="Arial" w:cs="Arial" w:eastAsia="Arial" w:hAnsi="Arial"/>
                <w:sz w:val="16"/>
                <w:szCs w:val="16"/>
                <w:b w:val="1"/>
                <w:bCs w:val="1"/>
                <w:color w:val="auto"/>
              </w:rPr>
              <w:t>2024</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420" w:type="dxa"/>
            <w:vAlign w:val="bottom"/>
            <w:tcBorders>
              <w:bottom w:val="single" w:sz="8" w:color="D2EEF5"/>
            </w:tcBorders>
          </w:tcPr>
          <w:p>
            <w:pPr>
              <w:spacing w:after="0" w:line="20" w:lineRule="exact"/>
              <w:rPr>
                <w:sz w:val="1"/>
                <w:szCs w:val="1"/>
                <w:color w:val="auto"/>
              </w:rPr>
            </w:pPr>
          </w:p>
        </w:tc>
        <w:tc>
          <w:tcPr>
            <w:tcW w:w="596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5"/>
        </w:trPr>
        <w:tc>
          <w:tcPr>
            <w:tcW w:w="40" w:type="dxa"/>
            <w:vAlign w:val="bottom"/>
            <w:tcBorders>
              <w:bottom w:val="single" w:sz="8" w:color="D2EEF5"/>
            </w:tcBorders>
            <w:shd w:val="clear" w:color="auto" w:fill="D2EEF5"/>
          </w:tcPr>
          <w:p>
            <w:pPr>
              <w:spacing w:after="0"/>
              <w:rPr>
                <w:sz w:val="22"/>
                <w:szCs w:val="22"/>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Change in projected benefit obligation:</w:t>
            </w:r>
          </w:p>
        </w:tc>
        <w:tc>
          <w:tcPr>
            <w:tcW w:w="280" w:type="dxa"/>
            <w:vAlign w:val="bottom"/>
            <w:tcBorders>
              <w:bottom w:val="single" w:sz="8" w:color="D2EEF5"/>
            </w:tcBorders>
            <w:shd w:val="clear" w:color="auto" w:fill="D2EEF5"/>
          </w:tcPr>
          <w:p>
            <w:pPr>
              <w:spacing w:after="0"/>
              <w:rPr>
                <w:sz w:val="22"/>
                <w:szCs w:val="22"/>
                <w:color w:val="auto"/>
              </w:rPr>
            </w:pPr>
          </w:p>
        </w:tc>
        <w:tc>
          <w:tcPr>
            <w:tcW w:w="920" w:type="dxa"/>
            <w:vAlign w:val="bottom"/>
            <w:tcBorders>
              <w:bottom w:val="single" w:sz="8" w:color="D2EEF5"/>
            </w:tcBorders>
            <w:shd w:val="clear" w:color="auto" w:fill="D2EEF5"/>
          </w:tcPr>
          <w:p>
            <w:pPr>
              <w:spacing w:after="0"/>
              <w:rPr>
                <w:sz w:val="22"/>
                <w:szCs w:val="22"/>
                <w:color w:val="auto"/>
              </w:rPr>
            </w:pPr>
          </w:p>
        </w:tc>
        <w:tc>
          <w:tcPr>
            <w:tcW w:w="120" w:type="dxa"/>
            <w:vAlign w:val="bottom"/>
            <w:tcBorders>
              <w:bottom w:val="single" w:sz="8" w:color="D2EEF5"/>
            </w:tcBorders>
            <w:shd w:val="clear" w:color="auto" w:fill="D2EEF5"/>
          </w:tcPr>
          <w:p>
            <w:pPr>
              <w:spacing w:after="0"/>
              <w:rPr>
                <w:sz w:val="22"/>
                <w:szCs w:val="22"/>
                <w:color w:val="auto"/>
              </w:rPr>
            </w:pPr>
          </w:p>
        </w:tc>
        <w:tc>
          <w:tcPr>
            <w:tcW w:w="280" w:type="dxa"/>
            <w:vAlign w:val="bottom"/>
            <w:tcBorders>
              <w:bottom w:val="single" w:sz="8" w:color="D2EEF5"/>
            </w:tcBorders>
            <w:shd w:val="clear" w:color="auto" w:fill="D2EEF5"/>
          </w:tcPr>
          <w:p>
            <w:pPr>
              <w:spacing w:after="0"/>
              <w:rPr>
                <w:sz w:val="22"/>
                <w:szCs w:val="22"/>
                <w:color w:val="auto"/>
              </w:rPr>
            </w:pPr>
          </w:p>
        </w:tc>
        <w:tc>
          <w:tcPr>
            <w:tcW w:w="920" w:type="dxa"/>
            <w:vAlign w:val="bottom"/>
            <w:tcBorders>
              <w:bottom w:val="single" w:sz="8" w:color="D2EEF5"/>
            </w:tcBorders>
            <w:shd w:val="clear" w:color="auto" w:fill="D2EEF5"/>
          </w:tcPr>
          <w:p>
            <w:pPr>
              <w:spacing w:after="0"/>
              <w:rPr>
                <w:sz w:val="22"/>
                <w:szCs w:val="22"/>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Projected benefit obligation, as of beginning of the year</w:t>
            </w:r>
          </w:p>
        </w:tc>
        <w:tc>
          <w:tcPr>
            <w:tcW w:w="28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220,633</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239,947</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Service cost</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635</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732</w:t>
            </w: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Interest cost</w:t>
            </w: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9,478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10,435</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Benefits paid</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(12,468)</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(12,737)</w:t>
            </w: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Actuarial (gain) loss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(4,105)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935</w:t>
            </w:r>
          </w:p>
        </w:tc>
      </w:tr>
      <w:tr>
        <w:trPr>
          <w:trHeight w:val="282"/>
        </w:trPr>
        <w:tc>
          <w:tcPr>
            <w:tcW w:w="40" w:type="dxa"/>
            <w:vAlign w:val="bottom"/>
            <w:tcBorders>
              <w:bottom w:val="single" w:sz="8" w:color="D2EEF5"/>
            </w:tcBorders>
            <w:shd w:val="clear" w:color="auto" w:fill="D2EEF5"/>
          </w:tcPr>
          <w:p>
            <w:pPr>
              <w:spacing w:after="0"/>
              <w:rPr>
                <w:sz w:val="24"/>
                <w:szCs w:val="24"/>
                <w:color w:val="auto"/>
              </w:rPr>
            </w:pPr>
          </w:p>
        </w:tc>
        <w:tc>
          <w:tcPr>
            <w:tcW w:w="7700" w:type="dxa"/>
            <w:vAlign w:val="bottom"/>
            <w:tcBorders>
              <w:bottom w:val="single" w:sz="8" w:color="D2EEF5"/>
            </w:tcBorders>
            <w:gridSpan w:val="3"/>
            <w:shd w:val="clear" w:color="auto" w:fill="D2EEF5"/>
          </w:tcPr>
          <w:p>
            <w:pPr>
              <w:ind w:left="480"/>
              <w:spacing w:after="0"/>
              <w:rPr>
                <w:sz w:val="20"/>
                <w:szCs w:val="20"/>
                <w:color w:val="auto"/>
              </w:rPr>
            </w:pPr>
            <w:r>
              <w:rPr>
                <w:rFonts w:ascii="Arial" w:cs="Arial" w:eastAsia="Arial" w:hAnsi="Arial"/>
                <w:sz w:val="20"/>
                <w:szCs w:val="20"/>
                <w:color w:val="auto"/>
              </w:rPr>
              <w:t>Foreign currency exchange rate changes</w:t>
            </w: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10,561</w:t>
            </w:r>
          </w:p>
        </w:tc>
        <w:tc>
          <w:tcPr>
            <w:tcW w:w="120" w:type="dxa"/>
            <w:vAlign w:val="bottom"/>
            <w:tcBorders>
              <w:bottom w:val="single" w:sz="8" w:color="D2EEF5"/>
            </w:tcBorders>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(18,679)</w:t>
            </w:r>
          </w:p>
        </w:tc>
      </w:tr>
      <w:tr>
        <w:trPr>
          <w:trHeight w:val="95"/>
        </w:trPr>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Projected benefit obligation, end of year</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224,734</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220,633</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tcBorders>
          </w:tcPr>
          <w:p>
            <w:pPr>
              <w:spacing w:after="0" w:line="20" w:lineRule="exact"/>
              <w:rPr>
                <w:sz w:val="1"/>
                <w:szCs w:val="1"/>
                <w:color w:val="auto"/>
              </w:rPr>
            </w:pPr>
          </w:p>
        </w:tc>
        <w:tc>
          <w:tcPr>
            <w:tcW w:w="420" w:type="dxa"/>
            <w:vAlign w:val="bottom"/>
            <w:tcBorders>
              <w:top w:val="single" w:sz="8" w:color="D2EEF5"/>
            </w:tcBorders>
          </w:tcPr>
          <w:p>
            <w:pPr>
              <w:spacing w:after="0" w:line="20" w:lineRule="exact"/>
              <w:rPr>
                <w:sz w:val="1"/>
                <w:szCs w:val="1"/>
                <w:color w:val="auto"/>
              </w:rPr>
            </w:pPr>
          </w:p>
        </w:tc>
        <w:tc>
          <w:tcPr>
            <w:tcW w:w="596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65"/>
        </w:trPr>
        <w:tc>
          <w:tcPr>
            <w:tcW w:w="40" w:type="dxa"/>
            <w:vAlign w:val="bottom"/>
            <w:tcBorders>
              <w:bottom w:val="single" w:sz="8" w:color="D2EEF5"/>
            </w:tcBorders>
            <w:shd w:val="clear" w:color="auto" w:fill="D2EEF5"/>
          </w:tcPr>
          <w:p>
            <w:pPr>
              <w:spacing w:after="0"/>
              <w:rPr>
                <w:sz w:val="23"/>
                <w:szCs w:val="23"/>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Change in fair value of plan assets:</w:t>
            </w:r>
          </w:p>
        </w:tc>
        <w:tc>
          <w:tcPr>
            <w:tcW w:w="280" w:type="dxa"/>
            <w:vAlign w:val="bottom"/>
            <w:tcBorders>
              <w:bottom w:val="single" w:sz="8" w:color="D2EEF5"/>
            </w:tcBorders>
            <w:shd w:val="clear" w:color="auto" w:fill="D2EEF5"/>
          </w:tcPr>
          <w:p>
            <w:pPr>
              <w:spacing w:after="0"/>
              <w:rPr>
                <w:sz w:val="23"/>
                <w:szCs w:val="23"/>
                <w:color w:val="auto"/>
              </w:rPr>
            </w:pPr>
          </w:p>
        </w:tc>
        <w:tc>
          <w:tcPr>
            <w:tcW w:w="920" w:type="dxa"/>
            <w:vAlign w:val="bottom"/>
            <w:tcBorders>
              <w:bottom w:val="single" w:sz="8" w:color="D2EEF5"/>
            </w:tcBorders>
            <w:shd w:val="clear" w:color="auto" w:fill="D2EEF5"/>
          </w:tcPr>
          <w:p>
            <w:pPr>
              <w:spacing w:after="0"/>
              <w:rPr>
                <w:sz w:val="23"/>
                <w:szCs w:val="23"/>
                <w:color w:val="auto"/>
              </w:rPr>
            </w:pPr>
          </w:p>
        </w:tc>
        <w:tc>
          <w:tcPr>
            <w:tcW w:w="120" w:type="dxa"/>
            <w:vAlign w:val="bottom"/>
            <w:tcBorders>
              <w:bottom w:val="single" w:sz="8" w:color="D2EEF5"/>
            </w:tcBorders>
            <w:shd w:val="clear" w:color="auto" w:fill="D2EEF5"/>
          </w:tcPr>
          <w:p>
            <w:pPr>
              <w:spacing w:after="0"/>
              <w:rPr>
                <w:sz w:val="23"/>
                <w:szCs w:val="23"/>
                <w:color w:val="auto"/>
              </w:rPr>
            </w:pPr>
          </w:p>
        </w:tc>
        <w:tc>
          <w:tcPr>
            <w:tcW w:w="280" w:type="dxa"/>
            <w:vAlign w:val="bottom"/>
            <w:tcBorders>
              <w:bottom w:val="single" w:sz="8" w:color="D2EEF5"/>
            </w:tcBorders>
            <w:shd w:val="clear" w:color="auto" w:fill="D2EEF5"/>
          </w:tcPr>
          <w:p>
            <w:pPr>
              <w:spacing w:after="0"/>
              <w:rPr>
                <w:sz w:val="23"/>
                <w:szCs w:val="23"/>
                <w:color w:val="auto"/>
              </w:rPr>
            </w:pPr>
          </w:p>
        </w:tc>
        <w:tc>
          <w:tcPr>
            <w:tcW w:w="920" w:type="dxa"/>
            <w:vAlign w:val="bottom"/>
            <w:tcBorders>
              <w:bottom w:val="single" w:sz="8" w:color="D2EEF5"/>
            </w:tcBorders>
            <w:shd w:val="clear" w:color="auto" w:fill="D2EEF5"/>
          </w:tcPr>
          <w:p>
            <w:pPr>
              <w:spacing w:after="0"/>
              <w:rPr>
                <w:sz w:val="23"/>
                <w:szCs w:val="23"/>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Fair value of plan assets as of the beginning of the year</w:t>
            </w:r>
          </w:p>
        </w:tc>
        <w:tc>
          <w:tcPr>
            <w:tcW w:w="28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262,703</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268,424</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Actual return on plan assets</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13,764</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27,925</w:t>
            </w: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Benefits paid</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(12,468)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(12,737)</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Employer contributions</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515</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604</w:t>
            </w: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Employee contributions</w:t>
            </w: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140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162</w:t>
            </w:r>
          </w:p>
        </w:tc>
      </w:tr>
      <w:tr>
        <w:trPr>
          <w:trHeight w:val="282"/>
        </w:trPr>
        <w:tc>
          <w:tcPr>
            <w:tcW w:w="40" w:type="dxa"/>
            <w:vAlign w:val="bottom"/>
            <w:tcBorders>
              <w:bottom w:val="single" w:sz="8" w:color="D2EEF5"/>
            </w:tcBorders>
            <w:shd w:val="clear" w:color="auto" w:fill="D2EEF5"/>
          </w:tcPr>
          <w:p>
            <w:pPr>
              <w:spacing w:after="0"/>
              <w:rPr>
                <w:sz w:val="24"/>
                <w:szCs w:val="24"/>
                <w:color w:val="auto"/>
              </w:rPr>
            </w:pPr>
          </w:p>
        </w:tc>
        <w:tc>
          <w:tcPr>
            <w:tcW w:w="7700" w:type="dxa"/>
            <w:vAlign w:val="bottom"/>
            <w:tcBorders>
              <w:bottom w:val="single" w:sz="8" w:color="D2EEF5"/>
            </w:tcBorders>
            <w:gridSpan w:val="3"/>
            <w:shd w:val="clear" w:color="auto" w:fill="D2EEF5"/>
          </w:tcPr>
          <w:p>
            <w:pPr>
              <w:ind w:left="480"/>
              <w:spacing w:after="0"/>
              <w:rPr>
                <w:sz w:val="20"/>
                <w:szCs w:val="20"/>
                <w:color w:val="auto"/>
              </w:rPr>
            </w:pPr>
            <w:r>
              <w:rPr>
                <w:rFonts w:ascii="Arial" w:cs="Arial" w:eastAsia="Arial" w:hAnsi="Arial"/>
                <w:sz w:val="20"/>
                <w:szCs w:val="20"/>
                <w:color w:val="auto"/>
              </w:rPr>
              <w:t>Foreign currency exchange rate changes</w:t>
            </w: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12,766</w:t>
            </w:r>
          </w:p>
        </w:tc>
        <w:tc>
          <w:tcPr>
            <w:tcW w:w="120" w:type="dxa"/>
            <w:vAlign w:val="bottom"/>
            <w:tcBorders>
              <w:bottom w:val="single" w:sz="8" w:color="D2EEF5"/>
            </w:tcBorders>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(21,675)</w:t>
            </w:r>
          </w:p>
        </w:tc>
      </w:tr>
      <w:tr>
        <w:trPr>
          <w:trHeight w:val="95"/>
        </w:trPr>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Fair value of plan assets, end of year</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277,420</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262,703</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tcBorders>
          </w:tcPr>
          <w:p>
            <w:pPr>
              <w:spacing w:after="0" w:line="20" w:lineRule="exact"/>
              <w:rPr>
                <w:sz w:val="1"/>
                <w:szCs w:val="1"/>
                <w:color w:val="auto"/>
              </w:rPr>
            </w:pPr>
          </w:p>
        </w:tc>
        <w:tc>
          <w:tcPr>
            <w:tcW w:w="420" w:type="dxa"/>
            <w:vAlign w:val="bottom"/>
            <w:tcBorders>
              <w:top w:val="single" w:sz="8" w:color="D2EEF5"/>
            </w:tcBorders>
          </w:tcPr>
          <w:p>
            <w:pPr>
              <w:spacing w:after="0" w:line="20" w:lineRule="exact"/>
              <w:rPr>
                <w:sz w:val="1"/>
                <w:szCs w:val="1"/>
                <w:color w:val="auto"/>
              </w:rPr>
            </w:pPr>
          </w:p>
        </w:tc>
        <w:tc>
          <w:tcPr>
            <w:tcW w:w="596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Funded status at end of year</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52,686</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42,070</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tcBorders>
          </w:tcPr>
          <w:p>
            <w:pPr>
              <w:spacing w:after="0" w:line="20" w:lineRule="exact"/>
              <w:rPr>
                <w:sz w:val="1"/>
                <w:szCs w:val="1"/>
                <w:color w:val="auto"/>
              </w:rPr>
            </w:pPr>
          </w:p>
        </w:tc>
        <w:tc>
          <w:tcPr>
            <w:tcW w:w="420" w:type="dxa"/>
            <w:vAlign w:val="bottom"/>
            <w:tcBorders>
              <w:top w:val="single" w:sz="8" w:color="D2EEF5"/>
            </w:tcBorders>
          </w:tcPr>
          <w:p>
            <w:pPr>
              <w:spacing w:after="0" w:line="20" w:lineRule="exact"/>
              <w:rPr>
                <w:sz w:val="1"/>
                <w:szCs w:val="1"/>
                <w:color w:val="auto"/>
              </w:rPr>
            </w:pPr>
          </w:p>
        </w:tc>
        <w:tc>
          <w:tcPr>
            <w:tcW w:w="596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70"/>
        </w:trPr>
        <w:tc>
          <w:tcPr>
            <w:tcW w:w="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Accumulated benefit obligation, end of year</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222,331</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218,122</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tcBorders>
          </w:tcPr>
          <w:p>
            <w:pPr>
              <w:spacing w:after="0" w:line="20" w:lineRule="exact"/>
              <w:rPr>
                <w:sz w:val="1"/>
                <w:szCs w:val="1"/>
                <w:color w:val="auto"/>
              </w:rPr>
            </w:pPr>
          </w:p>
        </w:tc>
        <w:tc>
          <w:tcPr>
            <w:tcW w:w="420" w:type="dxa"/>
            <w:vAlign w:val="bottom"/>
            <w:tcBorders>
              <w:top w:val="single" w:sz="8" w:color="D2EEF5"/>
            </w:tcBorders>
          </w:tcPr>
          <w:p>
            <w:pPr>
              <w:spacing w:after="0" w:line="20" w:lineRule="exact"/>
              <w:rPr>
                <w:sz w:val="1"/>
                <w:szCs w:val="1"/>
                <w:color w:val="auto"/>
              </w:rPr>
            </w:pPr>
          </w:p>
        </w:tc>
        <w:tc>
          <w:tcPr>
            <w:tcW w:w="596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-2129790</wp:posOffset>
            </wp:positionV>
            <wp:extent cx="1625600"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1625600" cy="5080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-548640</wp:posOffset>
            </wp:positionV>
            <wp:extent cx="1625600"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1625600" cy="5080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-300990</wp:posOffset>
            </wp:positionV>
            <wp:extent cx="1625600"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1625600" cy="5080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-43815</wp:posOffset>
            </wp:positionV>
            <wp:extent cx="162560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extLst>
                    </a:blip>
                    <a:srcRect/>
                    <a:stretch>
                      <a:fillRect/>
                    </a:stretch>
                  </pic:blipFill>
                  <pic:spPr bwMode="auto">
                    <a:xfrm>
                      <a:off x="0" y="0"/>
                      <a:ext cx="1625600" cy="5080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The Nordion defined benefit pension plan was overfunded as of December 31, 2025 and December 31, 2024.</w:t>
      </w:r>
    </w:p>
    <w:p>
      <w:pPr>
        <w:spacing w:after="0" w:line="210" w:lineRule="exact"/>
        <w:rPr>
          <w:sz w:val="20"/>
          <w:szCs w:val="20"/>
          <w:color w:val="auto"/>
        </w:rPr>
      </w:pPr>
    </w:p>
    <w:p>
      <w:pPr>
        <w:ind w:right="280"/>
        <w:spacing w:after="0" w:line="266" w:lineRule="auto"/>
        <w:rPr>
          <w:sz w:val="20"/>
          <w:szCs w:val="20"/>
          <w:color w:val="auto"/>
        </w:rPr>
      </w:pPr>
      <w:r>
        <w:rPr>
          <w:rFonts w:ascii="Arial" w:cs="Arial" w:eastAsia="Arial" w:hAnsi="Arial"/>
          <w:sz w:val="20"/>
          <w:szCs w:val="20"/>
          <w:color w:val="auto"/>
        </w:rPr>
        <w:t>The funded status, measured as the difference between the fair value of the plan assets and the PBO, are included in “Post-retirement assets” for overfunded plans and “Post-retirement obligations” for underfunded plans in the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the funded status to amounts recognized in the Consolidated Balance Sheets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9"/>
                <w:szCs w:val="19"/>
                <w:color w:val="auto"/>
              </w:rPr>
            </w:pPr>
          </w:p>
        </w:tc>
        <w:tc>
          <w:tcPr>
            <w:tcW w:w="920" w:type="dxa"/>
            <w:vAlign w:val="bottom"/>
          </w:tcPr>
          <w:p>
            <w:pPr>
              <w:jc w:val="right"/>
              <w:ind w:right="344"/>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4"/>
              <w:spacing w:after="0"/>
              <w:rPr>
                <w:sz w:val="20"/>
                <w:szCs w:val="20"/>
                <w:color w:val="auto"/>
              </w:rPr>
            </w:pPr>
            <w:r>
              <w:rPr>
                <w:rFonts w:ascii="Arial" w:cs="Arial" w:eastAsia="Arial" w:hAnsi="Arial"/>
                <w:sz w:val="16"/>
                <w:szCs w:val="16"/>
                <w:b w:val="1"/>
                <w:bCs w:val="1"/>
                <w:color w:val="auto"/>
              </w:rPr>
              <w:t>2024</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420" w:type="dxa"/>
            <w:vAlign w:val="bottom"/>
            <w:tcBorders>
              <w:bottom w:val="single" w:sz="8" w:color="D2EEF5"/>
            </w:tcBorders>
          </w:tcPr>
          <w:p>
            <w:pPr>
              <w:spacing w:after="0" w:line="20" w:lineRule="exact"/>
              <w:rPr>
                <w:sz w:val="1"/>
                <w:szCs w:val="1"/>
                <w:color w:val="auto"/>
              </w:rPr>
            </w:pPr>
          </w:p>
        </w:tc>
        <w:tc>
          <w:tcPr>
            <w:tcW w:w="596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Projected benefit obligation</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4"/>
              <w:spacing w:after="0"/>
              <w:rPr>
                <w:sz w:val="20"/>
                <w:szCs w:val="20"/>
                <w:color w:val="auto"/>
              </w:rPr>
            </w:pPr>
            <w:r>
              <w:rPr>
                <w:rFonts w:ascii="Arial" w:cs="Arial" w:eastAsia="Arial" w:hAnsi="Arial"/>
                <w:sz w:val="20"/>
                <w:szCs w:val="20"/>
                <w:b w:val="1"/>
                <w:bCs w:val="1"/>
                <w:color w:val="auto"/>
              </w:rPr>
              <w:t>224,734</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4"/>
              <w:spacing w:after="0"/>
              <w:rPr>
                <w:sz w:val="20"/>
                <w:szCs w:val="20"/>
                <w:color w:val="auto"/>
              </w:rPr>
            </w:pPr>
            <w:r>
              <w:rPr>
                <w:rFonts w:ascii="Arial" w:cs="Arial" w:eastAsia="Arial" w:hAnsi="Arial"/>
                <w:sz w:val="20"/>
                <w:szCs w:val="20"/>
                <w:color w:val="auto"/>
              </w:rPr>
              <w:t>220,633</w:t>
            </w:r>
          </w:p>
        </w:tc>
      </w:tr>
      <w:tr>
        <w:trPr>
          <w:trHeight w:val="275"/>
        </w:trPr>
        <w:tc>
          <w:tcPr>
            <w:tcW w:w="40" w:type="dxa"/>
            <w:vAlign w:val="bottom"/>
            <w:tcBorders>
              <w:bottom w:val="single" w:sz="8" w:color="D2EEF5"/>
            </w:tcBorders>
          </w:tcPr>
          <w:p>
            <w:pPr>
              <w:spacing w:after="0"/>
              <w:rPr>
                <w:sz w:val="23"/>
                <w:szCs w:val="23"/>
                <w:color w:val="auto"/>
              </w:rPr>
            </w:pPr>
          </w:p>
        </w:tc>
        <w:tc>
          <w:tcPr>
            <w:tcW w:w="770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Fair value of plan assets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b w:val="1"/>
                <w:bCs w:val="1"/>
                <w:color w:val="auto"/>
              </w:rPr>
              <w:t>277,420</w:t>
            </w:r>
          </w:p>
        </w:tc>
        <w:tc>
          <w:tcPr>
            <w:tcW w:w="1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262,703</w:t>
            </w: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Plan assets greater than projected benefit obligation (noncurrent assets)</w:t>
            </w:r>
          </w:p>
        </w:tc>
        <w:tc>
          <w:tcPr>
            <w:tcW w:w="280" w:type="dxa"/>
            <w:vAlign w:val="bottom"/>
            <w:shd w:val="clear" w:color="auto" w:fill="D2EEF5"/>
          </w:tcPr>
          <w:p>
            <w:pPr>
              <w:spacing w:after="0"/>
              <w:rPr>
                <w:sz w:val="23"/>
                <w:szCs w:val="23"/>
                <w:color w:val="auto"/>
              </w:rPr>
            </w:pPr>
          </w:p>
        </w:tc>
        <w:tc>
          <w:tcPr>
            <w:tcW w:w="920" w:type="dxa"/>
            <w:vAlign w:val="bottom"/>
            <w:shd w:val="clear" w:color="auto" w:fill="D2EEF5"/>
          </w:tcPr>
          <w:p>
            <w:pPr>
              <w:jc w:val="right"/>
              <w:ind w:right="4"/>
              <w:spacing w:after="0"/>
              <w:rPr>
                <w:sz w:val="20"/>
                <w:szCs w:val="20"/>
                <w:color w:val="auto"/>
              </w:rPr>
            </w:pPr>
            <w:r>
              <w:rPr>
                <w:rFonts w:ascii="Arial" w:cs="Arial" w:eastAsia="Arial" w:hAnsi="Arial"/>
                <w:sz w:val="20"/>
                <w:szCs w:val="20"/>
                <w:b w:val="1"/>
                <w:bCs w:val="1"/>
                <w:color w:val="auto"/>
              </w:rPr>
              <w:t>52,686</w:t>
            </w:r>
          </w:p>
        </w:tc>
        <w:tc>
          <w:tcPr>
            <w:tcW w:w="120" w:type="dxa"/>
            <w:vAlign w:val="bottom"/>
            <w:shd w:val="clear" w:color="auto" w:fill="D2EEF5"/>
          </w:tcPr>
          <w:p>
            <w:pPr>
              <w:spacing w:after="0"/>
              <w:rPr>
                <w:sz w:val="23"/>
                <w:szCs w:val="23"/>
                <w:color w:val="auto"/>
              </w:rPr>
            </w:pPr>
          </w:p>
        </w:tc>
        <w:tc>
          <w:tcPr>
            <w:tcW w:w="280" w:type="dxa"/>
            <w:vAlign w:val="bottom"/>
            <w:shd w:val="clear" w:color="auto" w:fill="D2EEF5"/>
          </w:tcPr>
          <w:p>
            <w:pPr>
              <w:spacing w:after="0"/>
              <w:rPr>
                <w:sz w:val="23"/>
                <w:szCs w:val="23"/>
                <w:color w:val="auto"/>
              </w:rPr>
            </w:pPr>
          </w:p>
        </w:tc>
        <w:tc>
          <w:tcPr>
            <w:tcW w:w="920" w:type="dxa"/>
            <w:vAlign w:val="bottom"/>
            <w:shd w:val="clear" w:color="auto" w:fill="D2EEF5"/>
          </w:tcPr>
          <w:p>
            <w:pPr>
              <w:jc w:val="right"/>
              <w:ind w:right="4"/>
              <w:spacing w:after="0"/>
              <w:rPr>
                <w:sz w:val="20"/>
                <w:szCs w:val="20"/>
                <w:color w:val="auto"/>
              </w:rPr>
            </w:pPr>
            <w:r>
              <w:rPr>
                <w:rFonts w:ascii="Arial" w:cs="Arial" w:eastAsia="Arial" w:hAnsi="Arial"/>
                <w:sz w:val="20"/>
                <w:szCs w:val="20"/>
                <w:color w:val="auto"/>
              </w:rPr>
              <w:t>42,070</w:t>
            </w:r>
          </w:p>
        </w:tc>
      </w:tr>
      <w:tr>
        <w:trPr>
          <w:trHeight w:val="272"/>
        </w:trPr>
        <w:tc>
          <w:tcPr>
            <w:tcW w:w="40" w:type="dxa"/>
            <w:vAlign w:val="bottom"/>
          </w:tcPr>
          <w:p>
            <w:pPr>
              <w:spacing w:after="0"/>
              <w:rPr>
                <w:sz w:val="23"/>
                <w:szCs w:val="23"/>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Unrecognized net actuarial gain</w:t>
            </w:r>
          </w:p>
        </w:tc>
        <w:tc>
          <w:tcPr>
            <w:tcW w:w="28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b w:val="1"/>
                <w:bCs w:val="1"/>
                <w:color w:val="auto"/>
              </w:rPr>
              <w:t>2,196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color w:val="auto"/>
              </w:rPr>
              <w:t>107</w:t>
            </w:r>
          </w:p>
        </w:tc>
      </w:tr>
    </w:tbl>
    <w:p>
      <w:pPr>
        <w:spacing w:after="0" w:line="250" w:lineRule="exact"/>
        <w:rPr>
          <w:sz w:val="20"/>
          <w:szCs w:val="20"/>
          <w:color w:val="auto"/>
        </w:rPr>
      </w:pPr>
    </w:p>
    <w:p>
      <w:pPr>
        <w:ind w:right="920"/>
        <w:spacing w:after="0" w:line="283" w:lineRule="auto"/>
        <w:rPr>
          <w:sz w:val="20"/>
          <w:szCs w:val="20"/>
          <w:color w:val="auto"/>
        </w:rPr>
      </w:pPr>
      <w:r>
        <w:rPr>
          <w:rFonts w:ascii="Arial" w:cs="Arial" w:eastAsia="Arial" w:hAnsi="Arial"/>
          <w:sz w:val="20"/>
          <w:szCs w:val="20"/>
          <w:color w:val="auto"/>
        </w:rPr>
        <w:t>The following table illustrates the amounts in accumulated other comprehensive income (loss) that have not yet been recognized as components of pension expense: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768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300" w:type="dxa"/>
            <w:vAlign w:val="bottom"/>
          </w:tcPr>
          <w:p>
            <w:pPr>
              <w:spacing w:after="0"/>
              <w:rPr>
                <w:sz w:val="19"/>
                <w:szCs w:val="19"/>
                <w:color w:val="auto"/>
              </w:rPr>
            </w:pPr>
          </w:p>
        </w:tc>
        <w:tc>
          <w:tcPr>
            <w:tcW w:w="900" w:type="dxa"/>
            <w:vAlign w:val="bottom"/>
          </w:tcPr>
          <w:p>
            <w:pPr>
              <w:jc w:val="right"/>
              <w:ind w:right="345"/>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65"/>
              <w:spacing w:after="0"/>
              <w:rPr>
                <w:sz w:val="20"/>
                <w:szCs w:val="20"/>
                <w:color w:val="auto"/>
              </w:rPr>
            </w:pPr>
            <w:r>
              <w:rPr>
                <w:rFonts w:ascii="Arial" w:cs="Arial" w:eastAsia="Arial" w:hAnsi="Arial"/>
                <w:sz w:val="16"/>
                <w:szCs w:val="16"/>
                <w:b w:val="1"/>
                <w:bCs w:val="1"/>
                <w:color w:val="auto"/>
              </w:rPr>
              <w:t>2024</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420" w:type="dxa"/>
            <w:vAlign w:val="bottom"/>
            <w:tcBorders>
              <w:bottom w:val="single" w:sz="8" w:color="D2EEF5"/>
            </w:tcBorders>
          </w:tcPr>
          <w:p>
            <w:pPr>
              <w:spacing w:after="0" w:line="20" w:lineRule="exact"/>
              <w:rPr>
                <w:sz w:val="1"/>
                <w:szCs w:val="1"/>
                <w:color w:val="auto"/>
              </w:rPr>
            </w:pPr>
          </w:p>
        </w:tc>
        <w:tc>
          <w:tcPr>
            <w:tcW w:w="5940" w:type="dxa"/>
            <w:vAlign w:val="bottom"/>
            <w:tcBorders>
              <w:bottom w:val="single" w:sz="8" w:color="D2EEF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68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Net actuarial gain</w:t>
            </w:r>
          </w:p>
        </w:tc>
        <w:tc>
          <w:tcPr>
            <w:tcW w:w="300" w:type="dxa"/>
            <w:vAlign w:val="bottom"/>
            <w:shd w:val="clear" w:color="auto" w:fill="D2EEF5"/>
          </w:tcPr>
          <w:p>
            <w:pPr>
              <w:jc w:val="right"/>
              <w:ind w:right="60"/>
              <w:spacing w:after="0"/>
              <w:rPr>
                <w:sz w:val="20"/>
                <w:szCs w:val="20"/>
                <w:color w:val="auto"/>
              </w:rPr>
            </w:pPr>
            <w:r>
              <w:rPr>
                <w:rFonts w:ascii="Arial" w:cs="Arial" w:eastAsia="Arial" w:hAnsi="Arial"/>
                <w:sz w:val="20"/>
                <w:szCs w:val="20"/>
                <w:b w:val="1"/>
                <w:bCs w:val="1"/>
                <w:color w:val="auto"/>
              </w:rPr>
              <w:t>$</w:t>
            </w: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2,196</w:t>
            </w:r>
          </w:p>
        </w:tc>
        <w:tc>
          <w:tcPr>
            <w:tcW w:w="420" w:type="dxa"/>
            <w:vAlign w:val="bottom"/>
            <w:gridSpan w:val="2"/>
            <w:shd w:val="clear" w:color="auto" w:fill="D2EEF5"/>
          </w:tcPr>
          <w:p>
            <w:pPr>
              <w:jc w:val="right"/>
              <w:ind w:right="16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107</w:t>
            </w:r>
          </w:p>
        </w:tc>
      </w:tr>
      <w:tr>
        <w:trPr>
          <w:trHeight w:val="275"/>
        </w:trPr>
        <w:tc>
          <w:tcPr>
            <w:tcW w:w="40" w:type="dxa"/>
            <w:vAlign w:val="bottom"/>
            <w:tcBorders>
              <w:bottom w:val="single" w:sz="8" w:color="D2EEF5"/>
            </w:tcBorders>
          </w:tcPr>
          <w:p>
            <w:pPr>
              <w:spacing w:after="0"/>
              <w:rPr>
                <w:sz w:val="23"/>
                <w:szCs w:val="23"/>
                <w:color w:val="auto"/>
              </w:rPr>
            </w:pPr>
          </w:p>
        </w:tc>
        <w:tc>
          <w:tcPr>
            <w:tcW w:w="768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Deferred income taxes</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(510)</w:t>
            </w:r>
          </w:p>
        </w:tc>
        <w:tc>
          <w:tcPr>
            <w:tcW w:w="120" w:type="dxa"/>
            <w:vAlign w:val="bottom"/>
            <w:tcBorders>
              <w:bottom w:val="single" w:sz="8" w:color="D2EEF5"/>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r>
      <w:tr>
        <w:trPr>
          <w:trHeight w:val="265"/>
        </w:trPr>
        <w:tc>
          <w:tcPr>
            <w:tcW w:w="40" w:type="dxa"/>
            <w:vAlign w:val="bottom"/>
            <w:shd w:val="clear" w:color="auto" w:fill="D2EEF5"/>
          </w:tcPr>
          <w:p>
            <w:pPr>
              <w:spacing w:after="0"/>
              <w:rPr>
                <w:sz w:val="23"/>
                <w:szCs w:val="23"/>
                <w:color w:val="auto"/>
              </w:rPr>
            </w:pPr>
          </w:p>
        </w:tc>
        <w:tc>
          <w:tcPr>
            <w:tcW w:w="768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Accumulated other comprehensive income – net of tax</w:t>
            </w:r>
          </w:p>
        </w:tc>
        <w:tc>
          <w:tcPr>
            <w:tcW w:w="300" w:type="dxa"/>
            <w:vAlign w:val="bottom"/>
            <w:shd w:val="clear" w:color="auto" w:fill="D2EEF5"/>
          </w:tcPr>
          <w:p>
            <w:pPr>
              <w:jc w:val="right"/>
              <w:ind w:right="60"/>
              <w:spacing w:after="0"/>
              <w:rPr>
                <w:sz w:val="20"/>
                <w:szCs w:val="20"/>
                <w:color w:val="auto"/>
              </w:rPr>
            </w:pPr>
            <w:r>
              <w:rPr>
                <w:rFonts w:ascii="Arial" w:cs="Arial" w:eastAsia="Arial" w:hAnsi="Arial"/>
                <w:sz w:val="20"/>
                <w:szCs w:val="20"/>
                <w:b w:val="1"/>
                <w:bCs w:val="1"/>
                <w:color w:val="auto"/>
              </w:rPr>
              <w:t>$</w:t>
            </w: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1,686</w:t>
            </w:r>
          </w:p>
        </w:tc>
        <w:tc>
          <w:tcPr>
            <w:tcW w:w="420" w:type="dxa"/>
            <w:vAlign w:val="bottom"/>
            <w:gridSpan w:val="2"/>
            <w:shd w:val="clear" w:color="auto" w:fill="D2EEF5"/>
          </w:tcPr>
          <w:p>
            <w:pPr>
              <w:jc w:val="right"/>
              <w:ind w:right="16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80</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tcBorders>
          </w:tcPr>
          <w:p>
            <w:pPr>
              <w:spacing w:after="0" w:line="20" w:lineRule="exact"/>
              <w:rPr>
                <w:sz w:val="1"/>
                <w:szCs w:val="1"/>
                <w:color w:val="auto"/>
              </w:rPr>
            </w:pPr>
          </w:p>
        </w:tc>
        <w:tc>
          <w:tcPr>
            <w:tcW w:w="420" w:type="dxa"/>
            <w:vAlign w:val="bottom"/>
            <w:tcBorders>
              <w:top w:val="single" w:sz="8" w:color="D2EEF5"/>
            </w:tcBorders>
          </w:tcPr>
          <w:p>
            <w:pPr>
              <w:spacing w:after="0" w:line="20" w:lineRule="exact"/>
              <w:rPr>
                <w:sz w:val="1"/>
                <w:szCs w:val="1"/>
                <w:color w:val="auto"/>
              </w:rPr>
            </w:pPr>
          </w:p>
        </w:tc>
        <w:tc>
          <w:tcPr>
            <w:tcW w:w="5940" w:type="dxa"/>
            <w:vAlign w:val="bottom"/>
            <w:tcBorders>
              <w:top w:val="single" w:sz="8" w:color="D2EEF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-43815</wp:posOffset>
            </wp:positionV>
            <wp:extent cx="163512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extLst>
                    </a:blip>
                    <a:srcRect/>
                    <a:stretch>
                      <a:fillRect/>
                    </a:stretch>
                  </pic:blipFill>
                  <pic:spPr bwMode="auto">
                    <a:xfrm>
                      <a:off x="0" y="0"/>
                      <a:ext cx="1635125" cy="50800"/>
                    </a:xfrm>
                    <a:prstGeom prst="rect">
                      <a:avLst/>
                    </a:prstGeom>
                    <a:noFill/>
                  </pic:spPr>
                </pic:pic>
              </a:graphicData>
            </a:graphic>
          </wp:anchor>
        </w:drawing>
      </w:r>
    </w:p>
    <w:p>
      <w:pPr>
        <w:spacing w:after="0" w:line="187" w:lineRule="exact"/>
        <w:rPr>
          <w:sz w:val="20"/>
          <w:szCs w:val="20"/>
          <w:color w:val="auto"/>
        </w:rPr>
      </w:pPr>
    </w:p>
    <w:p>
      <w:pPr>
        <w:ind w:right="80"/>
        <w:spacing w:after="0" w:line="283" w:lineRule="auto"/>
        <w:rPr>
          <w:sz w:val="20"/>
          <w:szCs w:val="20"/>
          <w:color w:val="auto"/>
        </w:rPr>
      </w:pPr>
      <w:r>
        <w:rPr>
          <w:rFonts w:ascii="Arial" w:cs="Arial" w:eastAsia="Arial" w:hAnsi="Arial"/>
          <w:sz w:val="20"/>
          <w:szCs w:val="20"/>
          <w:color w:val="auto"/>
        </w:rPr>
        <w:t>We do not expect to reclassify any of the net actuarial gain in accumulated other comprehensive income to net periodic pension income in the next twelve months.</w:t>
      </w:r>
    </w:p>
    <w:p>
      <w:pPr>
        <w:sectPr>
          <w:pgSz w:w="11880" w:h="15480" w:orient="portrait"/>
          <w:cols w:equalWidth="0" w:num="1">
            <w:col w:w="10260"/>
          </w:cols>
          <w:pgMar w:left="820" w:top="422" w:right="800" w:bottom="0" w:gutter="0" w:footer="0" w:header="0"/>
        </w:sect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0260"/>
          </w:cols>
          <w:pgMar w:left="820" w:top="422" w:right="800" w:bottom="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The weighted average asset allocation of the Company’s pension plans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Arial" w:cs="Arial" w:eastAsia="Arial" w:hAnsi="Arial"/>
                <w:sz w:val="16"/>
                <w:szCs w:val="16"/>
                <w:b w:val="1"/>
                <w:bCs w:val="1"/>
                <w:color w:val="auto"/>
              </w:rPr>
              <w:t>Asset Category</w:t>
            </w:r>
          </w:p>
        </w:tc>
        <w:tc>
          <w:tcPr>
            <w:tcW w:w="1200" w:type="dxa"/>
            <w:vAlign w:val="bottom"/>
          </w:tcPr>
          <w:p>
            <w:pPr>
              <w:jc w:val="right"/>
              <w:ind w:right="283"/>
              <w:spacing w:after="0"/>
              <w:rPr>
                <w:sz w:val="20"/>
                <w:szCs w:val="20"/>
                <w:color w:val="auto"/>
              </w:rPr>
            </w:pPr>
            <w:r>
              <w:rPr>
                <w:rFonts w:ascii="Arial" w:cs="Arial" w:eastAsia="Arial" w:hAnsi="Arial"/>
                <w:sz w:val="16"/>
                <w:szCs w:val="16"/>
                <w:b w:val="1"/>
                <w:bCs w:val="1"/>
                <w:color w:val="auto"/>
              </w:rPr>
              <w:t>Target</w:t>
            </w:r>
          </w:p>
        </w:tc>
        <w:tc>
          <w:tcPr>
            <w:tcW w:w="13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2025</w:t>
            </w:r>
          </w:p>
        </w:tc>
        <w:tc>
          <w:tcPr>
            <w:tcW w:w="13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2024</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040" w:type="dxa"/>
            <w:vAlign w:val="bottom"/>
            <w:tcBorders>
              <w:top w:val="single" w:sz="8" w:color="auto"/>
              <w:bottom w:val="single" w:sz="8" w:color="D2EEF5"/>
            </w:tcBorders>
          </w:tcPr>
          <w:p>
            <w:pPr>
              <w:spacing w:after="0" w:line="20" w:lineRule="exact"/>
              <w:rPr>
                <w:sz w:val="1"/>
                <w:szCs w:val="1"/>
                <w:color w:val="auto"/>
              </w:rPr>
            </w:pPr>
          </w:p>
        </w:tc>
        <w:tc>
          <w:tcPr>
            <w:tcW w:w="5340" w:type="dxa"/>
            <w:vAlign w:val="bottom"/>
            <w:tcBorders>
              <w:bottom w:val="single" w:sz="8" w:color="D2EEF5"/>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638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Cash</w:t>
            </w:r>
          </w:p>
        </w:tc>
        <w:tc>
          <w:tcPr>
            <w:tcW w:w="12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0.0 %</w:t>
            </w:r>
          </w:p>
        </w:tc>
        <w:tc>
          <w:tcPr>
            <w:tcW w:w="120" w:type="dxa"/>
            <w:vAlign w:val="bottom"/>
            <w:shd w:val="clear" w:color="auto" w:fill="D2EEF5"/>
          </w:tcPr>
          <w:p>
            <w:pPr>
              <w:spacing w:after="0"/>
              <w:rPr>
                <w:sz w:val="23"/>
                <w:szCs w:val="23"/>
                <w:color w:val="auto"/>
              </w:rPr>
            </w:pPr>
          </w:p>
        </w:tc>
        <w:tc>
          <w:tcPr>
            <w:tcW w:w="12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0.6 %</w:t>
            </w:r>
          </w:p>
        </w:tc>
        <w:tc>
          <w:tcPr>
            <w:tcW w:w="132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0.6 %</w:t>
            </w:r>
          </w:p>
        </w:tc>
      </w:tr>
      <w:tr>
        <w:trPr>
          <w:trHeight w:val="278"/>
        </w:trPr>
        <w:tc>
          <w:tcPr>
            <w:tcW w:w="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20"/>
                <w:szCs w:val="20"/>
                <w:color w:val="auto"/>
              </w:rPr>
              <w:t>Fixed income</w:t>
            </w:r>
          </w:p>
        </w:tc>
        <w:tc>
          <w:tcPr>
            <w:tcW w:w="1200" w:type="dxa"/>
            <w:vAlign w:val="bottom"/>
          </w:tcPr>
          <w:p>
            <w:pPr>
              <w:jc w:val="right"/>
              <w:spacing w:after="0"/>
              <w:rPr>
                <w:sz w:val="20"/>
                <w:szCs w:val="20"/>
                <w:color w:val="auto"/>
              </w:rPr>
            </w:pPr>
            <w:r>
              <w:rPr>
                <w:rFonts w:ascii="Arial" w:cs="Arial" w:eastAsia="Arial" w:hAnsi="Arial"/>
                <w:sz w:val="20"/>
                <w:szCs w:val="20"/>
                <w:color w:val="auto"/>
              </w:rPr>
              <w:t>54.0 %</w:t>
            </w:r>
          </w:p>
        </w:tc>
        <w:tc>
          <w:tcPr>
            <w:tcW w:w="1320" w:type="dxa"/>
            <w:vAlign w:val="bottom"/>
            <w:gridSpan w:val="2"/>
          </w:tcPr>
          <w:p>
            <w:pPr>
              <w:jc w:val="right"/>
              <w:spacing w:after="0"/>
              <w:rPr>
                <w:sz w:val="20"/>
                <w:szCs w:val="20"/>
                <w:color w:val="auto"/>
              </w:rPr>
            </w:pPr>
            <w:r>
              <w:rPr>
                <w:rFonts w:ascii="Arial" w:cs="Arial" w:eastAsia="Arial" w:hAnsi="Arial"/>
                <w:sz w:val="20"/>
                <w:szCs w:val="20"/>
                <w:b w:val="1"/>
                <w:bCs w:val="1"/>
                <w:color w:val="auto"/>
              </w:rPr>
              <w:t>53.1 %</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52.3 %</w:t>
            </w:r>
          </w:p>
        </w:tc>
      </w:tr>
      <w:tr>
        <w:trPr>
          <w:trHeight w:val="292"/>
        </w:trPr>
        <w:tc>
          <w:tcPr>
            <w:tcW w:w="40" w:type="dxa"/>
            <w:vAlign w:val="bottom"/>
            <w:shd w:val="clear" w:color="auto" w:fill="D2EEF5"/>
          </w:tcPr>
          <w:p>
            <w:pPr>
              <w:spacing w:after="0"/>
              <w:rPr>
                <w:sz w:val="24"/>
                <w:szCs w:val="24"/>
                <w:color w:val="auto"/>
              </w:rPr>
            </w:pPr>
          </w:p>
        </w:tc>
        <w:tc>
          <w:tcPr>
            <w:tcW w:w="638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Equities</w:t>
            </w:r>
          </w:p>
        </w:tc>
        <w:tc>
          <w:tcPr>
            <w:tcW w:w="12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27.0 %</w:t>
            </w:r>
          </w:p>
        </w:tc>
        <w:tc>
          <w:tcPr>
            <w:tcW w:w="1320" w:type="dxa"/>
            <w:vAlign w:val="bottom"/>
            <w:gridSpan w:val="2"/>
            <w:shd w:val="clear" w:color="auto" w:fill="D2EEF5"/>
          </w:tcPr>
          <w:p>
            <w:pPr>
              <w:jc w:val="right"/>
              <w:spacing w:after="0"/>
              <w:rPr>
                <w:sz w:val="20"/>
                <w:szCs w:val="20"/>
                <w:color w:val="auto"/>
              </w:rPr>
            </w:pPr>
            <w:r>
              <w:rPr>
                <w:rFonts w:ascii="Arial" w:cs="Arial" w:eastAsia="Arial" w:hAnsi="Arial"/>
                <w:sz w:val="20"/>
                <w:szCs w:val="20"/>
                <w:b w:val="1"/>
                <w:bCs w:val="1"/>
                <w:color w:val="auto"/>
              </w:rPr>
              <w:t>25.9 %</w:t>
            </w:r>
          </w:p>
        </w:tc>
        <w:tc>
          <w:tcPr>
            <w:tcW w:w="132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25.9 %</w:t>
            </w:r>
          </w:p>
        </w:tc>
      </w:tr>
      <w:tr>
        <w:trPr>
          <w:trHeight w:val="275"/>
        </w:trPr>
        <w:tc>
          <w:tcPr>
            <w:tcW w:w="40" w:type="dxa"/>
            <w:vAlign w:val="bottom"/>
            <w:tcBorders>
              <w:bottom w:val="single" w:sz="8" w:color="D2EEF5"/>
            </w:tcBorders>
          </w:tcPr>
          <w:p>
            <w:pPr>
              <w:spacing w:after="0"/>
              <w:rPr>
                <w:sz w:val="23"/>
                <w:szCs w:val="23"/>
                <w:color w:val="auto"/>
              </w:rPr>
            </w:pPr>
          </w:p>
        </w:tc>
        <w:tc>
          <w:tcPr>
            <w:tcW w:w="6380" w:type="dxa"/>
            <w:vAlign w:val="bottom"/>
            <w:tcBorders>
              <w:bottom w:val="single" w:sz="8" w:color="D2EEF5"/>
            </w:tcBorders>
            <w:gridSpan w:val="2"/>
          </w:tcPr>
          <w:p>
            <w:pPr>
              <w:spacing w:after="0"/>
              <w:rPr>
                <w:sz w:val="20"/>
                <w:szCs w:val="20"/>
                <w:color w:val="auto"/>
              </w:rPr>
            </w:pPr>
            <w:r>
              <w:rPr>
                <w:rFonts w:ascii="Arial" w:cs="Arial" w:eastAsia="Arial" w:hAnsi="Arial"/>
                <w:sz w:val="20"/>
                <w:szCs w:val="20"/>
                <w:color w:val="auto"/>
              </w:rPr>
              <w:t>Hedge funds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19.0 %</w:t>
            </w:r>
          </w:p>
        </w:tc>
        <w:tc>
          <w:tcPr>
            <w:tcW w:w="120" w:type="dxa"/>
            <w:vAlign w:val="bottom"/>
            <w:tcBorders>
              <w:bottom w:val="single" w:sz="8" w:color="D2EEF5"/>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20.4 %</w:t>
            </w:r>
          </w:p>
        </w:tc>
        <w:tc>
          <w:tcPr>
            <w:tcW w:w="120" w:type="dxa"/>
            <w:vAlign w:val="bottom"/>
            <w:tcBorders>
              <w:bottom w:val="single" w:sz="8" w:color="D2EEF5"/>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21.2 %</w:t>
            </w:r>
          </w:p>
        </w:tc>
      </w:tr>
      <w:tr>
        <w:trPr>
          <w:trHeight w:val="265"/>
        </w:trPr>
        <w:tc>
          <w:tcPr>
            <w:tcW w:w="40" w:type="dxa"/>
            <w:vAlign w:val="bottom"/>
            <w:shd w:val="clear" w:color="auto" w:fill="D2EEF5"/>
          </w:tcPr>
          <w:p>
            <w:pPr>
              <w:spacing w:after="0"/>
              <w:rPr>
                <w:sz w:val="23"/>
                <w:szCs w:val="23"/>
                <w:color w:val="auto"/>
              </w:rPr>
            </w:pPr>
          </w:p>
        </w:tc>
        <w:tc>
          <w:tcPr>
            <w:tcW w:w="638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Total</w:t>
            </w:r>
          </w:p>
        </w:tc>
        <w:tc>
          <w:tcPr>
            <w:tcW w:w="12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100.0 %</w:t>
            </w:r>
          </w:p>
        </w:tc>
        <w:tc>
          <w:tcPr>
            <w:tcW w:w="120" w:type="dxa"/>
            <w:vAlign w:val="bottom"/>
            <w:shd w:val="clear" w:color="auto" w:fill="D2EEF5"/>
          </w:tcPr>
          <w:p>
            <w:pPr>
              <w:spacing w:after="0"/>
              <w:rPr>
                <w:sz w:val="23"/>
                <w:szCs w:val="23"/>
                <w:color w:val="auto"/>
              </w:rPr>
            </w:pPr>
          </w:p>
        </w:tc>
        <w:tc>
          <w:tcPr>
            <w:tcW w:w="12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100.0 %</w:t>
            </w:r>
          </w:p>
        </w:tc>
        <w:tc>
          <w:tcPr>
            <w:tcW w:w="132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100.0 %</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040" w:type="dxa"/>
            <w:vAlign w:val="bottom"/>
            <w:tcBorders>
              <w:top w:val="single" w:sz="8" w:color="D2EEF5"/>
            </w:tcBorders>
          </w:tcPr>
          <w:p>
            <w:pPr>
              <w:spacing w:after="0" w:line="20" w:lineRule="exact"/>
              <w:rPr>
                <w:sz w:val="1"/>
                <w:szCs w:val="1"/>
                <w:color w:val="auto"/>
              </w:rPr>
            </w:pPr>
          </w:p>
        </w:tc>
        <w:tc>
          <w:tcPr>
            <w:tcW w:w="5340" w:type="dxa"/>
            <w:vAlign w:val="bottom"/>
            <w:tcBorders>
              <w:top w:val="single" w:sz="8" w:color="D2EEF5"/>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-43815</wp:posOffset>
            </wp:positionV>
            <wp:extent cx="246380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extLst>
                    </a:blip>
                    <a:srcRect/>
                    <a:stretch>
                      <a:fillRect/>
                    </a:stretch>
                  </pic:blipFill>
                  <pic:spPr bwMode="auto">
                    <a:xfrm>
                      <a:off x="0" y="0"/>
                      <a:ext cx="2463800" cy="50800"/>
                    </a:xfrm>
                    <a:prstGeom prst="rect">
                      <a:avLst/>
                    </a:prstGeom>
                    <a:noFill/>
                  </pic:spPr>
                </pic:pic>
              </a:graphicData>
            </a:graphic>
          </wp:anchor>
        </w:drawing>
      </w:r>
    </w:p>
    <w:p>
      <w:pPr>
        <w:spacing w:after="0" w:line="187" w:lineRule="exact"/>
        <w:rPr>
          <w:sz w:val="20"/>
          <w:szCs w:val="20"/>
          <w:color w:val="auto"/>
        </w:rPr>
      </w:pPr>
    </w:p>
    <w:p>
      <w:pPr>
        <w:ind w:right="40"/>
        <w:spacing w:after="0" w:line="310" w:lineRule="auto"/>
        <w:rPr>
          <w:sz w:val="20"/>
          <w:szCs w:val="20"/>
          <w:color w:val="auto"/>
        </w:rPr>
      </w:pPr>
      <w:r>
        <w:rPr>
          <w:rFonts w:ascii="Arial" w:cs="Arial" w:eastAsia="Arial" w:hAnsi="Arial"/>
          <w:sz w:val="17"/>
          <w:szCs w:val="17"/>
          <w:color w:val="auto"/>
        </w:rPr>
        <w:t>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to achieve their long-term investment goals by investing in assets that often have uncertain returns, such as Canadian and other foreign equities, and non-government bonds, although the Company also attempts to reduce the overall level of risk by diversifying the asset classes and further diversifying within each individual asset class.</w:t>
      </w:r>
    </w:p>
    <w:p>
      <w:pPr>
        <w:spacing w:after="0" w:line="125"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Valuation Methodologies</w:t>
      </w:r>
    </w:p>
    <w:p>
      <w:pPr>
        <w:spacing w:after="0" w:line="213" w:lineRule="exact"/>
        <w:rPr>
          <w:sz w:val="20"/>
          <w:szCs w:val="20"/>
          <w:color w:val="auto"/>
        </w:rPr>
      </w:pPr>
    </w:p>
    <w:p>
      <w:pPr>
        <w:ind w:right="240"/>
        <w:spacing w:after="0" w:line="283" w:lineRule="auto"/>
        <w:rPr>
          <w:sz w:val="20"/>
          <w:szCs w:val="20"/>
          <w:color w:val="auto"/>
        </w:rPr>
      </w:pPr>
      <w:r>
        <w:rPr>
          <w:rFonts w:ascii="Arial" w:cs="Arial" w:eastAsia="Arial" w:hAnsi="Arial"/>
          <w:sz w:val="20"/>
          <w:szCs w:val="20"/>
          <w:color w:val="auto"/>
        </w:rPr>
        <w:t>Below is a description of the composition and valuation methodologies for pension plan assets. Refer to the discussion of fair value hierarchy in Note 20, “Financial Instruments and Financial Risk.”</w:t>
      </w:r>
    </w:p>
    <w:p>
      <w:pPr>
        <w:spacing w:after="0" w:line="135"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b w:val="1"/>
          <w:bCs w:val="1"/>
          <w:i w:val="1"/>
          <w:iCs w:val="1"/>
          <w:color w:val="auto"/>
        </w:rPr>
        <w:t xml:space="preserve">Cash and cash equivalents </w:t>
      </w:r>
      <w:r>
        <w:rPr>
          <w:rFonts w:ascii="Arial" w:cs="Arial" w:eastAsia="Arial" w:hAnsi="Arial"/>
          <w:sz w:val="20"/>
          <w:szCs w:val="20"/>
          <w:color w:val="auto"/>
        </w:rPr>
        <w:t>– Consists of deposits with financial institutions and other short-term highly liquid investments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original maturity of three months or less. Cash and cash equivalents are categorized as Level 1 instruments in the fair value hierarchy.</w:t>
      </w:r>
    </w:p>
    <w:p>
      <w:pPr>
        <w:spacing w:after="0" w:line="150" w:lineRule="exact"/>
        <w:rPr>
          <w:sz w:val="20"/>
          <w:szCs w:val="20"/>
          <w:color w:val="auto"/>
        </w:rPr>
      </w:pPr>
    </w:p>
    <w:p>
      <w:pPr>
        <w:jc w:val="both"/>
        <w:ind w:right="20"/>
        <w:spacing w:after="0" w:line="417" w:lineRule="auto"/>
        <w:rPr>
          <w:sz w:val="20"/>
          <w:szCs w:val="20"/>
          <w:color w:val="auto"/>
        </w:rPr>
      </w:pPr>
      <w:r>
        <w:rPr>
          <w:rFonts w:ascii="Arial" w:cs="Arial" w:eastAsia="Arial" w:hAnsi="Arial"/>
          <w:sz w:val="16"/>
          <w:szCs w:val="16"/>
          <w:b w:val="1"/>
          <w:bCs w:val="1"/>
          <w:i w:val="1"/>
          <w:iCs w:val="1"/>
          <w:color w:val="auto"/>
        </w:rPr>
        <w:t xml:space="preserve">Fixed income securities, equity securities and hedge fund assets </w:t>
      </w:r>
      <w:r>
        <w:rPr>
          <w:rFonts w:ascii="Arial" w:cs="Arial" w:eastAsia="Arial" w:hAnsi="Arial"/>
          <w:sz w:val="16"/>
          <w:szCs w:val="16"/>
          <w:color w:val="auto"/>
        </w:rPr>
        <w:t>– These assets are invested in managed funds that are measured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fair value using the net asset value per share practical expedient and, therefore, are not categorized in the fair value hierarchy.</w:t>
      </w:r>
    </w:p>
    <w:p>
      <w:pPr>
        <w:sectPr>
          <w:pgSz w:w="11880" w:h="15480" w:orient="portrait"/>
          <w:cols w:equalWidth="0" w:num="1">
            <w:col w:w="10260"/>
          </w:cols>
          <w:pgMar w:left="820" w:top="422" w:right="800" w:bottom="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Expected future benefit payments from plan assets are as follows: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u w:val="single" w:color="auto"/>
          <w:color w:val="auto"/>
        </w:rPr>
        <w:t>(thousands of U.S. dollars)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Year Ended December 31,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2EEF5"/>
                        </a:solidFill>
                      </wps:spPr>
                      <wps:bodyPr/>
                    </wps:wsp>
                  </a:graphicData>
                </a:graphic>
              </wp:anchor>
            </w:drawing>
          </mc:Choice>
          <mc:Fallback>
            <w:pict>
              <v:rect id="Shape 54" o:spid="_x0000_s1079"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2027</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20"/>
          <w:szCs w:val="20"/>
          <w:color w:val="auto"/>
        </w:rPr>
        <w:t>2028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2EEF5"/>
                        </a:solidFill>
                      </wps:spPr>
                      <wps:bodyPr/>
                    </wps:wsp>
                  </a:graphicData>
                </a:graphic>
              </wp:anchor>
            </w:drawing>
          </mc:Choice>
          <mc:Fallback>
            <w:pict>
              <v:rect id="Shape 55" o:spid="_x0000_s1080"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2029</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20"/>
          <w:szCs w:val="20"/>
          <w:color w:val="auto"/>
        </w:rPr>
        <w:t>2030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2EEF5"/>
                        </a:solidFill>
                      </wps:spPr>
                      <wps:bodyPr/>
                    </wps:wsp>
                  </a:graphicData>
                </a:graphic>
              </wp:anchor>
            </w:drawing>
          </mc:Choice>
          <mc:Fallback>
            <w:pict>
              <v:rect id="Shape 56" o:spid="_x0000_s1081"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0"/>
          <w:szCs w:val="20"/>
          <w:color w:val="auto"/>
        </w:rPr>
        <w:t>2031 - 2035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6527800" cy="212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7">
                      <a:extLst>
                        <a:ext uri="{28A0092B-C50C-407E-A947-70E740481C1C}"/>
                      </a:extLst>
                    </a:blip>
                    <a:srcRect/>
                    <a:stretch>
                      <a:fillRect/>
                    </a:stretch>
                  </pic:blipFill>
                  <pic:spPr bwMode="auto">
                    <a:xfrm>
                      <a:off x="0" y="0"/>
                      <a:ext cx="6527800" cy="21272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benefit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7" w:hanging="517"/>
        <w:spacing w:after="0"/>
        <w:tabs>
          <w:tab w:leader="none" w:pos="517"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13,813</w:t>
      </w:r>
    </w:p>
    <w:p>
      <w:pPr>
        <w:spacing w:after="0" w:line="89" w:lineRule="exact"/>
        <w:rPr>
          <w:rFonts w:ascii="Arial" w:cs="Arial" w:eastAsia="Arial" w:hAnsi="Arial"/>
          <w:sz w:val="17"/>
          <w:szCs w:val="17"/>
          <w:b w:val="1"/>
          <w:bCs w:val="1"/>
          <w:color w:val="auto"/>
        </w:rPr>
      </w:pPr>
    </w:p>
    <w:p>
      <w:pPr>
        <w:ind w:left="517"/>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14,168</w:t>
      </w:r>
    </w:p>
    <w:p>
      <w:pPr>
        <w:spacing w:after="0" w:line="89" w:lineRule="exact"/>
        <w:rPr>
          <w:rFonts w:ascii="Arial" w:cs="Arial" w:eastAsia="Arial" w:hAnsi="Arial"/>
          <w:sz w:val="17"/>
          <w:szCs w:val="17"/>
          <w:b w:val="1"/>
          <w:bCs w:val="1"/>
          <w:color w:val="auto"/>
        </w:rPr>
      </w:pPr>
    </w:p>
    <w:p>
      <w:pPr>
        <w:ind w:left="517"/>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14,339</w:t>
      </w:r>
    </w:p>
    <w:p>
      <w:pPr>
        <w:spacing w:after="0" w:line="89" w:lineRule="exact"/>
        <w:rPr>
          <w:rFonts w:ascii="Arial" w:cs="Arial" w:eastAsia="Arial" w:hAnsi="Arial"/>
          <w:sz w:val="17"/>
          <w:szCs w:val="17"/>
          <w:b w:val="1"/>
          <w:bCs w:val="1"/>
          <w:color w:val="auto"/>
        </w:rPr>
      </w:pPr>
    </w:p>
    <w:p>
      <w:pPr>
        <w:ind w:left="517"/>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14,506</w:t>
      </w:r>
    </w:p>
    <w:p>
      <w:pPr>
        <w:spacing w:after="0" w:line="89" w:lineRule="exact"/>
        <w:rPr>
          <w:rFonts w:ascii="Arial" w:cs="Arial" w:eastAsia="Arial" w:hAnsi="Arial"/>
          <w:sz w:val="17"/>
          <w:szCs w:val="17"/>
          <w:b w:val="1"/>
          <w:bCs w:val="1"/>
          <w:color w:val="auto"/>
        </w:rPr>
      </w:pPr>
    </w:p>
    <w:p>
      <w:pPr>
        <w:ind w:left="517"/>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14,617</w:t>
      </w:r>
    </w:p>
    <w:p>
      <w:pPr>
        <w:spacing w:after="0" w:line="89" w:lineRule="exact"/>
        <w:rPr>
          <w:rFonts w:ascii="Arial" w:cs="Arial" w:eastAsia="Arial" w:hAnsi="Arial"/>
          <w:sz w:val="17"/>
          <w:szCs w:val="17"/>
          <w:b w:val="1"/>
          <w:bCs w:val="1"/>
          <w:color w:val="auto"/>
        </w:rPr>
      </w:pPr>
    </w:p>
    <w:p>
      <w:pPr>
        <w:ind w:left="517"/>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74,377</w:t>
      </w:r>
    </w:p>
    <w:p>
      <w:pPr>
        <w:spacing w:after="0" w:line="90" w:lineRule="exact"/>
        <w:rPr>
          <w:sz w:val="20"/>
          <w:szCs w:val="20"/>
          <w:color w:val="auto"/>
        </w:rPr>
      </w:pPr>
    </w:p>
    <w:p>
      <w:pPr>
        <w:ind w:left="417" w:hanging="417"/>
        <w:spacing w:after="0"/>
        <w:tabs>
          <w:tab w:leader="none" w:pos="417"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145,820</w:t>
      </w:r>
    </w:p>
    <w:p>
      <w:pPr>
        <w:spacing w:after="0" w:line="746" w:lineRule="exact"/>
        <w:rPr>
          <w:sz w:val="20"/>
          <w:szCs w:val="20"/>
          <w:color w:val="auto"/>
        </w:rPr>
      </w:pPr>
    </w:p>
    <w:p>
      <w:pPr>
        <w:sectPr>
          <w:pgSz w:w="11880" w:h="15480" w:orient="portrait"/>
          <w:cols w:equalWidth="0" w:num="2">
            <w:col w:w="8383" w:space="720"/>
            <w:col w:w="1157"/>
          </w:cols>
          <w:pgMar w:left="820" w:top="422" w:right="800" w:bottom="0" w:gutter="0" w:footer="0" w:header="0"/>
          <w:type w:val="continuous"/>
        </w:sectPr>
      </w:pPr>
    </w:p>
    <w:p>
      <w:pPr>
        <w:spacing w:after="0" w:line="13"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color w:val="auto"/>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non-pension post-employment benefit plans are unfunded. All other non-pension post-employment benefit plans are immaterial.</w:t>
      </w:r>
    </w:p>
    <w:p>
      <w:pPr>
        <w:sectPr>
          <w:pgSz w:w="11880" w:h="15480" w:orient="portrait"/>
          <w:cols w:equalWidth="0" w:num="1">
            <w:col w:w="10260"/>
          </w:cols>
          <w:pgMar w:left="820" w:top="422"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10260"/>
          </w:cols>
          <w:pgMar w:left="820" w:top="422" w:right="800" w:bottom="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right="160"/>
        <w:spacing w:after="0" w:line="261" w:lineRule="auto"/>
        <w:rPr>
          <w:sz w:val="20"/>
          <w:szCs w:val="20"/>
          <w:color w:val="auto"/>
        </w:rPr>
      </w:pPr>
      <w:r>
        <w:rPr>
          <w:rFonts w:ascii="Arial" w:cs="Arial" w:eastAsia="Arial" w:hAnsi="Arial"/>
          <w:sz w:val="20"/>
          <w:szCs w:val="20"/>
          <w:color w:val="auto"/>
        </w:rPr>
        <w:t>The interest cost and amortization of net actuarial gain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benefit plans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464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44"/>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4"/>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4"/>
              <w:spacing w:after="0"/>
              <w:rPr>
                <w:sz w:val="20"/>
                <w:szCs w:val="20"/>
                <w:color w:val="auto"/>
              </w:rPr>
            </w:pPr>
            <w:r>
              <w:rPr>
                <w:rFonts w:ascii="Arial" w:cs="Arial" w:eastAsia="Arial" w:hAnsi="Arial"/>
                <w:sz w:val="16"/>
                <w:szCs w:val="16"/>
                <w:b w:val="1"/>
                <w:bCs w:val="1"/>
                <w:color w:val="auto"/>
              </w:rPr>
              <w:t>2023</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60" w:type="dxa"/>
            <w:vAlign w:val="bottom"/>
            <w:tcBorders>
              <w:top w:val="single" w:sz="8" w:color="auto"/>
              <w:bottom w:val="single" w:sz="8" w:color="D2EEF5"/>
            </w:tcBorders>
          </w:tcPr>
          <w:p>
            <w:pPr>
              <w:spacing w:after="0" w:line="20" w:lineRule="exact"/>
              <w:rPr>
                <w:sz w:val="1"/>
                <w:szCs w:val="1"/>
                <w:color w:val="auto"/>
              </w:rPr>
            </w:pPr>
          </w:p>
        </w:tc>
        <w:tc>
          <w:tcPr>
            <w:tcW w:w="458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Service cost</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4"/>
              <w:spacing w:after="0"/>
              <w:rPr>
                <w:sz w:val="20"/>
                <w:szCs w:val="20"/>
                <w:color w:val="auto"/>
              </w:rPr>
            </w:pPr>
            <w:r>
              <w:rPr>
                <w:rFonts w:ascii="Arial" w:cs="Arial" w:eastAsia="Arial" w:hAnsi="Arial"/>
                <w:sz w:val="20"/>
                <w:szCs w:val="20"/>
                <w:b w:val="1"/>
                <w:bCs w:val="1"/>
                <w:color w:val="auto"/>
              </w:rPr>
              <w:t>5</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4"/>
              <w:spacing w:after="0"/>
              <w:rPr>
                <w:sz w:val="20"/>
                <w:szCs w:val="20"/>
                <w:color w:val="auto"/>
              </w:rPr>
            </w:pPr>
            <w:r>
              <w:rPr>
                <w:rFonts w:ascii="Arial" w:cs="Arial" w:eastAsia="Arial" w:hAnsi="Arial"/>
                <w:sz w:val="20"/>
                <w:szCs w:val="20"/>
                <w:color w:val="auto"/>
              </w:rPr>
              <w:t>10</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4"/>
              <w:spacing w:after="0"/>
              <w:rPr>
                <w:sz w:val="20"/>
                <w:szCs w:val="20"/>
                <w:color w:val="auto"/>
              </w:rPr>
            </w:pPr>
            <w:r>
              <w:rPr>
                <w:rFonts w:ascii="Arial" w:cs="Arial" w:eastAsia="Arial" w:hAnsi="Arial"/>
                <w:sz w:val="20"/>
                <w:szCs w:val="20"/>
                <w:color w:val="auto"/>
              </w:rPr>
              <w:t>9</w:t>
            </w:r>
          </w:p>
        </w:tc>
      </w:tr>
      <w:tr>
        <w:trPr>
          <w:trHeight w:val="278"/>
        </w:trPr>
        <w:tc>
          <w:tcPr>
            <w:tcW w:w="4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Arial" w:cs="Arial" w:eastAsia="Arial" w:hAnsi="Arial"/>
                <w:sz w:val="20"/>
                <w:szCs w:val="20"/>
                <w:color w:val="auto"/>
              </w:rPr>
              <w:t>Interest cost</w:t>
            </w:r>
          </w:p>
        </w:tc>
        <w:tc>
          <w:tcPr>
            <w:tcW w:w="28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b w:val="1"/>
                <w:bCs w:val="1"/>
                <w:color w:val="auto"/>
              </w:rPr>
              <w:t>343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color w:val="auto"/>
              </w:rPr>
              <w:t>371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color w:val="auto"/>
              </w:rPr>
              <w:t>398</w:t>
            </w: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638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Amortization of net actuarial gain</w:t>
            </w: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(69)</w:t>
            </w:r>
          </w:p>
        </w:tc>
        <w:tc>
          <w:tcPr>
            <w:tcW w:w="120" w:type="dxa"/>
            <w:vAlign w:val="bottom"/>
            <w:tcBorders>
              <w:bottom w:val="single" w:sz="8" w:color="D2EEF5"/>
            </w:tcBorders>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(170)</w:t>
            </w:r>
          </w:p>
        </w:tc>
        <w:tc>
          <w:tcPr>
            <w:tcW w:w="120" w:type="dxa"/>
            <w:vAlign w:val="bottom"/>
            <w:tcBorders>
              <w:bottom w:val="single" w:sz="8" w:color="D2EEF5"/>
            </w:tcBorders>
            <w:shd w:val="clear" w:color="auto" w:fill="D2EEF5"/>
          </w:tcPr>
          <w:p>
            <w:pPr>
              <w:spacing w:after="0"/>
              <w:rPr>
                <w:sz w:val="24"/>
                <w:szCs w:val="24"/>
                <w:color w:val="auto"/>
              </w:rPr>
            </w:pPr>
          </w:p>
        </w:tc>
        <w:tc>
          <w:tcPr>
            <w:tcW w:w="280" w:type="dxa"/>
            <w:vAlign w:val="bottom"/>
            <w:tcBorders>
              <w:bottom w:val="single" w:sz="8" w:color="auto"/>
            </w:tcBorders>
            <w:shd w:val="clear" w:color="auto" w:fill="D2EEF5"/>
          </w:tcPr>
          <w:p>
            <w:pPr>
              <w:spacing w:after="0"/>
              <w:rPr>
                <w:sz w:val="24"/>
                <w:szCs w:val="24"/>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(197)</w:t>
            </w:r>
          </w:p>
        </w:tc>
      </w:tr>
      <w:tr>
        <w:trPr>
          <w:trHeight w:val="227"/>
        </w:trPr>
        <w:tc>
          <w:tcPr>
            <w:tcW w:w="40" w:type="dxa"/>
            <w:vAlign w:val="bottom"/>
          </w:tcPr>
          <w:p>
            <w:pPr>
              <w:spacing w:after="0"/>
              <w:rPr>
                <w:sz w:val="19"/>
                <w:szCs w:val="19"/>
                <w:color w:val="auto"/>
              </w:rPr>
            </w:pPr>
          </w:p>
        </w:tc>
        <w:tc>
          <w:tcPr>
            <w:tcW w:w="6380" w:type="dxa"/>
            <w:vAlign w:val="bottom"/>
            <w:gridSpan w:val="3"/>
          </w:tcPr>
          <w:p>
            <w:pPr>
              <w:spacing w:after="0" w:line="227" w:lineRule="exact"/>
              <w:rPr>
                <w:sz w:val="20"/>
                <w:szCs w:val="20"/>
                <w:color w:val="auto"/>
              </w:rPr>
            </w:pPr>
            <w:r>
              <w:rPr>
                <w:rFonts w:ascii="Arial" w:cs="Arial" w:eastAsia="Arial" w:hAnsi="Arial"/>
                <w:sz w:val="20"/>
                <w:szCs w:val="20"/>
                <w:b w:val="1"/>
                <w:bCs w:val="1"/>
                <w:color w:val="auto"/>
              </w:rPr>
              <w:t>Net periodic benefit cost</w:t>
            </w:r>
          </w:p>
        </w:tc>
        <w:tc>
          <w:tcPr>
            <w:tcW w:w="280" w:type="dxa"/>
            <w:vAlign w:val="bottom"/>
          </w:tcPr>
          <w:p>
            <w:pPr>
              <w:jc w:val="right"/>
              <w:ind w:right="40"/>
              <w:spacing w:after="0" w:line="227" w:lineRule="exact"/>
              <w:rPr>
                <w:sz w:val="20"/>
                <w:szCs w:val="20"/>
                <w:color w:val="auto"/>
              </w:rPr>
            </w:pPr>
            <w:r>
              <w:rPr>
                <w:rFonts w:ascii="Arial" w:cs="Arial" w:eastAsia="Arial" w:hAnsi="Arial"/>
                <w:sz w:val="20"/>
                <w:szCs w:val="20"/>
                <w:b w:val="1"/>
                <w:bCs w:val="1"/>
                <w:color w:val="auto"/>
              </w:rPr>
              <w:t>$</w:t>
            </w:r>
          </w:p>
        </w:tc>
        <w:tc>
          <w:tcPr>
            <w:tcW w:w="920" w:type="dxa"/>
            <w:vAlign w:val="bottom"/>
          </w:tcPr>
          <w:p>
            <w:pPr>
              <w:jc w:val="right"/>
              <w:ind w:right="4"/>
              <w:spacing w:after="0" w:line="227" w:lineRule="exact"/>
              <w:rPr>
                <w:sz w:val="20"/>
                <w:szCs w:val="20"/>
                <w:color w:val="auto"/>
              </w:rPr>
            </w:pPr>
            <w:r>
              <w:rPr>
                <w:rFonts w:ascii="Arial" w:cs="Arial" w:eastAsia="Arial" w:hAnsi="Arial"/>
                <w:sz w:val="20"/>
                <w:szCs w:val="20"/>
                <w:b w:val="1"/>
                <w:bCs w:val="1"/>
                <w:color w:val="auto"/>
              </w:rPr>
              <w:t>279</w:t>
            </w:r>
          </w:p>
        </w:tc>
        <w:tc>
          <w:tcPr>
            <w:tcW w:w="400" w:type="dxa"/>
            <w:vAlign w:val="bottom"/>
            <w:gridSpan w:val="2"/>
          </w:tcPr>
          <w:p>
            <w:pPr>
              <w:jc w:val="right"/>
              <w:ind w:right="140"/>
              <w:spacing w:after="0" w:line="227" w:lineRule="exact"/>
              <w:rPr>
                <w:sz w:val="20"/>
                <w:szCs w:val="20"/>
                <w:color w:val="auto"/>
              </w:rPr>
            </w:pPr>
            <w:r>
              <w:rPr>
                <w:rFonts w:ascii="Arial" w:cs="Arial" w:eastAsia="Arial" w:hAnsi="Arial"/>
                <w:sz w:val="20"/>
                <w:szCs w:val="20"/>
                <w:color w:val="auto"/>
              </w:rPr>
              <w:t>$</w:t>
            </w:r>
          </w:p>
        </w:tc>
        <w:tc>
          <w:tcPr>
            <w:tcW w:w="920" w:type="dxa"/>
            <w:vAlign w:val="bottom"/>
          </w:tcPr>
          <w:p>
            <w:pPr>
              <w:jc w:val="right"/>
              <w:ind w:right="4"/>
              <w:spacing w:after="0" w:line="227" w:lineRule="exact"/>
              <w:rPr>
                <w:sz w:val="20"/>
                <w:szCs w:val="20"/>
                <w:color w:val="auto"/>
              </w:rPr>
            </w:pPr>
            <w:r>
              <w:rPr>
                <w:rFonts w:ascii="Arial" w:cs="Arial" w:eastAsia="Arial" w:hAnsi="Arial"/>
                <w:sz w:val="20"/>
                <w:szCs w:val="20"/>
                <w:color w:val="auto"/>
              </w:rPr>
              <w:t>211</w:t>
            </w:r>
          </w:p>
        </w:tc>
        <w:tc>
          <w:tcPr>
            <w:tcW w:w="400" w:type="dxa"/>
            <w:vAlign w:val="bottom"/>
            <w:gridSpan w:val="2"/>
          </w:tcPr>
          <w:p>
            <w:pPr>
              <w:jc w:val="right"/>
              <w:ind w:right="140"/>
              <w:spacing w:after="0" w:line="227" w:lineRule="exact"/>
              <w:rPr>
                <w:sz w:val="20"/>
                <w:szCs w:val="20"/>
                <w:color w:val="auto"/>
              </w:rPr>
            </w:pPr>
            <w:r>
              <w:rPr>
                <w:rFonts w:ascii="Arial" w:cs="Arial" w:eastAsia="Arial" w:hAnsi="Arial"/>
                <w:sz w:val="20"/>
                <w:szCs w:val="20"/>
                <w:color w:val="auto"/>
              </w:rPr>
              <w:t>$</w:t>
            </w:r>
          </w:p>
        </w:tc>
        <w:tc>
          <w:tcPr>
            <w:tcW w:w="920" w:type="dxa"/>
            <w:vAlign w:val="bottom"/>
          </w:tcPr>
          <w:p>
            <w:pPr>
              <w:jc w:val="right"/>
              <w:ind w:right="4"/>
              <w:spacing w:after="0" w:line="227" w:lineRule="exact"/>
              <w:rPr>
                <w:sz w:val="20"/>
                <w:szCs w:val="20"/>
                <w:color w:val="auto"/>
              </w:rPr>
            </w:pPr>
            <w:r>
              <w:rPr>
                <w:rFonts w:ascii="Arial" w:cs="Arial" w:eastAsia="Arial" w:hAnsi="Arial"/>
                <w:sz w:val="20"/>
                <w:szCs w:val="20"/>
                <w:color w:val="auto"/>
              </w:rPr>
              <w:t>210</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-43815</wp:posOffset>
            </wp:positionV>
            <wp:extent cx="2463800"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8">
                      <a:extLst>
                        <a:ext uri="{28A0092B-C50C-407E-A947-70E740481C1C}"/>
                      </a:extLst>
                    </a:blip>
                    <a:srcRect/>
                    <a:stretch>
                      <a:fillRect/>
                    </a:stretch>
                  </pic:blipFill>
                  <pic:spPr bwMode="auto">
                    <a:xfrm>
                      <a:off x="0" y="0"/>
                      <a:ext cx="2463800" cy="5080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used to determine the PBO and net periodic pension cost for these plans were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70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Pr>
          <w:p>
            <w:pPr>
              <w:jc w:val="right"/>
              <w:ind w:right="343"/>
              <w:spacing w:after="0"/>
              <w:rPr>
                <w:sz w:val="20"/>
                <w:szCs w:val="20"/>
                <w:color w:val="auto"/>
              </w:rPr>
            </w:pPr>
            <w:r>
              <w:rPr>
                <w:rFonts w:ascii="Arial" w:cs="Arial" w:eastAsia="Arial" w:hAnsi="Arial"/>
                <w:sz w:val="16"/>
                <w:szCs w:val="16"/>
                <w:b w:val="1"/>
                <w:bCs w:val="1"/>
                <w:color w:val="auto"/>
              </w:rPr>
              <w:t>2025</w:t>
            </w:r>
          </w:p>
        </w:tc>
        <w:tc>
          <w:tcPr>
            <w:tcW w:w="13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2024</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800" w:type="dxa"/>
            <w:vAlign w:val="bottom"/>
            <w:tcBorders>
              <w:top w:val="single" w:sz="8" w:color="auto"/>
              <w:bottom w:val="single" w:sz="8" w:color="D2EEF5"/>
            </w:tcBorders>
          </w:tcPr>
          <w:p>
            <w:pPr>
              <w:spacing w:after="0" w:line="20" w:lineRule="exact"/>
              <w:rPr>
                <w:sz w:val="1"/>
                <w:szCs w:val="1"/>
                <w:color w:val="auto"/>
              </w:rPr>
            </w:pPr>
          </w:p>
        </w:tc>
        <w:tc>
          <w:tcPr>
            <w:tcW w:w="5900" w:type="dxa"/>
            <w:vAlign w:val="bottom"/>
            <w:tcBorders>
              <w:bottom w:val="single" w:sz="8" w:color="D2EEF5"/>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Projected benefit obligation:</w:t>
            </w:r>
          </w:p>
        </w:tc>
        <w:tc>
          <w:tcPr>
            <w:tcW w:w="120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1200" w:type="dxa"/>
            <w:vAlign w:val="bottom"/>
            <w:shd w:val="clear" w:color="auto" w:fill="D2EEF5"/>
          </w:tcPr>
          <w:p>
            <w:pPr>
              <w:spacing w:after="0"/>
              <w:rPr>
                <w:sz w:val="23"/>
                <w:szCs w:val="23"/>
                <w:color w:val="auto"/>
              </w:rPr>
            </w:pPr>
          </w:p>
        </w:tc>
      </w:tr>
      <w:tr>
        <w:trPr>
          <w:trHeight w:val="278"/>
        </w:trPr>
        <w:tc>
          <w:tcPr>
            <w:tcW w:w="40" w:type="dxa"/>
            <w:vAlign w:val="bottom"/>
          </w:tcPr>
          <w:p>
            <w:pPr>
              <w:spacing w:after="0"/>
              <w:rPr>
                <w:sz w:val="24"/>
                <w:szCs w:val="24"/>
                <w:color w:val="auto"/>
              </w:rPr>
            </w:pPr>
          </w:p>
        </w:tc>
        <w:tc>
          <w:tcPr>
            <w:tcW w:w="7700" w:type="dxa"/>
            <w:vAlign w:val="bottom"/>
            <w:gridSpan w:val="2"/>
          </w:tcPr>
          <w:p>
            <w:pPr>
              <w:ind w:left="480"/>
              <w:spacing w:after="0"/>
              <w:rPr>
                <w:sz w:val="20"/>
                <w:szCs w:val="20"/>
                <w:color w:val="auto"/>
              </w:rPr>
            </w:pPr>
            <w:r>
              <w:rPr>
                <w:rFonts w:ascii="Arial" w:cs="Arial" w:eastAsia="Arial" w:hAnsi="Arial"/>
                <w:sz w:val="20"/>
                <w:szCs w:val="20"/>
                <w:color w:val="auto"/>
              </w:rPr>
              <w:t>Discount rate</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4.82 %</w:t>
            </w: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4.65 %</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2"/>
            <w:shd w:val="clear" w:color="auto" w:fill="D2EEF5"/>
          </w:tcPr>
          <w:p>
            <w:pPr>
              <w:ind w:left="480"/>
              <w:spacing w:after="0"/>
              <w:rPr>
                <w:sz w:val="20"/>
                <w:szCs w:val="20"/>
                <w:color w:val="auto"/>
              </w:rPr>
            </w:pPr>
            <w:r>
              <w:rPr>
                <w:rFonts w:ascii="Arial" w:cs="Arial" w:eastAsia="Arial" w:hAnsi="Arial"/>
                <w:sz w:val="20"/>
                <w:szCs w:val="20"/>
                <w:color w:val="auto"/>
              </w:rPr>
              <w:t>Rate of compensation increase</w:t>
            </w:r>
          </w:p>
        </w:tc>
        <w:tc>
          <w:tcPr>
            <w:tcW w:w="12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3.00 %</w:t>
            </w:r>
          </w:p>
        </w:tc>
        <w:tc>
          <w:tcPr>
            <w:tcW w:w="1320" w:type="dxa"/>
            <w:vAlign w:val="bottom"/>
            <w:gridSpan w:val="2"/>
            <w:shd w:val="clear" w:color="auto" w:fill="D2EEF5"/>
          </w:tcPr>
          <w:p>
            <w:pPr>
              <w:jc w:val="right"/>
              <w:ind w:right="20"/>
              <w:spacing w:after="0"/>
              <w:rPr>
                <w:sz w:val="20"/>
                <w:szCs w:val="20"/>
                <w:color w:val="auto"/>
              </w:rPr>
            </w:pPr>
            <w:r>
              <w:rPr>
                <w:rFonts w:ascii="Arial" w:cs="Arial" w:eastAsia="Arial" w:hAnsi="Arial"/>
                <w:sz w:val="20"/>
                <w:szCs w:val="20"/>
                <w:color w:val="auto"/>
              </w:rPr>
              <w:t>3.00 %</w:t>
            </w:r>
          </w:p>
        </w:tc>
      </w:tr>
      <w:tr>
        <w:trPr>
          <w:trHeight w:val="278"/>
        </w:trPr>
        <w:tc>
          <w:tcPr>
            <w:tcW w:w="40" w:type="dxa"/>
            <w:vAlign w:val="bottom"/>
          </w:tcPr>
          <w:p>
            <w:pPr>
              <w:spacing w:after="0"/>
              <w:rPr>
                <w:sz w:val="24"/>
                <w:szCs w:val="24"/>
                <w:color w:val="auto"/>
              </w:rPr>
            </w:pPr>
          </w:p>
        </w:tc>
        <w:tc>
          <w:tcPr>
            <w:tcW w:w="7700" w:type="dxa"/>
            <w:vAlign w:val="bottom"/>
            <w:gridSpan w:val="2"/>
          </w:tcPr>
          <w:p>
            <w:pPr>
              <w:ind w:left="480"/>
              <w:spacing w:after="0"/>
              <w:rPr>
                <w:sz w:val="20"/>
                <w:szCs w:val="20"/>
                <w:color w:val="auto"/>
              </w:rPr>
            </w:pPr>
            <w:r>
              <w:rPr>
                <w:rFonts w:ascii="Arial" w:cs="Arial" w:eastAsia="Arial" w:hAnsi="Arial"/>
                <w:sz w:val="20"/>
                <w:szCs w:val="20"/>
                <w:color w:val="auto"/>
              </w:rPr>
              <w:t>Initial health care cost trend rate</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7.00 %</w:t>
            </w: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7.00 %</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2"/>
            <w:shd w:val="clear" w:color="auto" w:fill="D2EEF5"/>
          </w:tcPr>
          <w:p>
            <w:pPr>
              <w:ind w:left="480"/>
              <w:spacing w:after="0"/>
              <w:rPr>
                <w:sz w:val="20"/>
                <w:szCs w:val="20"/>
                <w:color w:val="auto"/>
              </w:rPr>
            </w:pPr>
            <w:r>
              <w:rPr>
                <w:rFonts w:ascii="Arial" w:cs="Arial" w:eastAsia="Arial" w:hAnsi="Arial"/>
                <w:sz w:val="20"/>
                <w:szCs w:val="20"/>
                <w:color w:val="auto"/>
              </w:rPr>
              <w:t>Ultimate health care cost trend rate</w:t>
            </w:r>
          </w:p>
        </w:tc>
        <w:tc>
          <w:tcPr>
            <w:tcW w:w="12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4.00 %</w:t>
            </w:r>
          </w:p>
        </w:tc>
        <w:tc>
          <w:tcPr>
            <w:tcW w:w="1320" w:type="dxa"/>
            <w:vAlign w:val="bottom"/>
            <w:gridSpan w:val="2"/>
            <w:shd w:val="clear" w:color="auto" w:fill="D2EEF5"/>
          </w:tcPr>
          <w:p>
            <w:pPr>
              <w:jc w:val="right"/>
              <w:ind w:right="20"/>
              <w:spacing w:after="0"/>
              <w:rPr>
                <w:sz w:val="20"/>
                <w:szCs w:val="20"/>
                <w:color w:val="auto"/>
              </w:rPr>
            </w:pPr>
            <w:r>
              <w:rPr>
                <w:rFonts w:ascii="Arial" w:cs="Arial" w:eastAsia="Arial" w:hAnsi="Arial"/>
                <w:sz w:val="20"/>
                <w:szCs w:val="20"/>
                <w:color w:val="auto"/>
              </w:rPr>
              <w:t>4.00 %</w:t>
            </w:r>
          </w:p>
        </w:tc>
      </w:tr>
      <w:tr>
        <w:trPr>
          <w:trHeight w:val="278"/>
        </w:trPr>
        <w:tc>
          <w:tcPr>
            <w:tcW w:w="40" w:type="dxa"/>
            <w:vAlign w:val="bottom"/>
          </w:tcPr>
          <w:p>
            <w:pPr>
              <w:spacing w:after="0"/>
              <w:rPr>
                <w:sz w:val="24"/>
                <w:szCs w:val="24"/>
                <w:color w:val="auto"/>
              </w:rPr>
            </w:pPr>
          </w:p>
        </w:tc>
        <w:tc>
          <w:tcPr>
            <w:tcW w:w="7700" w:type="dxa"/>
            <w:vAlign w:val="bottom"/>
            <w:gridSpan w:val="2"/>
          </w:tcPr>
          <w:p>
            <w:pPr>
              <w:ind w:left="480"/>
              <w:spacing w:after="0"/>
              <w:rPr>
                <w:sz w:val="20"/>
                <w:szCs w:val="20"/>
                <w:color w:val="auto"/>
              </w:rPr>
            </w:pPr>
            <w:r>
              <w:rPr>
                <w:rFonts w:ascii="Arial" w:cs="Arial" w:eastAsia="Arial" w:hAnsi="Arial"/>
                <w:sz w:val="20"/>
                <w:szCs w:val="20"/>
                <w:color w:val="auto"/>
              </w:rPr>
              <w:t>Years until ultimate trend rate is reached</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15</w:t>
            </w:r>
          </w:p>
        </w:tc>
        <w:tc>
          <w:tcPr>
            <w:tcW w:w="1320" w:type="dxa"/>
            <w:vAlign w:val="bottom"/>
            <w:gridSpan w:val="2"/>
          </w:tcPr>
          <w:p>
            <w:pPr>
              <w:jc w:val="right"/>
              <w:ind w:right="60"/>
              <w:spacing w:after="0"/>
              <w:rPr>
                <w:sz w:val="20"/>
                <w:szCs w:val="20"/>
                <w:color w:val="auto"/>
              </w:rPr>
            </w:pPr>
            <w:r>
              <w:rPr>
                <w:rFonts w:ascii="Arial" w:cs="Arial" w:eastAsia="Arial" w:hAnsi="Arial"/>
                <w:sz w:val="20"/>
                <w:szCs w:val="20"/>
                <w:color w:val="auto"/>
              </w:rPr>
              <w:t>15</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Benefit cost:</w:t>
            </w:r>
          </w:p>
        </w:tc>
        <w:tc>
          <w:tcPr>
            <w:tcW w:w="120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200" w:type="dxa"/>
            <w:vAlign w:val="bottom"/>
            <w:shd w:val="clear" w:color="auto" w:fill="D2EEF5"/>
          </w:tcPr>
          <w:p>
            <w:pPr>
              <w:spacing w:after="0"/>
              <w:rPr>
                <w:sz w:val="24"/>
                <w:szCs w:val="24"/>
                <w:color w:val="auto"/>
              </w:rPr>
            </w:pPr>
          </w:p>
        </w:tc>
      </w:tr>
      <w:tr>
        <w:trPr>
          <w:trHeight w:val="278"/>
        </w:trPr>
        <w:tc>
          <w:tcPr>
            <w:tcW w:w="40" w:type="dxa"/>
            <w:vAlign w:val="bottom"/>
          </w:tcPr>
          <w:p>
            <w:pPr>
              <w:spacing w:after="0"/>
              <w:rPr>
                <w:sz w:val="24"/>
                <w:szCs w:val="24"/>
                <w:color w:val="auto"/>
              </w:rPr>
            </w:pPr>
          </w:p>
        </w:tc>
        <w:tc>
          <w:tcPr>
            <w:tcW w:w="7700" w:type="dxa"/>
            <w:vAlign w:val="bottom"/>
            <w:gridSpan w:val="2"/>
          </w:tcPr>
          <w:p>
            <w:pPr>
              <w:ind w:left="480"/>
              <w:spacing w:after="0"/>
              <w:rPr>
                <w:sz w:val="20"/>
                <w:szCs w:val="20"/>
                <w:color w:val="auto"/>
              </w:rPr>
            </w:pPr>
            <w:r>
              <w:rPr>
                <w:rFonts w:ascii="Arial" w:cs="Arial" w:eastAsia="Arial" w:hAnsi="Arial"/>
                <w:sz w:val="20"/>
                <w:szCs w:val="20"/>
                <w:color w:val="auto"/>
              </w:rPr>
              <w:t>Discount rate</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4.65 %</w:t>
            </w: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4.65 %</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2"/>
            <w:shd w:val="clear" w:color="auto" w:fill="D2EEF5"/>
          </w:tcPr>
          <w:p>
            <w:pPr>
              <w:ind w:left="480"/>
              <w:spacing w:after="0"/>
              <w:rPr>
                <w:sz w:val="20"/>
                <w:szCs w:val="20"/>
                <w:color w:val="auto"/>
              </w:rPr>
            </w:pPr>
            <w:r>
              <w:rPr>
                <w:rFonts w:ascii="Arial" w:cs="Arial" w:eastAsia="Arial" w:hAnsi="Arial"/>
                <w:sz w:val="20"/>
                <w:szCs w:val="20"/>
                <w:color w:val="auto"/>
              </w:rPr>
              <w:t>Rate of compensation increase</w:t>
            </w:r>
          </w:p>
        </w:tc>
        <w:tc>
          <w:tcPr>
            <w:tcW w:w="12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3.00 %</w:t>
            </w:r>
          </w:p>
        </w:tc>
        <w:tc>
          <w:tcPr>
            <w:tcW w:w="1320" w:type="dxa"/>
            <w:vAlign w:val="bottom"/>
            <w:gridSpan w:val="2"/>
            <w:shd w:val="clear" w:color="auto" w:fill="D2EEF5"/>
          </w:tcPr>
          <w:p>
            <w:pPr>
              <w:jc w:val="right"/>
              <w:ind w:right="20"/>
              <w:spacing w:after="0"/>
              <w:rPr>
                <w:sz w:val="20"/>
                <w:szCs w:val="20"/>
                <w:color w:val="auto"/>
              </w:rPr>
            </w:pPr>
            <w:r>
              <w:rPr>
                <w:rFonts w:ascii="Arial" w:cs="Arial" w:eastAsia="Arial" w:hAnsi="Arial"/>
                <w:sz w:val="20"/>
                <w:szCs w:val="20"/>
                <w:color w:val="auto"/>
              </w:rPr>
              <w:t>3.00 %</w:t>
            </w:r>
          </w:p>
        </w:tc>
      </w:tr>
    </w:tbl>
    <w:p>
      <w:pPr>
        <w:spacing w:after="0" w:line="237" w:lineRule="exact"/>
        <w:rPr>
          <w:sz w:val="20"/>
          <w:szCs w:val="20"/>
          <w:color w:val="auto"/>
        </w:rPr>
      </w:pPr>
    </w:p>
    <w:p>
      <w:pPr>
        <w:ind w:right="540"/>
        <w:spacing w:after="0" w:line="266" w:lineRule="auto"/>
        <w:rPr>
          <w:sz w:val="20"/>
          <w:szCs w:val="20"/>
          <w:color w:val="auto"/>
        </w:rPr>
      </w:pPr>
      <w:r>
        <w:rPr>
          <w:rFonts w:ascii="Arial" w:cs="Arial" w:eastAsia="Arial" w:hAnsi="Arial"/>
          <w:sz w:val="20"/>
          <w:szCs w:val="20"/>
          <w:color w:val="auto"/>
        </w:rPr>
        <w:t>Assumed health care cost trend rates have a significant effect on the amounts reported for the health care plans. A one-percentage point change in assumed health care cost trend rates would have had the following impact on our consolidated financial statements in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7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160" w:type="dxa"/>
            <w:vAlign w:val="bottom"/>
          </w:tcPr>
          <w:p>
            <w:pPr>
              <w:spacing w:after="0"/>
              <w:rPr>
                <w:sz w:val="16"/>
                <w:szCs w:val="16"/>
                <w:color w:val="auto"/>
              </w:rPr>
            </w:pPr>
          </w:p>
        </w:tc>
        <w:tc>
          <w:tcPr>
            <w:tcW w:w="1040" w:type="dxa"/>
            <w:vAlign w:val="bottom"/>
          </w:tcPr>
          <w:p>
            <w:pPr>
              <w:jc w:val="right"/>
              <w:ind w:right="87"/>
              <w:spacing w:after="0"/>
              <w:rPr>
                <w:sz w:val="20"/>
                <w:szCs w:val="20"/>
                <w:color w:val="auto"/>
              </w:rPr>
            </w:pPr>
            <w:r>
              <w:rPr>
                <w:rFonts w:ascii="Arial" w:cs="Arial" w:eastAsia="Arial" w:hAnsi="Arial"/>
                <w:sz w:val="16"/>
                <w:szCs w:val="16"/>
                <w:b w:val="1"/>
                <w:bCs w:val="1"/>
                <w:color w:val="auto"/>
                <w:w w:val="90"/>
              </w:rPr>
              <w:t>1% Increase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67"/>
              <w:spacing w:after="0"/>
              <w:rPr>
                <w:sz w:val="20"/>
                <w:szCs w:val="20"/>
                <w:color w:val="auto"/>
              </w:rPr>
            </w:pPr>
            <w:r>
              <w:rPr>
                <w:rFonts w:ascii="Arial" w:cs="Arial" w:eastAsia="Arial" w:hAnsi="Arial"/>
                <w:sz w:val="16"/>
                <w:szCs w:val="16"/>
                <w:b w:val="1"/>
                <w:bCs w:val="1"/>
                <w:color w:val="auto"/>
                <w:w w:val="89"/>
              </w:rPr>
              <w:t>1% Decrease</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596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Change in net periodic benefit cost</w:t>
            </w:r>
          </w:p>
        </w:tc>
        <w:tc>
          <w:tcPr>
            <w:tcW w:w="16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shd w:val="clear" w:color="auto" w:fill="D2EEF5"/>
          </w:tcPr>
          <w:p>
            <w:pPr>
              <w:jc w:val="right"/>
              <w:ind w:right="7"/>
              <w:spacing w:after="0"/>
              <w:rPr>
                <w:sz w:val="20"/>
                <w:szCs w:val="20"/>
                <w:color w:val="auto"/>
              </w:rPr>
            </w:pPr>
            <w:r>
              <w:rPr>
                <w:rFonts w:ascii="Arial" w:cs="Arial" w:eastAsia="Arial" w:hAnsi="Arial"/>
                <w:sz w:val="20"/>
                <w:szCs w:val="20"/>
                <w:b w:val="1"/>
                <w:bCs w:val="1"/>
                <w:color w:val="auto"/>
              </w:rPr>
              <w:t>21</w:t>
            </w:r>
          </w:p>
        </w:tc>
        <w:tc>
          <w:tcPr>
            <w:tcW w:w="120" w:type="dxa"/>
            <w:vAlign w:val="bottom"/>
            <w:shd w:val="clear" w:color="auto" w:fill="D2EEF5"/>
          </w:tcPr>
          <w:p>
            <w:pPr>
              <w:spacing w:after="0"/>
              <w:rPr>
                <w:sz w:val="23"/>
                <w:szCs w:val="23"/>
                <w:color w:val="auto"/>
              </w:rPr>
            </w:pPr>
          </w:p>
        </w:tc>
        <w:tc>
          <w:tcPr>
            <w:tcW w:w="14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(18)</w:t>
            </w:r>
          </w:p>
        </w:tc>
      </w:tr>
      <w:tr>
        <w:trPr>
          <w:trHeight w:val="272"/>
        </w:trPr>
        <w:tc>
          <w:tcPr>
            <w:tcW w:w="40" w:type="dxa"/>
            <w:vAlign w:val="bottom"/>
          </w:tcPr>
          <w:p>
            <w:pPr>
              <w:spacing w:after="0"/>
              <w:rPr>
                <w:sz w:val="23"/>
                <w:szCs w:val="23"/>
                <w:color w:val="auto"/>
              </w:rPr>
            </w:pPr>
          </w:p>
        </w:tc>
        <w:tc>
          <w:tcPr>
            <w:tcW w:w="7700" w:type="dxa"/>
            <w:vAlign w:val="bottom"/>
            <w:gridSpan w:val="2"/>
          </w:tcPr>
          <w:p>
            <w:pPr>
              <w:spacing w:after="0"/>
              <w:rPr>
                <w:sz w:val="20"/>
                <w:szCs w:val="20"/>
                <w:color w:val="auto"/>
              </w:rPr>
            </w:pPr>
            <w:r>
              <w:rPr>
                <w:rFonts w:ascii="Arial" w:cs="Arial" w:eastAsia="Arial" w:hAnsi="Arial"/>
                <w:sz w:val="20"/>
                <w:szCs w:val="20"/>
                <w:color w:val="auto"/>
              </w:rPr>
              <w:t>Change in projected benefit obligation</w:t>
            </w:r>
          </w:p>
        </w:tc>
        <w:tc>
          <w:tcPr>
            <w:tcW w:w="160" w:type="dxa"/>
            <w:vAlign w:val="bottom"/>
          </w:tcPr>
          <w:p>
            <w:pPr>
              <w:spacing w:after="0"/>
              <w:rPr>
                <w:sz w:val="23"/>
                <w:szCs w:val="23"/>
                <w:color w:val="auto"/>
              </w:rPr>
            </w:pPr>
          </w:p>
        </w:tc>
        <w:tc>
          <w:tcPr>
            <w:tcW w:w="1040" w:type="dxa"/>
            <w:vAlign w:val="bottom"/>
          </w:tcPr>
          <w:p>
            <w:pPr>
              <w:jc w:val="right"/>
              <w:ind w:right="7"/>
              <w:spacing w:after="0"/>
              <w:rPr>
                <w:sz w:val="20"/>
                <w:szCs w:val="20"/>
                <w:color w:val="auto"/>
              </w:rPr>
            </w:pPr>
            <w:r>
              <w:rPr>
                <w:rFonts w:ascii="Arial" w:cs="Arial" w:eastAsia="Arial" w:hAnsi="Arial"/>
                <w:sz w:val="20"/>
                <w:szCs w:val="20"/>
                <w:b w:val="1"/>
                <w:bCs w:val="1"/>
                <w:color w:val="auto"/>
              </w:rPr>
              <w:t>510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(434)</w:t>
            </w:r>
          </w:p>
        </w:tc>
      </w:tr>
    </w:tbl>
    <w:p>
      <w:pPr>
        <w:spacing w:after="0" w:line="200" w:lineRule="exact"/>
        <w:rPr>
          <w:sz w:val="20"/>
          <w:szCs w:val="20"/>
          <w:color w:val="auto"/>
        </w:rPr>
      </w:pPr>
    </w:p>
    <w:p>
      <w:pPr>
        <w:sectPr>
          <w:pgSz w:w="11880" w:h="15480" w:orient="portrait"/>
          <w:cols w:equalWidth="0" w:num="1">
            <w:col w:w="10260"/>
          </w:cols>
          <w:pgMar w:left="82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0260"/>
          </w:cols>
          <w:pgMar w:left="820" w:top="422" w:right="800" w:bottom="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color w:val="auto"/>
        </w:rPr>
        <w:t>The changes in the projected benefit obligation and the funded status of the other post-retirement plans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9"/>
                <w:szCs w:val="19"/>
                <w:color w:val="auto"/>
              </w:rPr>
            </w:pPr>
          </w:p>
        </w:tc>
        <w:tc>
          <w:tcPr>
            <w:tcW w:w="920" w:type="dxa"/>
            <w:vAlign w:val="bottom"/>
          </w:tcPr>
          <w:p>
            <w:pPr>
              <w:jc w:val="right"/>
              <w:ind w:right="34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1"/>
              <w:spacing w:after="0"/>
              <w:rPr>
                <w:sz w:val="20"/>
                <w:szCs w:val="20"/>
                <w:color w:val="auto"/>
              </w:rPr>
            </w:pPr>
            <w:r>
              <w:rPr>
                <w:rFonts w:ascii="Arial" w:cs="Arial" w:eastAsia="Arial" w:hAnsi="Arial"/>
                <w:sz w:val="16"/>
                <w:szCs w:val="16"/>
                <w:b w:val="1"/>
                <w:bCs w:val="1"/>
                <w:color w:val="auto"/>
              </w:rPr>
              <w:t>2024</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420" w:type="dxa"/>
            <w:vAlign w:val="bottom"/>
            <w:tcBorders>
              <w:bottom w:val="single" w:sz="8" w:color="D2EEF5"/>
            </w:tcBorders>
          </w:tcPr>
          <w:p>
            <w:pPr>
              <w:spacing w:after="0" w:line="20" w:lineRule="exact"/>
              <w:rPr>
                <w:sz w:val="1"/>
                <w:szCs w:val="1"/>
                <w:color w:val="auto"/>
              </w:rPr>
            </w:pPr>
          </w:p>
        </w:tc>
        <w:tc>
          <w:tcPr>
            <w:tcW w:w="596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5"/>
        </w:trPr>
        <w:tc>
          <w:tcPr>
            <w:tcW w:w="40" w:type="dxa"/>
            <w:vAlign w:val="bottom"/>
            <w:tcBorders>
              <w:bottom w:val="single" w:sz="8" w:color="D2EEF5"/>
            </w:tcBorders>
            <w:shd w:val="clear" w:color="auto" w:fill="D2EEF5"/>
          </w:tcPr>
          <w:p>
            <w:pPr>
              <w:spacing w:after="0"/>
              <w:rPr>
                <w:sz w:val="22"/>
                <w:szCs w:val="22"/>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Change in projected benefit obligation:</w:t>
            </w:r>
          </w:p>
        </w:tc>
        <w:tc>
          <w:tcPr>
            <w:tcW w:w="280" w:type="dxa"/>
            <w:vAlign w:val="bottom"/>
            <w:tcBorders>
              <w:bottom w:val="single" w:sz="8" w:color="D2EEF5"/>
            </w:tcBorders>
            <w:shd w:val="clear" w:color="auto" w:fill="D2EEF5"/>
          </w:tcPr>
          <w:p>
            <w:pPr>
              <w:spacing w:after="0"/>
              <w:rPr>
                <w:sz w:val="22"/>
                <w:szCs w:val="22"/>
                <w:color w:val="auto"/>
              </w:rPr>
            </w:pPr>
          </w:p>
        </w:tc>
        <w:tc>
          <w:tcPr>
            <w:tcW w:w="920" w:type="dxa"/>
            <w:vAlign w:val="bottom"/>
            <w:tcBorders>
              <w:bottom w:val="single" w:sz="8" w:color="D2EEF5"/>
            </w:tcBorders>
            <w:shd w:val="clear" w:color="auto" w:fill="D2EEF5"/>
          </w:tcPr>
          <w:p>
            <w:pPr>
              <w:spacing w:after="0"/>
              <w:rPr>
                <w:sz w:val="22"/>
                <w:szCs w:val="22"/>
                <w:color w:val="auto"/>
              </w:rPr>
            </w:pPr>
          </w:p>
        </w:tc>
        <w:tc>
          <w:tcPr>
            <w:tcW w:w="120" w:type="dxa"/>
            <w:vAlign w:val="bottom"/>
            <w:tcBorders>
              <w:bottom w:val="single" w:sz="8" w:color="D2EEF5"/>
            </w:tcBorders>
            <w:shd w:val="clear" w:color="auto" w:fill="D2EEF5"/>
          </w:tcPr>
          <w:p>
            <w:pPr>
              <w:spacing w:after="0"/>
              <w:rPr>
                <w:sz w:val="22"/>
                <w:szCs w:val="22"/>
                <w:color w:val="auto"/>
              </w:rPr>
            </w:pPr>
          </w:p>
        </w:tc>
        <w:tc>
          <w:tcPr>
            <w:tcW w:w="280" w:type="dxa"/>
            <w:vAlign w:val="bottom"/>
            <w:tcBorders>
              <w:bottom w:val="single" w:sz="8" w:color="D2EEF5"/>
            </w:tcBorders>
            <w:shd w:val="clear" w:color="auto" w:fill="D2EEF5"/>
          </w:tcPr>
          <w:p>
            <w:pPr>
              <w:spacing w:after="0"/>
              <w:rPr>
                <w:sz w:val="22"/>
                <w:szCs w:val="22"/>
                <w:color w:val="auto"/>
              </w:rPr>
            </w:pPr>
          </w:p>
        </w:tc>
        <w:tc>
          <w:tcPr>
            <w:tcW w:w="920" w:type="dxa"/>
            <w:vAlign w:val="bottom"/>
            <w:tcBorders>
              <w:bottom w:val="single" w:sz="8" w:color="D2EEF5"/>
            </w:tcBorders>
            <w:shd w:val="clear" w:color="auto" w:fill="D2EEF5"/>
          </w:tcPr>
          <w:p>
            <w:pPr>
              <w:spacing w:after="0"/>
              <w:rPr>
                <w:sz w:val="22"/>
                <w:szCs w:val="22"/>
                <w:color w:val="auto"/>
              </w:rPr>
            </w:pP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Projected benefit obligation</w:t>
            </w:r>
          </w:p>
        </w:tc>
        <w:tc>
          <w:tcPr>
            <w:tcW w:w="28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8,375</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8,964</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Service cost</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5</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10</w:t>
            </w: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Interest cost</w:t>
            </w: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343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371</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Benefits paid</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(512)</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(609)</w:t>
            </w: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Actuarial (gain) loss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(311)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211</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Plan participant contributions</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131</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132</w:t>
            </w:r>
          </w:p>
        </w:tc>
      </w:tr>
      <w:tr>
        <w:trPr>
          <w:trHeight w:val="275"/>
        </w:trPr>
        <w:tc>
          <w:tcPr>
            <w:tcW w:w="40" w:type="dxa"/>
            <w:vAlign w:val="bottom"/>
            <w:tcBorders>
              <w:bottom w:val="single" w:sz="8" w:color="D2EEF5"/>
            </w:tcBorders>
          </w:tcPr>
          <w:p>
            <w:pPr>
              <w:spacing w:after="0"/>
              <w:rPr>
                <w:sz w:val="23"/>
                <w:szCs w:val="23"/>
                <w:color w:val="auto"/>
              </w:rPr>
            </w:pPr>
          </w:p>
        </w:tc>
        <w:tc>
          <w:tcPr>
            <w:tcW w:w="7700" w:type="dxa"/>
            <w:vAlign w:val="bottom"/>
            <w:tcBorders>
              <w:bottom w:val="single" w:sz="8" w:color="D2EEF5"/>
            </w:tcBorders>
            <w:gridSpan w:val="3"/>
          </w:tcPr>
          <w:p>
            <w:pPr>
              <w:ind w:left="480"/>
              <w:spacing w:after="0"/>
              <w:rPr>
                <w:sz w:val="20"/>
                <w:szCs w:val="20"/>
                <w:color w:val="auto"/>
              </w:rPr>
            </w:pPr>
            <w:r>
              <w:rPr>
                <w:rFonts w:ascii="Arial" w:cs="Arial" w:eastAsia="Arial" w:hAnsi="Arial"/>
                <w:sz w:val="20"/>
                <w:szCs w:val="20"/>
                <w:color w:val="auto"/>
              </w:rPr>
              <w:t>Foreign currency exchange rate changes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398</w:t>
            </w:r>
          </w:p>
        </w:tc>
        <w:tc>
          <w:tcPr>
            <w:tcW w:w="1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(704)</w:t>
            </w:r>
          </w:p>
        </w:tc>
      </w:tr>
      <w:tr>
        <w:trPr>
          <w:trHeight w:val="95"/>
        </w:trPr>
        <w:tc>
          <w:tcPr>
            <w:tcW w:w="40" w:type="dxa"/>
            <w:vAlign w:val="bottom"/>
            <w:shd w:val="clear" w:color="auto" w:fill="D2EEF5"/>
          </w:tcPr>
          <w:p>
            <w:pPr>
              <w:spacing w:after="0"/>
              <w:rPr>
                <w:sz w:val="8"/>
                <w:szCs w:val="8"/>
                <w:color w:val="auto"/>
              </w:rPr>
            </w:pPr>
          </w:p>
        </w:tc>
        <w:tc>
          <w:tcPr>
            <w:tcW w:w="1320" w:type="dxa"/>
            <w:vAlign w:val="bottom"/>
            <w:shd w:val="clear" w:color="auto" w:fill="D2EEF5"/>
          </w:tcPr>
          <w:p>
            <w:pPr>
              <w:spacing w:after="0"/>
              <w:rPr>
                <w:sz w:val="8"/>
                <w:szCs w:val="8"/>
                <w:color w:val="auto"/>
              </w:rPr>
            </w:pPr>
          </w:p>
        </w:tc>
        <w:tc>
          <w:tcPr>
            <w:tcW w:w="420" w:type="dxa"/>
            <w:vAlign w:val="bottom"/>
            <w:shd w:val="clear" w:color="auto" w:fill="D2EEF5"/>
          </w:tcPr>
          <w:p>
            <w:pPr>
              <w:spacing w:after="0"/>
              <w:rPr>
                <w:sz w:val="8"/>
                <w:szCs w:val="8"/>
                <w:color w:val="auto"/>
              </w:rPr>
            </w:pPr>
          </w:p>
        </w:tc>
        <w:tc>
          <w:tcPr>
            <w:tcW w:w="5960" w:type="dxa"/>
            <w:vAlign w:val="bottom"/>
            <w:shd w:val="clear" w:color="auto" w:fill="D2EEF5"/>
          </w:tcPr>
          <w:p>
            <w:pPr>
              <w:spacing w:after="0"/>
              <w:rPr>
                <w:sz w:val="8"/>
                <w:szCs w:val="8"/>
                <w:color w:val="auto"/>
              </w:rPr>
            </w:pPr>
          </w:p>
        </w:tc>
        <w:tc>
          <w:tcPr>
            <w:tcW w:w="280" w:type="dxa"/>
            <w:vAlign w:val="bottom"/>
            <w:shd w:val="clear" w:color="auto" w:fill="D2EEF5"/>
          </w:tcPr>
          <w:p>
            <w:pPr>
              <w:spacing w:after="0"/>
              <w:rPr>
                <w:sz w:val="8"/>
                <w:szCs w:val="8"/>
                <w:color w:val="auto"/>
              </w:rPr>
            </w:pPr>
          </w:p>
        </w:tc>
        <w:tc>
          <w:tcPr>
            <w:tcW w:w="920" w:type="dxa"/>
            <w:vAlign w:val="bottom"/>
            <w:shd w:val="clear" w:color="auto" w:fill="D2EEF5"/>
          </w:tcPr>
          <w:p>
            <w:pPr>
              <w:spacing w:after="0"/>
              <w:rPr>
                <w:sz w:val="8"/>
                <w:szCs w:val="8"/>
                <w:color w:val="auto"/>
              </w:rPr>
            </w:pPr>
          </w:p>
        </w:tc>
        <w:tc>
          <w:tcPr>
            <w:tcW w:w="120" w:type="dxa"/>
            <w:vAlign w:val="bottom"/>
            <w:shd w:val="clear" w:color="auto" w:fill="D2EEF5"/>
          </w:tcPr>
          <w:p>
            <w:pPr>
              <w:spacing w:after="0"/>
              <w:rPr>
                <w:sz w:val="8"/>
                <w:szCs w:val="8"/>
                <w:color w:val="auto"/>
              </w:rPr>
            </w:pPr>
          </w:p>
        </w:tc>
        <w:tc>
          <w:tcPr>
            <w:tcW w:w="280" w:type="dxa"/>
            <w:vAlign w:val="bottom"/>
            <w:shd w:val="clear" w:color="auto" w:fill="D2EEF5"/>
          </w:tcPr>
          <w:p>
            <w:pPr>
              <w:spacing w:after="0"/>
              <w:rPr>
                <w:sz w:val="8"/>
                <w:szCs w:val="8"/>
                <w:color w:val="auto"/>
              </w:rPr>
            </w:pPr>
          </w:p>
        </w:tc>
        <w:tc>
          <w:tcPr>
            <w:tcW w:w="920" w:type="dxa"/>
            <w:vAlign w:val="bottom"/>
            <w:shd w:val="clear" w:color="auto" w:fill="D2EEF5"/>
          </w:tcPr>
          <w:p>
            <w:pPr>
              <w:spacing w:after="0"/>
              <w:rPr>
                <w:sz w:val="8"/>
                <w:szCs w:val="8"/>
                <w:color w:val="auto"/>
              </w:rPr>
            </w:pPr>
          </w:p>
        </w:tc>
      </w:tr>
      <w:tr>
        <w:trPr>
          <w:trHeight w:val="255"/>
        </w:trPr>
        <w:tc>
          <w:tcPr>
            <w:tcW w:w="40" w:type="dxa"/>
            <w:vAlign w:val="bottom"/>
          </w:tcPr>
          <w:p>
            <w:pPr>
              <w:spacing w:after="0"/>
              <w:rPr>
                <w:sz w:val="22"/>
                <w:szCs w:val="22"/>
                <w:color w:val="auto"/>
              </w:rPr>
            </w:pPr>
          </w:p>
        </w:tc>
        <w:tc>
          <w:tcPr>
            <w:tcW w:w="7700" w:type="dxa"/>
            <w:vAlign w:val="bottom"/>
            <w:gridSpan w:val="3"/>
          </w:tcPr>
          <w:p>
            <w:pPr>
              <w:spacing w:after="0"/>
              <w:rPr>
                <w:sz w:val="20"/>
                <w:szCs w:val="20"/>
                <w:color w:val="auto"/>
              </w:rPr>
            </w:pPr>
            <w:r>
              <w:rPr>
                <w:rFonts w:ascii="Arial" w:cs="Arial" w:eastAsia="Arial" w:hAnsi="Arial"/>
                <w:sz w:val="20"/>
                <w:szCs w:val="20"/>
                <w:b w:val="1"/>
                <w:bCs w:val="1"/>
                <w:color w:val="auto"/>
              </w:rPr>
              <w:t>Projected benefit obligation, end of year</w:t>
            </w:r>
          </w:p>
        </w:tc>
        <w:tc>
          <w:tcPr>
            <w:tcW w:w="28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8,429</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8,375</w:t>
            </w:r>
          </w:p>
        </w:tc>
      </w:tr>
      <w:tr>
        <w:trPr>
          <w:trHeight w:val="20"/>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bottom w:val="single" w:sz="8" w:color="D2EEF5"/>
            </w:tcBorders>
          </w:tcPr>
          <w:p>
            <w:pPr>
              <w:spacing w:after="0" w:line="20" w:lineRule="exact"/>
              <w:rPr>
                <w:sz w:val="1"/>
                <w:szCs w:val="1"/>
                <w:color w:val="auto"/>
              </w:rPr>
            </w:pPr>
          </w:p>
        </w:tc>
        <w:tc>
          <w:tcPr>
            <w:tcW w:w="420" w:type="dxa"/>
            <w:vAlign w:val="bottom"/>
            <w:tcBorders>
              <w:bottom w:val="single" w:sz="8" w:color="D2EEF5"/>
            </w:tcBorders>
          </w:tcPr>
          <w:p>
            <w:pPr>
              <w:spacing w:after="0" w:line="20" w:lineRule="exact"/>
              <w:rPr>
                <w:sz w:val="1"/>
                <w:szCs w:val="1"/>
                <w:color w:val="auto"/>
              </w:rPr>
            </w:pPr>
          </w:p>
        </w:tc>
        <w:tc>
          <w:tcPr>
            <w:tcW w:w="5960" w:type="dxa"/>
            <w:vAlign w:val="bottom"/>
            <w:tcBorders>
              <w:bottom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40" w:type="dxa"/>
            <w:vAlign w:val="bottom"/>
            <w:shd w:val="clear" w:color="auto" w:fill="D2EEF5"/>
          </w:tcPr>
          <w:p>
            <w:pPr>
              <w:spacing w:after="0"/>
              <w:rPr>
                <w:sz w:val="6"/>
                <w:szCs w:val="6"/>
                <w:color w:val="auto"/>
              </w:rPr>
            </w:pPr>
          </w:p>
        </w:tc>
        <w:tc>
          <w:tcPr>
            <w:tcW w:w="1320" w:type="dxa"/>
            <w:vAlign w:val="bottom"/>
            <w:shd w:val="clear" w:color="auto" w:fill="D2EEF5"/>
          </w:tcPr>
          <w:p>
            <w:pPr>
              <w:spacing w:after="0"/>
              <w:rPr>
                <w:sz w:val="6"/>
                <w:szCs w:val="6"/>
                <w:color w:val="auto"/>
              </w:rPr>
            </w:pPr>
          </w:p>
        </w:tc>
        <w:tc>
          <w:tcPr>
            <w:tcW w:w="420" w:type="dxa"/>
            <w:vAlign w:val="bottom"/>
            <w:shd w:val="clear" w:color="auto" w:fill="D2EEF5"/>
          </w:tcPr>
          <w:p>
            <w:pPr>
              <w:spacing w:after="0"/>
              <w:rPr>
                <w:sz w:val="6"/>
                <w:szCs w:val="6"/>
                <w:color w:val="auto"/>
              </w:rPr>
            </w:pPr>
          </w:p>
        </w:tc>
        <w:tc>
          <w:tcPr>
            <w:tcW w:w="5960" w:type="dxa"/>
            <w:vAlign w:val="bottom"/>
            <w:shd w:val="clear" w:color="auto" w:fill="D2EEF5"/>
          </w:tcPr>
          <w:p>
            <w:pPr>
              <w:spacing w:after="0"/>
              <w:rPr>
                <w:sz w:val="6"/>
                <w:szCs w:val="6"/>
                <w:color w:val="auto"/>
              </w:rPr>
            </w:pPr>
          </w:p>
        </w:tc>
        <w:tc>
          <w:tcPr>
            <w:tcW w:w="280" w:type="dxa"/>
            <w:vAlign w:val="bottom"/>
            <w:shd w:val="clear" w:color="auto" w:fill="D2EEF5"/>
          </w:tcPr>
          <w:p>
            <w:pPr>
              <w:spacing w:after="0"/>
              <w:rPr>
                <w:sz w:val="6"/>
                <w:szCs w:val="6"/>
                <w:color w:val="auto"/>
              </w:rPr>
            </w:pPr>
          </w:p>
        </w:tc>
        <w:tc>
          <w:tcPr>
            <w:tcW w:w="920" w:type="dxa"/>
            <w:vAlign w:val="bottom"/>
            <w:shd w:val="clear" w:color="auto" w:fill="D2EEF5"/>
          </w:tcPr>
          <w:p>
            <w:pPr>
              <w:spacing w:after="0"/>
              <w:rPr>
                <w:sz w:val="6"/>
                <w:szCs w:val="6"/>
                <w:color w:val="auto"/>
              </w:rPr>
            </w:pPr>
          </w:p>
        </w:tc>
        <w:tc>
          <w:tcPr>
            <w:tcW w:w="120" w:type="dxa"/>
            <w:vAlign w:val="bottom"/>
            <w:shd w:val="clear" w:color="auto" w:fill="D2EEF5"/>
          </w:tcPr>
          <w:p>
            <w:pPr>
              <w:spacing w:after="0"/>
              <w:rPr>
                <w:sz w:val="6"/>
                <w:szCs w:val="6"/>
                <w:color w:val="auto"/>
              </w:rPr>
            </w:pPr>
          </w:p>
        </w:tc>
        <w:tc>
          <w:tcPr>
            <w:tcW w:w="280" w:type="dxa"/>
            <w:vAlign w:val="bottom"/>
            <w:shd w:val="clear" w:color="auto" w:fill="D2EEF5"/>
          </w:tcPr>
          <w:p>
            <w:pPr>
              <w:spacing w:after="0"/>
              <w:rPr>
                <w:sz w:val="6"/>
                <w:szCs w:val="6"/>
                <w:color w:val="auto"/>
              </w:rPr>
            </w:pPr>
          </w:p>
        </w:tc>
        <w:tc>
          <w:tcPr>
            <w:tcW w:w="920" w:type="dxa"/>
            <w:vAlign w:val="bottom"/>
            <w:shd w:val="clear" w:color="auto" w:fill="D2EEF5"/>
          </w:tcPr>
          <w:p>
            <w:pPr>
              <w:spacing w:after="0"/>
              <w:rPr>
                <w:sz w:val="6"/>
                <w:szCs w:val="6"/>
                <w:color w:val="auto"/>
              </w:rPr>
            </w:pPr>
          </w:p>
        </w:tc>
      </w:tr>
      <w:tr>
        <w:trPr>
          <w:trHeight w:val="261"/>
        </w:trPr>
        <w:tc>
          <w:tcPr>
            <w:tcW w:w="40" w:type="dxa"/>
            <w:vAlign w:val="bottom"/>
          </w:tcPr>
          <w:p>
            <w:pPr>
              <w:spacing w:after="0"/>
              <w:rPr>
                <w:sz w:val="22"/>
                <w:szCs w:val="22"/>
                <w:color w:val="auto"/>
              </w:rPr>
            </w:pPr>
          </w:p>
        </w:tc>
        <w:tc>
          <w:tcPr>
            <w:tcW w:w="7700" w:type="dxa"/>
            <w:vAlign w:val="bottom"/>
            <w:gridSpan w:val="3"/>
          </w:tcPr>
          <w:p>
            <w:pPr>
              <w:ind w:left="40"/>
              <w:spacing w:after="0"/>
              <w:rPr>
                <w:sz w:val="20"/>
                <w:szCs w:val="20"/>
                <w:color w:val="auto"/>
              </w:rPr>
            </w:pPr>
            <w:r>
              <w:rPr>
                <w:rFonts w:ascii="Arial" w:cs="Arial" w:eastAsia="Arial" w:hAnsi="Arial"/>
                <w:sz w:val="20"/>
                <w:szCs w:val="20"/>
                <w:color w:val="auto"/>
              </w:rPr>
              <w:t>Change in fair value of plan assets: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5"/>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Fair value of plan assets as of the beginning of the year</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512</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525</w:t>
            </w:r>
          </w:p>
        </w:tc>
      </w:tr>
      <w:tr>
        <w:trPr>
          <w:trHeight w:val="278"/>
        </w:trPr>
        <w:tc>
          <w:tcPr>
            <w:tcW w:w="40" w:type="dxa"/>
            <w:vAlign w:val="bottom"/>
          </w:tcPr>
          <w:p>
            <w:pPr>
              <w:spacing w:after="0"/>
              <w:rPr>
                <w:sz w:val="24"/>
                <w:szCs w:val="24"/>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Benefits paid</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(188)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(187)</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Employer (refunds) contributions</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(38)</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216</w:t>
            </w:r>
          </w:p>
        </w:tc>
      </w:tr>
      <w:tr>
        <w:trPr>
          <w:trHeight w:val="275"/>
        </w:trPr>
        <w:tc>
          <w:tcPr>
            <w:tcW w:w="40" w:type="dxa"/>
            <w:vAlign w:val="bottom"/>
          </w:tcPr>
          <w:p>
            <w:pPr>
              <w:spacing w:after="0"/>
              <w:rPr>
                <w:sz w:val="23"/>
                <w:szCs w:val="23"/>
                <w:color w:val="auto"/>
              </w:rPr>
            </w:pPr>
          </w:p>
        </w:tc>
        <w:tc>
          <w:tcPr>
            <w:tcW w:w="7700" w:type="dxa"/>
            <w:vAlign w:val="bottom"/>
            <w:gridSpan w:val="3"/>
          </w:tcPr>
          <w:p>
            <w:pPr>
              <w:ind w:left="480"/>
              <w:spacing w:after="0"/>
              <w:rPr>
                <w:sz w:val="20"/>
                <w:szCs w:val="20"/>
                <w:color w:val="auto"/>
              </w:rPr>
            </w:pPr>
            <w:r>
              <w:rPr>
                <w:rFonts w:ascii="Arial" w:cs="Arial" w:eastAsia="Arial" w:hAnsi="Arial"/>
                <w:sz w:val="20"/>
                <w:szCs w:val="20"/>
                <w:color w:val="auto"/>
              </w:rPr>
              <w:t>Foreign currency exchange rate changes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w:t>
            </w:r>
          </w:p>
        </w:tc>
      </w:tr>
      <w:tr>
        <w:trPr>
          <w:trHeight w:val="95"/>
        </w:trPr>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Fair value of plan assets, end of year</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306</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512</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tcBorders>
          </w:tcPr>
          <w:p>
            <w:pPr>
              <w:spacing w:after="0" w:line="20" w:lineRule="exact"/>
              <w:rPr>
                <w:sz w:val="1"/>
                <w:szCs w:val="1"/>
                <w:color w:val="auto"/>
              </w:rPr>
            </w:pPr>
          </w:p>
        </w:tc>
        <w:tc>
          <w:tcPr>
            <w:tcW w:w="420" w:type="dxa"/>
            <w:vAlign w:val="bottom"/>
            <w:tcBorders>
              <w:top w:val="single" w:sz="8" w:color="D2EEF5"/>
            </w:tcBorders>
          </w:tcPr>
          <w:p>
            <w:pPr>
              <w:spacing w:after="0" w:line="20" w:lineRule="exact"/>
              <w:rPr>
                <w:sz w:val="1"/>
                <w:szCs w:val="1"/>
                <w:color w:val="auto"/>
              </w:rPr>
            </w:pPr>
          </w:p>
        </w:tc>
        <w:tc>
          <w:tcPr>
            <w:tcW w:w="596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Underfunded status at end of year</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(8,123)</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(7,863)</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tcBorders>
          </w:tcPr>
          <w:p>
            <w:pPr>
              <w:spacing w:after="0" w:line="20" w:lineRule="exact"/>
              <w:rPr>
                <w:sz w:val="1"/>
                <w:szCs w:val="1"/>
                <w:color w:val="auto"/>
              </w:rPr>
            </w:pPr>
          </w:p>
        </w:tc>
        <w:tc>
          <w:tcPr>
            <w:tcW w:w="420" w:type="dxa"/>
            <w:vAlign w:val="bottom"/>
            <w:tcBorders>
              <w:top w:val="single" w:sz="8" w:color="D2EEF5"/>
            </w:tcBorders>
          </w:tcPr>
          <w:p>
            <w:pPr>
              <w:spacing w:after="0" w:line="20" w:lineRule="exact"/>
              <w:rPr>
                <w:sz w:val="1"/>
                <w:szCs w:val="1"/>
                <w:color w:val="auto"/>
              </w:rPr>
            </w:pPr>
          </w:p>
        </w:tc>
        <w:tc>
          <w:tcPr>
            <w:tcW w:w="596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Accumulated benefit obligation, end of year</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8,410</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8,364</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tcBorders>
          </w:tcPr>
          <w:p>
            <w:pPr>
              <w:spacing w:after="0" w:line="20" w:lineRule="exact"/>
              <w:rPr>
                <w:sz w:val="1"/>
                <w:szCs w:val="1"/>
                <w:color w:val="auto"/>
              </w:rPr>
            </w:pPr>
          </w:p>
        </w:tc>
        <w:tc>
          <w:tcPr>
            <w:tcW w:w="420" w:type="dxa"/>
            <w:vAlign w:val="bottom"/>
            <w:tcBorders>
              <w:top w:val="single" w:sz="8" w:color="D2EEF5"/>
            </w:tcBorders>
          </w:tcPr>
          <w:p>
            <w:pPr>
              <w:spacing w:after="0" w:line="20" w:lineRule="exact"/>
              <w:rPr>
                <w:sz w:val="1"/>
                <w:szCs w:val="1"/>
                <w:color w:val="auto"/>
              </w:rPr>
            </w:pPr>
          </w:p>
        </w:tc>
        <w:tc>
          <w:tcPr>
            <w:tcW w:w="596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-1758315</wp:posOffset>
            </wp:positionV>
            <wp:extent cx="1625600"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9">
                      <a:extLst>
                        <a:ext uri="{28A0092B-C50C-407E-A947-70E740481C1C}"/>
                      </a:extLst>
                    </a:blip>
                    <a:srcRect/>
                    <a:stretch>
                      <a:fillRect/>
                    </a:stretch>
                  </pic:blipFill>
                  <pic:spPr bwMode="auto">
                    <a:xfrm>
                      <a:off x="0" y="0"/>
                      <a:ext cx="1625600" cy="5080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-539115</wp:posOffset>
            </wp:positionV>
            <wp:extent cx="1625600"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0">
                      <a:extLst>
                        <a:ext uri="{28A0092B-C50C-407E-A947-70E740481C1C}"/>
                      </a:extLst>
                    </a:blip>
                    <a:srcRect/>
                    <a:stretch>
                      <a:fillRect/>
                    </a:stretch>
                  </pic:blipFill>
                  <pic:spPr bwMode="auto">
                    <a:xfrm>
                      <a:off x="0" y="0"/>
                      <a:ext cx="1625600" cy="5080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-291465</wp:posOffset>
            </wp:positionV>
            <wp:extent cx="1625600"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1">
                      <a:extLst>
                        <a:ext uri="{28A0092B-C50C-407E-A947-70E740481C1C}"/>
                      </a:extLst>
                    </a:blip>
                    <a:srcRect/>
                    <a:stretch>
                      <a:fillRect/>
                    </a:stretch>
                  </pic:blipFill>
                  <pic:spPr bwMode="auto">
                    <a:xfrm>
                      <a:off x="0" y="0"/>
                      <a:ext cx="1625600" cy="5080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-43815</wp:posOffset>
            </wp:positionV>
            <wp:extent cx="1625600"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2">
                      <a:extLst>
                        <a:ext uri="{28A0092B-C50C-407E-A947-70E740481C1C}"/>
                      </a:extLst>
                    </a:blip>
                    <a:srcRect/>
                    <a:stretch>
                      <a:fillRect/>
                    </a:stretch>
                  </pic:blipFill>
                  <pic:spPr bwMode="auto">
                    <a:xfrm>
                      <a:off x="0" y="0"/>
                      <a:ext cx="1625600" cy="5080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The Nordion post-retirement benefit pension plans are underfunded as of December 31, 2025 and 2024.</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A reconciliation of the funded status to the net plan liabilities recognized in the Consolidated Balance Sheets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9"/>
                <w:szCs w:val="19"/>
                <w:color w:val="auto"/>
              </w:rPr>
            </w:pPr>
          </w:p>
        </w:tc>
        <w:tc>
          <w:tcPr>
            <w:tcW w:w="920" w:type="dxa"/>
            <w:vAlign w:val="bottom"/>
          </w:tcPr>
          <w:p>
            <w:pPr>
              <w:jc w:val="right"/>
              <w:ind w:right="344"/>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4"/>
              <w:spacing w:after="0"/>
              <w:rPr>
                <w:sz w:val="20"/>
                <w:szCs w:val="20"/>
                <w:color w:val="auto"/>
              </w:rPr>
            </w:pPr>
            <w:r>
              <w:rPr>
                <w:rFonts w:ascii="Arial" w:cs="Arial" w:eastAsia="Arial" w:hAnsi="Arial"/>
                <w:sz w:val="16"/>
                <w:szCs w:val="16"/>
                <w:b w:val="1"/>
                <w:bCs w:val="1"/>
                <w:color w:val="auto"/>
              </w:rPr>
              <w:t>2024</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420" w:type="dxa"/>
            <w:vAlign w:val="bottom"/>
            <w:tcBorders>
              <w:bottom w:val="single" w:sz="8" w:color="D2EEF5"/>
            </w:tcBorders>
          </w:tcPr>
          <w:p>
            <w:pPr>
              <w:spacing w:after="0" w:line="20" w:lineRule="exact"/>
              <w:rPr>
                <w:sz w:val="1"/>
                <w:szCs w:val="1"/>
                <w:color w:val="auto"/>
              </w:rPr>
            </w:pPr>
          </w:p>
        </w:tc>
        <w:tc>
          <w:tcPr>
            <w:tcW w:w="596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Projected benefit obligation</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4"/>
              <w:spacing w:after="0"/>
              <w:rPr>
                <w:sz w:val="20"/>
                <w:szCs w:val="20"/>
                <w:color w:val="auto"/>
              </w:rPr>
            </w:pPr>
            <w:r>
              <w:rPr>
                <w:rFonts w:ascii="Arial" w:cs="Arial" w:eastAsia="Arial" w:hAnsi="Arial"/>
                <w:sz w:val="20"/>
                <w:szCs w:val="20"/>
                <w:b w:val="1"/>
                <w:bCs w:val="1"/>
                <w:color w:val="auto"/>
              </w:rPr>
              <w:t>8,429</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4"/>
              <w:spacing w:after="0"/>
              <w:rPr>
                <w:sz w:val="20"/>
                <w:szCs w:val="20"/>
                <w:color w:val="auto"/>
              </w:rPr>
            </w:pPr>
            <w:r>
              <w:rPr>
                <w:rFonts w:ascii="Arial" w:cs="Arial" w:eastAsia="Arial" w:hAnsi="Arial"/>
                <w:sz w:val="20"/>
                <w:szCs w:val="20"/>
                <w:color w:val="auto"/>
              </w:rPr>
              <w:t>8,375</w:t>
            </w:r>
          </w:p>
        </w:tc>
      </w:tr>
      <w:tr>
        <w:trPr>
          <w:trHeight w:val="275"/>
        </w:trPr>
        <w:tc>
          <w:tcPr>
            <w:tcW w:w="40" w:type="dxa"/>
            <w:vAlign w:val="bottom"/>
            <w:tcBorders>
              <w:bottom w:val="single" w:sz="8" w:color="D2EEF5"/>
            </w:tcBorders>
          </w:tcPr>
          <w:p>
            <w:pPr>
              <w:spacing w:after="0"/>
              <w:rPr>
                <w:sz w:val="23"/>
                <w:szCs w:val="23"/>
                <w:color w:val="auto"/>
              </w:rPr>
            </w:pPr>
          </w:p>
        </w:tc>
        <w:tc>
          <w:tcPr>
            <w:tcW w:w="770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Fair value of plan assets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b w:val="1"/>
                <w:bCs w:val="1"/>
                <w:color w:val="auto"/>
              </w:rPr>
              <w:t>306</w:t>
            </w:r>
          </w:p>
        </w:tc>
        <w:tc>
          <w:tcPr>
            <w:tcW w:w="1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512</w:t>
            </w: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Plan assets less than projected benefit obligation (noncurrent liabilities)</w:t>
            </w:r>
          </w:p>
        </w:tc>
        <w:tc>
          <w:tcPr>
            <w:tcW w:w="280" w:type="dxa"/>
            <w:vAlign w:val="bottom"/>
            <w:shd w:val="clear" w:color="auto" w:fill="D2EEF5"/>
          </w:tcPr>
          <w:p>
            <w:pPr>
              <w:spacing w:after="0"/>
              <w:rPr>
                <w:sz w:val="23"/>
                <w:szCs w:val="23"/>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(8,123)</w:t>
            </w:r>
          </w:p>
        </w:tc>
        <w:tc>
          <w:tcPr>
            <w:tcW w:w="120" w:type="dxa"/>
            <w:vAlign w:val="bottom"/>
            <w:shd w:val="clear" w:color="auto" w:fill="D2EEF5"/>
          </w:tcPr>
          <w:p>
            <w:pPr>
              <w:spacing w:after="0"/>
              <w:rPr>
                <w:sz w:val="23"/>
                <w:szCs w:val="23"/>
                <w:color w:val="auto"/>
              </w:rPr>
            </w:pPr>
          </w:p>
        </w:tc>
        <w:tc>
          <w:tcPr>
            <w:tcW w:w="280" w:type="dxa"/>
            <w:vAlign w:val="bottom"/>
            <w:shd w:val="clear" w:color="auto" w:fill="D2EEF5"/>
          </w:tcPr>
          <w:p>
            <w:pPr>
              <w:spacing w:after="0"/>
              <w:rPr>
                <w:sz w:val="23"/>
                <w:szCs w:val="23"/>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(7,863)</w:t>
            </w:r>
          </w:p>
        </w:tc>
      </w:tr>
      <w:tr>
        <w:trPr>
          <w:trHeight w:val="272"/>
        </w:trPr>
        <w:tc>
          <w:tcPr>
            <w:tcW w:w="40" w:type="dxa"/>
            <w:vAlign w:val="bottom"/>
          </w:tcPr>
          <w:p>
            <w:pPr>
              <w:spacing w:after="0"/>
              <w:rPr>
                <w:sz w:val="23"/>
                <w:szCs w:val="23"/>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Unrecognized actuarial gains</w:t>
            </w:r>
          </w:p>
        </w:tc>
        <w:tc>
          <w:tcPr>
            <w:tcW w:w="28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b w:val="1"/>
                <w:bCs w:val="1"/>
                <w:color w:val="auto"/>
              </w:rPr>
              <w:t>1,870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color w:val="auto"/>
              </w:rPr>
              <w:t>1,549</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The other benefit plan liabilities are presented on the Consolidated Balance Sheets as “Post retirement obligations.”</w:t>
      </w:r>
    </w:p>
    <w:p>
      <w:pPr>
        <w:spacing w:after="0" w:line="210" w:lineRule="exact"/>
        <w:rPr>
          <w:sz w:val="20"/>
          <w:szCs w:val="20"/>
          <w:color w:val="auto"/>
        </w:rPr>
      </w:pPr>
    </w:p>
    <w:p>
      <w:pPr>
        <w:ind w:right="920"/>
        <w:spacing w:after="0" w:line="283" w:lineRule="auto"/>
        <w:rPr>
          <w:sz w:val="20"/>
          <w:szCs w:val="20"/>
          <w:color w:val="auto"/>
        </w:rPr>
      </w:pPr>
      <w:r>
        <w:rPr>
          <w:rFonts w:ascii="Arial" w:cs="Arial" w:eastAsia="Arial" w:hAnsi="Arial"/>
          <w:sz w:val="20"/>
          <w:szCs w:val="20"/>
          <w:color w:val="auto"/>
        </w:rPr>
        <w:t>The following table illustrates the amounts in accumulated other comprehensive income (loss) that have not yet been recognized as components of other benefit plan expense: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9"/>
                <w:szCs w:val="19"/>
                <w:color w:val="auto"/>
              </w:rPr>
            </w:pPr>
          </w:p>
        </w:tc>
        <w:tc>
          <w:tcPr>
            <w:tcW w:w="920" w:type="dxa"/>
            <w:vAlign w:val="bottom"/>
          </w:tcPr>
          <w:p>
            <w:pPr>
              <w:jc w:val="right"/>
              <w:ind w:right="345"/>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5"/>
              <w:spacing w:after="0"/>
              <w:rPr>
                <w:sz w:val="20"/>
                <w:szCs w:val="20"/>
                <w:color w:val="auto"/>
              </w:rPr>
            </w:pPr>
            <w:r>
              <w:rPr>
                <w:rFonts w:ascii="Arial" w:cs="Arial" w:eastAsia="Arial" w:hAnsi="Arial"/>
                <w:sz w:val="16"/>
                <w:szCs w:val="16"/>
                <w:b w:val="1"/>
                <w:bCs w:val="1"/>
                <w:color w:val="auto"/>
              </w:rPr>
              <w:t>2024</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420" w:type="dxa"/>
            <w:vAlign w:val="bottom"/>
            <w:tcBorders>
              <w:bottom w:val="single" w:sz="8" w:color="D2EEF5"/>
            </w:tcBorders>
          </w:tcPr>
          <w:p>
            <w:pPr>
              <w:spacing w:after="0" w:line="20" w:lineRule="exact"/>
              <w:rPr>
                <w:sz w:val="1"/>
                <w:szCs w:val="1"/>
                <w:color w:val="auto"/>
              </w:rPr>
            </w:pPr>
          </w:p>
        </w:tc>
        <w:tc>
          <w:tcPr>
            <w:tcW w:w="596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Net actuarial gain</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1,870</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1,549</w:t>
            </w:r>
          </w:p>
        </w:tc>
      </w:tr>
      <w:tr>
        <w:trPr>
          <w:trHeight w:val="275"/>
        </w:trPr>
        <w:tc>
          <w:tcPr>
            <w:tcW w:w="40" w:type="dxa"/>
            <w:vAlign w:val="bottom"/>
            <w:tcBorders>
              <w:bottom w:val="single" w:sz="8" w:color="D2EEF5"/>
            </w:tcBorders>
          </w:tcPr>
          <w:p>
            <w:pPr>
              <w:spacing w:after="0"/>
              <w:rPr>
                <w:sz w:val="23"/>
                <w:szCs w:val="23"/>
                <w:color w:val="auto"/>
              </w:rPr>
            </w:pPr>
          </w:p>
        </w:tc>
        <w:tc>
          <w:tcPr>
            <w:tcW w:w="770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Deferred income taxes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(593)</w:t>
            </w:r>
          </w:p>
        </w:tc>
        <w:tc>
          <w:tcPr>
            <w:tcW w:w="1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(444)</w:t>
            </w:r>
          </w:p>
        </w:tc>
      </w:tr>
      <w:tr>
        <w:trPr>
          <w:trHeight w:val="26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Accumulated other comprehensive income – net of tax</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1,277</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5"/>
              <w:spacing w:after="0"/>
              <w:rPr>
                <w:sz w:val="20"/>
                <w:szCs w:val="20"/>
                <w:color w:val="auto"/>
              </w:rPr>
            </w:pPr>
            <w:r>
              <w:rPr>
                <w:rFonts w:ascii="Arial" w:cs="Arial" w:eastAsia="Arial" w:hAnsi="Arial"/>
                <w:sz w:val="20"/>
                <w:szCs w:val="20"/>
                <w:color w:val="auto"/>
              </w:rPr>
              <w:t>1,105</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tcBorders>
          </w:tcPr>
          <w:p>
            <w:pPr>
              <w:spacing w:after="0" w:line="20" w:lineRule="exact"/>
              <w:rPr>
                <w:sz w:val="1"/>
                <w:szCs w:val="1"/>
                <w:color w:val="auto"/>
              </w:rPr>
            </w:pPr>
          </w:p>
        </w:tc>
        <w:tc>
          <w:tcPr>
            <w:tcW w:w="420" w:type="dxa"/>
            <w:vAlign w:val="bottom"/>
            <w:tcBorders>
              <w:top w:val="single" w:sz="8" w:color="D2EEF5"/>
            </w:tcBorders>
          </w:tcPr>
          <w:p>
            <w:pPr>
              <w:spacing w:after="0" w:line="20" w:lineRule="exact"/>
              <w:rPr>
                <w:sz w:val="1"/>
                <w:szCs w:val="1"/>
                <w:color w:val="auto"/>
              </w:rPr>
            </w:pPr>
          </w:p>
        </w:tc>
        <w:tc>
          <w:tcPr>
            <w:tcW w:w="596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-43815</wp:posOffset>
            </wp:positionV>
            <wp:extent cx="1625600"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3">
                      <a:extLst>
                        <a:ext uri="{28A0092B-C50C-407E-A947-70E740481C1C}"/>
                      </a:extLst>
                    </a:blip>
                    <a:srcRect/>
                    <a:stretch>
                      <a:fillRect/>
                    </a:stretch>
                  </pic:blipFill>
                  <pic:spPr bwMode="auto">
                    <a:xfrm>
                      <a:off x="0" y="0"/>
                      <a:ext cx="1625600" cy="50800"/>
                    </a:xfrm>
                    <a:prstGeom prst="rect">
                      <a:avLst/>
                    </a:prstGeom>
                    <a:noFill/>
                  </pic:spPr>
                </pic:pic>
              </a:graphicData>
            </a:graphic>
          </wp:anchor>
        </w:drawing>
      </w:r>
    </w:p>
    <w:p>
      <w:pPr>
        <w:sectPr>
          <w:pgSz w:w="11880" w:h="15480" w:orient="portrait"/>
          <w:cols w:equalWidth="0" w:num="1">
            <w:col w:w="10260"/>
          </w:cols>
          <w:pgMar w:left="82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0260"/>
          </w:cols>
          <w:pgMar w:left="820" w:top="422" w:right="800" w:bottom="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right="120"/>
        <w:spacing w:after="0" w:line="283" w:lineRule="auto"/>
        <w:rPr>
          <w:sz w:val="20"/>
          <w:szCs w:val="20"/>
          <w:color w:val="auto"/>
        </w:rPr>
      </w:pPr>
      <w:r>
        <w:rPr>
          <w:rFonts w:ascii="Arial" w:cs="Arial" w:eastAsia="Arial" w:hAnsi="Arial"/>
          <w:sz w:val="20"/>
          <w:szCs w:val="20"/>
          <w:color w:val="auto"/>
        </w:rPr>
        <w:t>Based on the actuarial assumptions used to develop the Company’s benefit obligations as of December 31, 2025, the following benefit payments are expected to be made to plan participants: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728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9020" w:type="dxa"/>
            <w:vAlign w:val="bottom"/>
            <w:gridSpan w:val="3"/>
          </w:tcPr>
          <w:p>
            <w:pPr>
              <w:spacing w:after="0"/>
              <w:rPr>
                <w:sz w:val="20"/>
                <w:szCs w:val="20"/>
                <w:color w:val="auto"/>
              </w:rPr>
            </w:pPr>
            <w:r>
              <w:rPr>
                <w:rFonts w:ascii="Arial" w:cs="Arial" w:eastAsia="Arial" w:hAnsi="Arial"/>
                <w:sz w:val="16"/>
                <w:szCs w:val="16"/>
                <w:b w:val="1"/>
                <w:bCs w:val="1"/>
                <w:color w:val="auto"/>
              </w:rPr>
              <w:t>Years ended December 31</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1"/>
        </w:trPr>
        <w:tc>
          <w:tcPr>
            <w:tcW w:w="40" w:type="dxa"/>
            <w:vAlign w:val="bottom"/>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7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5"/>
        </w:trPr>
        <w:tc>
          <w:tcPr>
            <w:tcW w:w="1780" w:type="dxa"/>
            <w:vAlign w:val="bottom"/>
            <w:gridSpan w:val="2"/>
            <w:shd w:val="clear" w:color="auto" w:fill="D2EEF5"/>
          </w:tcPr>
          <w:p>
            <w:pPr>
              <w:ind w:left="40"/>
              <w:spacing w:after="0"/>
              <w:rPr>
                <w:sz w:val="20"/>
                <w:szCs w:val="20"/>
                <w:color w:val="auto"/>
              </w:rPr>
            </w:pPr>
            <w:r>
              <w:rPr>
                <w:rFonts w:ascii="Arial" w:cs="Arial" w:eastAsia="Arial" w:hAnsi="Arial"/>
                <w:sz w:val="20"/>
                <w:szCs w:val="20"/>
                <w:color w:val="auto"/>
              </w:rPr>
              <w:t>2026</w:t>
            </w:r>
          </w:p>
        </w:tc>
        <w:tc>
          <w:tcPr>
            <w:tcW w:w="40" w:type="dxa"/>
            <w:vAlign w:val="bottom"/>
            <w:shd w:val="clear" w:color="auto" w:fill="D2EEF5"/>
          </w:tcPr>
          <w:p>
            <w:pPr>
              <w:spacing w:after="0"/>
              <w:rPr>
                <w:sz w:val="24"/>
                <w:szCs w:val="24"/>
                <w:color w:val="auto"/>
              </w:rPr>
            </w:pPr>
          </w:p>
        </w:tc>
        <w:tc>
          <w:tcPr>
            <w:tcW w:w="7240" w:type="dxa"/>
            <w:vAlign w:val="bottom"/>
            <w:shd w:val="clear" w:color="auto" w:fill="D2EEF5"/>
          </w:tcPr>
          <w:p>
            <w:pPr>
              <w:spacing w:after="0"/>
              <w:rPr>
                <w:sz w:val="24"/>
                <w:szCs w:val="24"/>
                <w:color w:val="auto"/>
              </w:rPr>
            </w:pPr>
          </w:p>
        </w:tc>
        <w:tc>
          <w:tcPr>
            <w:tcW w:w="400" w:type="dxa"/>
            <w:vAlign w:val="bottom"/>
            <w:shd w:val="clear" w:color="auto" w:fill="D2EEF5"/>
          </w:tcPr>
          <w:p>
            <w:pPr>
              <w:jc w:val="right"/>
              <w:ind w:right="160"/>
              <w:spacing w:after="0"/>
              <w:rPr>
                <w:sz w:val="20"/>
                <w:szCs w:val="20"/>
                <w:color w:val="auto"/>
              </w:rPr>
            </w:pPr>
            <w:r>
              <w:rPr>
                <w:rFonts w:ascii="Arial" w:cs="Arial" w:eastAsia="Arial" w:hAnsi="Arial"/>
                <w:sz w:val="20"/>
                <w:szCs w:val="20"/>
                <w:b w:val="1"/>
                <w:bCs w:val="1"/>
                <w:color w:val="auto"/>
              </w:rPr>
              <w:t>$</w:t>
            </w:r>
          </w:p>
        </w:tc>
        <w:tc>
          <w:tcPr>
            <w:tcW w:w="8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550</w:t>
            </w:r>
          </w:p>
        </w:tc>
      </w:tr>
      <w:tr>
        <w:trPr>
          <w:trHeight w:val="278"/>
        </w:trPr>
        <w:tc>
          <w:tcPr>
            <w:tcW w:w="1780" w:type="dxa"/>
            <w:vAlign w:val="bottom"/>
            <w:gridSpan w:val="2"/>
          </w:tcPr>
          <w:p>
            <w:pPr>
              <w:ind w:left="40"/>
              <w:spacing w:after="0"/>
              <w:rPr>
                <w:sz w:val="20"/>
                <w:szCs w:val="20"/>
                <w:color w:val="auto"/>
              </w:rPr>
            </w:pPr>
            <w:r>
              <w:rPr>
                <w:rFonts w:ascii="Arial" w:cs="Arial" w:eastAsia="Arial" w:hAnsi="Arial"/>
                <w:sz w:val="20"/>
                <w:szCs w:val="20"/>
                <w:color w:val="auto"/>
              </w:rPr>
              <w:t>2027</w:t>
            </w:r>
          </w:p>
        </w:tc>
        <w:tc>
          <w:tcPr>
            <w:tcW w:w="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585</w:t>
            </w:r>
          </w:p>
        </w:tc>
      </w:tr>
      <w:tr>
        <w:trPr>
          <w:trHeight w:val="292"/>
        </w:trPr>
        <w:tc>
          <w:tcPr>
            <w:tcW w:w="1780" w:type="dxa"/>
            <w:vAlign w:val="bottom"/>
            <w:gridSpan w:val="2"/>
            <w:shd w:val="clear" w:color="auto" w:fill="D2EEF5"/>
          </w:tcPr>
          <w:p>
            <w:pPr>
              <w:ind w:left="40"/>
              <w:spacing w:after="0"/>
              <w:rPr>
                <w:sz w:val="20"/>
                <w:szCs w:val="20"/>
                <w:color w:val="auto"/>
              </w:rPr>
            </w:pPr>
            <w:r>
              <w:rPr>
                <w:rFonts w:ascii="Arial" w:cs="Arial" w:eastAsia="Arial" w:hAnsi="Arial"/>
                <w:sz w:val="20"/>
                <w:szCs w:val="20"/>
                <w:color w:val="auto"/>
              </w:rPr>
              <w:t>2028</w:t>
            </w:r>
          </w:p>
        </w:tc>
        <w:tc>
          <w:tcPr>
            <w:tcW w:w="40" w:type="dxa"/>
            <w:vAlign w:val="bottom"/>
            <w:shd w:val="clear" w:color="auto" w:fill="D2EEF5"/>
          </w:tcPr>
          <w:p>
            <w:pPr>
              <w:spacing w:after="0"/>
              <w:rPr>
                <w:sz w:val="24"/>
                <w:szCs w:val="24"/>
                <w:color w:val="auto"/>
              </w:rPr>
            </w:pPr>
          </w:p>
        </w:tc>
        <w:tc>
          <w:tcPr>
            <w:tcW w:w="7240" w:type="dxa"/>
            <w:vAlign w:val="bottom"/>
            <w:shd w:val="clear" w:color="auto" w:fill="D2EEF5"/>
          </w:tcPr>
          <w:p>
            <w:pPr>
              <w:spacing w:after="0"/>
              <w:rPr>
                <w:sz w:val="24"/>
                <w:szCs w:val="24"/>
                <w:color w:val="auto"/>
              </w:rPr>
            </w:pPr>
          </w:p>
        </w:tc>
        <w:tc>
          <w:tcPr>
            <w:tcW w:w="400" w:type="dxa"/>
            <w:vAlign w:val="bottom"/>
            <w:shd w:val="clear" w:color="auto" w:fill="D2EEF5"/>
          </w:tcPr>
          <w:p>
            <w:pPr>
              <w:spacing w:after="0"/>
              <w:rPr>
                <w:sz w:val="24"/>
                <w:szCs w:val="24"/>
                <w:color w:val="auto"/>
              </w:rPr>
            </w:pPr>
          </w:p>
        </w:tc>
        <w:tc>
          <w:tcPr>
            <w:tcW w:w="8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510</w:t>
            </w:r>
          </w:p>
        </w:tc>
      </w:tr>
      <w:tr>
        <w:trPr>
          <w:trHeight w:val="278"/>
        </w:trPr>
        <w:tc>
          <w:tcPr>
            <w:tcW w:w="1780" w:type="dxa"/>
            <w:vAlign w:val="bottom"/>
            <w:gridSpan w:val="2"/>
          </w:tcPr>
          <w:p>
            <w:pPr>
              <w:ind w:left="40"/>
              <w:spacing w:after="0"/>
              <w:rPr>
                <w:sz w:val="20"/>
                <w:szCs w:val="20"/>
                <w:color w:val="auto"/>
              </w:rPr>
            </w:pPr>
            <w:r>
              <w:rPr>
                <w:rFonts w:ascii="Arial" w:cs="Arial" w:eastAsia="Arial" w:hAnsi="Arial"/>
                <w:sz w:val="20"/>
                <w:szCs w:val="20"/>
                <w:color w:val="auto"/>
              </w:rPr>
              <w:t>2029</w:t>
            </w:r>
          </w:p>
        </w:tc>
        <w:tc>
          <w:tcPr>
            <w:tcW w:w="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511</w:t>
            </w:r>
          </w:p>
        </w:tc>
      </w:tr>
      <w:tr>
        <w:trPr>
          <w:trHeight w:val="292"/>
        </w:trPr>
        <w:tc>
          <w:tcPr>
            <w:tcW w:w="1780" w:type="dxa"/>
            <w:vAlign w:val="bottom"/>
            <w:gridSpan w:val="2"/>
            <w:shd w:val="clear" w:color="auto" w:fill="D2EEF5"/>
          </w:tcPr>
          <w:p>
            <w:pPr>
              <w:ind w:left="40"/>
              <w:spacing w:after="0"/>
              <w:rPr>
                <w:sz w:val="20"/>
                <w:szCs w:val="20"/>
                <w:color w:val="auto"/>
              </w:rPr>
            </w:pPr>
            <w:r>
              <w:rPr>
                <w:rFonts w:ascii="Arial" w:cs="Arial" w:eastAsia="Arial" w:hAnsi="Arial"/>
                <w:sz w:val="20"/>
                <w:szCs w:val="20"/>
                <w:color w:val="auto"/>
              </w:rPr>
              <w:t>2030</w:t>
            </w:r>
          </w:p>
        </w:tc>
        <w:tc>
          <w:tcPr>
            <w:tcW w:w="40" w:type="dxa"/>
            <w:vAlign w:val="bottom"/>
            <w:shd w:val="clear" w:color="auto" w:fill="D2EEF5"/>
          </w:tcPr>
          <w:p>
            <w:pPr>
              <w:spacing w:after="0"/>
              <w:rPr>
                <w:sz w:val="24"/>
                <w:szCs w:val="24"/>
                <w:color w:val="auto"/>
              </w:rPr>
            </w:pPr>
          </w:p>
        </w:tc>
        <w:tc>
          <w:tcPr>
            <w:tcW w:w="7240" w:type="dxa"/>
            <w:vAlign w:val="bottom"/>
            <w:shd w:val="clear" w:color="auto" w:fill="D2EEF5"/>
          </w:tcPr>
          <w:p>
            <w:pPr>
              <w:spacing w:after="0"/>
              <w:rPr>
                <w:sz w:val="24"/>
                <w:szCs w:val="24"/>
                <w:color w:val="auto"/>
              </w:rPr>
            </w:pPr>
          </w:p>
        </w:tc>
        <w:tc>
          <w:tcPr>
            <w:tcW w:w="400" w:type="dxa"/>
            <w:vAlign w:val="bottom"/>
            <w:shd w:val="clear" w:color="auto" w:fill="D2EEF5"/>
          </w:tcPr>
          <w:p>
            <w:pPr>
              <w:spacing w:after="0"/>
              <w:rPr>
                <w:sz w:val="24"/>
                <w:szCs w:val="24"/>
                <w:color w:val="auto"/>
              </w:rPr>
            </w:pPr>
          </w:p>
        </w:tc>
        <w:tc>
          <w:tcPr>
            <w:tcW w:w="8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514</w:t>
            </w:r>
          </w:p>
        </w:tc>
      </w:tr>
      <w:tr>
        <w:trPr>
          <w:trHeight w:val="275"/>
        </w:trPr>
        <w:tc>
          <w:tcPr>
            <w:tcW w:w="1780" w:type="dxa"/>
            <w:vAlign w:val="bottom"/>
            <w:tcBorders>
              <w:bottom w:val="single" w:sz="8" w:color="D2EEF5"/>
            </w:tcBorders>
            <w:gridSpan w:val="2"/>
          </w:tcPr>
          <w:p>
            <w:pPr>
              <w:ind w:left="40"/>
              <w:spacing w:after="0"/>
              <w:rPr>
                <w:sz w:val="20"/>
                <w:szCs w:val="20"/>
                <w:color w:val="auto"/>
              </w:rPr>
            </w:pPr>
            <w:r>
              <w:rPr>
                <w:rFonts w:ascii="Arial" w:cs="Arial" w:eastAsia="Arial" w:hAnsi="Arial"/>
                <w:sz w:val="20"/>
                <w:szCs w:val="20"/>
                <w:color w:val="auto"/>
              </w:rPr>
              <w:t>2031 - 2035</w:t>
            </w:r>
          </w:p>
        </w:tc>
        <w:tc>
          <w:tcPr>
            <w:tcW w:w="40" w:type="dxa"/>
            <w:vAlign w:val="bottom"/>
            <w:tcBorders>
              <w:bottom w:val="single" w:sz="8" w:color="D2EEF5"/>
            </w:tcBorders>
          </w:tcPr>
          <w:p>
            <w:pPr>
              <w:spacing w:after="0"/>
              <w:rPr>
                <w:sz w:val="23"/>
                <w:szCs w:val="23"/>
                <w:color w:val="auto"/>
              </w:rPr>
            </w:pPr>
          </w:p>
        </w:tc>
        <w:tc>
          <w:tcPr>
            <w:tcW w:w="7240" w:type="dxa"/>
            <w:vAlign w:val="bottom"/>
            <w:tcBorders>
              <w:bottom w:val="single" w:sz="8" w:color="D2EEF5"/>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2,628</w:t>
            </w:r>
          </w:p>
        </w:tc>
      </w:tr>
      <w:tr>
        <w:trPr>
          <w:trHeight w:val="270"/>
        </w:trPr>
        <w:tc>
          <w:tcPr>
            <w:tcW w:w="40" w:type="dxa"/>
            <w:vAlign w:val="bottom"/>
            <w:tcBorders>
              <w:bottom w:val="single" w:sz="8" w:color="D2EEF5"/>
            </w:tcBorders>
            <w:shd w:val="clear" w:color="auto" w:fill="D2EEF5"/>
          </w:tcPr>
          <w:p>
            <w:pPr>
              <w:spacing w:after="0"/>
              <w:rPr>
                <w:sz w:val="23"/>
                <w:szCs w:val="23"/>
                <w:color w:val="auto"/>
              </w:rPr>
            </w:pPr>
          </w:p>
        </w:tc>
        <w:tc>
          <w:tcPr>
            <w:tcW w:w="902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b w:val="1"/>
                <w:bCs w:val="1"/>
                <w:color w:val="auto"/>
              </w:rPr>
              <w:t>Total</w:t>
            </w:r>
          </w:p>
        </w:tc>
        <w:tc>
          <w:tcPr>
            <w:tcW w:w="400" w:type="dxa"/>
            <w:vAlign w:val="bottom"/>
            <w:tcBorders>
              <w:bottom w:val="single" w:sz="8" w:color="auto"/>
            </w:tcBorders>
            <w:shd w:val="clear" w:color="auto" w:fill="D2EEF5"/>
          </w:tcPr>
          <w:p>
            <w:pPr>
              <w:jc w:val="right"/>
              <w:ind w:right="160"/>
              <w:spacing w:after="0"/>
              <w:rPr>
                <w:sz w:val="20"/>
                <w:szCs w:val="20"/>
                <w:color w:val="auto"/>
              </w:rPr>
            </w:pPr>
            <w:r>
              <w:rPr>
                <w:rFonts w:ascii="Arial" w:cs="Arial" w:eastAsia="Arial" w:hAnsi="Arial"/>
                <w:sz w:val="20"/>
                <w:szCs w:val="20"/>
                <w:b w:val="1"/>
                <w:bCs w:val="1"/>
                <w:color w:val="auto"/>
              </w:rPr>
              <w:t>$</w:t>
            </w:r>
          </w:p>
        </w:tc>
        <w:tc>
          <w:tcPr>
            <w:tcW w:w="8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5,298</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tcBorders>
          </w:tcPr>
          <w:p>
            <w:pPr>
              <w:spacing w:after="0" w:line="20" w:lineRule="exact"/>
              <w:rPr>
                <w:sz w:val="1"/>
                <w:szCs w:val="1"/>
                <w:color w:val="auto"/>
              </w:rPr>
            </w:pPr>
          </w:p>
        </w:tc>
        <w:tc>
          <w:tcPr>
            <w:tcW w:w="40" w:type="dxa"/>
            <w:vAlign w:val="bottom"/>
            <w:tcBorders>
              <w:top w:val="single" w:sz="8" w:color="D2EEF5"/>
            </w:tcBorders>
          </w:tcPr>
          <w:p>
            <w:pPr>
              <w:spacing w:after="0" w:line="20" w:lineRule="exact"/>
              <w:rPr>
                <w:sz w:val="1"/>
                <w:szCs w:val="1"/>
                <w:color w:val="auto"/>
              </w:rPr>
            </w:pPr>
          </w:p>
        </w:tc>
        <w:tc>
          <w:tcPr>
            <w:tcW w:w="7240" w:type="dxa"/>
            <w:vAlign w:val="bottom"/>
            <w:tcBorders>
              <w:top w:val="single" w:sz="8" w:color="D2EEF5"/>
            </w:tcBorders>
          </w:tcPr>
          <w:p>
            <w:pPr>
              <w:spacing w:after="0" w:line="20" w:lineRule="exact"/>
              <w:rPr>
                <w:sz w:val="1"/>
                <w:szCs w:val="1"/>
                <w:color w:val="auto"/>
              </w:rPr>
            </w:pPr>
          </w:p>
        </w:tc>
        <w:tc>
          <w:tcPr>
            <w:tcW w:w="400" w:type="dxa"/>
            <w:vAlign w:val="bottom"/>
            <w:tcBorders>
              <w:top w:val="single" w:sz="8" w:color="D2EEF5"/>
              <w:bottom w:val="single" w:sz="8" w:color="auto"/>
            </w:tcBorders>
          </w:tcPr>
          <w:p>
            <w:pPr>
              <w:spacing w:after="0" w:line="20" w:lineRule="exact"/>
              <w:rPr>
                <w:sz w:val="1"/>
                <w:szCs w:val="1"/>
                <w:color w:val="auto"/>
              </w:rPr>
            </w:pPr>
          </w:p>
        </w:tc>
        <w:tc>
          <w:tcPr>
            <w:tcW w:w="800" w:type="dxa"/>
            <w:vAlign w:val="bottom"/>
            <w:tcBorders>
              <w:top w:val="single" w:sz="8" w:color="D2EE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-43815</wp:posOffset>
            </wp:positionV>
            <wp:extent cx="787400"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4">
                      <a:extLst>
                        <a:ext uri="{28A0092B-C50C-407E-A947-70E740481C1C}"/>
                      </a:extLst>
                    </a:blip>
                    <a:srcRect/>
                    <a:stretch>
                      <a:fillRect/>
                    </a:stretch>
                  </pic:blipFill>
                  <pic:spPr bwMode="auto">
                    <a:xfrm>
                      <a:off x="0" y="0"/>
                      <a:ext cx="787400" cy="50800"/>
                    </a:xfrm>
                    <a:prstGeom prst="rect">
                      <a:avLst/>
                    </a:prstGeom>
                    <a:noFill/>
                  </pic:spPr>
                </pic:pic>
              </a:graphicData>
            </a:graphic>
          </wp:anchor>
        </w:drawing>
      </w:r>
    </w:p>
    <w:p>
      <w:pPr>
        <w:spacing w:after="0" w:line="187" w:lineRule="exact"/>
        <w:rPr>
          <w:sz w:val="20"/>
          <w:szCs w:val="20"/>
          <w:color w:val="auto"/>
        </w:rPr>
      </w:pPr>
    </w:p>
    <w:p>
      <w:pPr>
        <w:jc w:val="both"/>
        <w:ind w:right="100"/>
        <w:spacing w:after="0" w:line="266" w:lineRule="auto"/>
        <w:rPr>
          <w:sz w:val="20"/>
          <w:szCs w:val="20"/>
          <w:color w:val="auto"/>
        </w:rPr>
      </w:pPr>
      <w:r>
        <w:rPr>
          <w:rFonts w:ascii="Arial" w:cs="Arial" w:eastAsia="Arial" w:hAnsi="Arial"/>
          <w:sz w:val="20"/>
          <w:szCs w:val="20"/>
          <w:color w:val="auto"/>
        </w:rPr>
        <w:t>The Company currently has no funding requirements as the Nordion pension plan had a going concern surplus as of January 1, 2025, as defined by Canadian federal regulations, which require solvency testing on defined benefit pension plans on an annual basis.</w:t>
      </w:r>
    </w:p>
    <w:p>
      <w:pPr>
        <w:spacing w:after="0" w:line="155"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The Company may obtain a qualifying letter of credit for solvency payments, up to 15% of the market value of solvency liabilities as determined on the valuation date, instead of cash payment into the pension fund. As of December 31, 2025 we had no letters of credit outstanding relating to the defined benefit plans. As of December 31, 2024 we had $6.4 million of letters of credit outstanding relating to the defined benefit plans.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Related Parties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2025, 2024 and 2023, the Company did not engage in any material related party transactions.</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Other Comprehensive Income (Loss)</w:t>
      </w:r>
    </w:p>
    <w:p>
      <w:pPr>
        <w:spacing w:after="0" w:line="137" w:lineRule="exact"/>
        <w:rPr>
          <w:sz w:val="20"/>
          <w:szCs w:val="20"/>
          <w:color w:val="auto"/>
        </w:rPr>
      </w:pPr>
    </w:p>
    <w:p>
      <w:pPr>
        <w:ind w:right="80"/>
        <w:spacing w:after="0" w:line="283" w:lineRule="auto"/>
        <w:rPr>
          <w:sz w:val="20"/>
          <w:szCs w:val="20"/>
          <w:color w:val="auto"/>
        </w:rPr>
      </w:pPr>
      <w:r>
        <w:rPr>
          <w:rFonts w:ascii="Arial" w:cs="Arial" w:eastAsia="Arial" w:hAnsi="Arial"/>
          <w:sz w:val="20"/>
          <w:szCs w:val="20"/>
          <w:color w:val="auto"/>
        </w:rPr>
        <w:t>Amounts in accumulated other comprehensive income (loss) are presented net of the related tax. Foreign currency translation is not adjusted for income taxes.</w:t>
      </w:r>
    </w:p>
    <w:p>
      <w:pPr>
        <w:sectPr>
          <w:pgSz w:w="11880" w:h="15480" w:orient="portrait"/>
          <w:cols w:equalWidth="0" w:num="1">
            <w:col w:w="10260"/>
          </w:cols>
          <w:pgMar w:left="82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0260"/>
          </w:cols>
          <w:pgMar w:left="820" w:top="422" w:right="800" w:bottom="0" w:gutter="0" w:footer="0" w:header="0"/>
          <w:type w:val="continuous"/>
        </w:sectPr>
      </w:pPr>
    </w:p>
    <w:bookmarkStart w:id="100" w:name="page101"/>
    <w:bookmarkEnd w:id="100"/>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left="10"/>
        <w:spacing w:after="0"/>
        <w:rPr>
          <w:sz w:val="20"/>
          <w:szCs w:val="20"/>
          <w:color w:val="auto"/>
        </w:rPr>
      </w:pPr>
      <w:r>
        <w:rPr>
          <w:rFonts w:ascii="Arial" w:cs="Arial" w:eastAsia="Arial" w:hAnsi="Arial"/>
          <w:sz w:val="20"/>
          <w:szCs w:val="20"/>
          <w:color w:val="auto"/>
        </w:rPr>
        <w:t>Changes in our accumulated other comprehensive income (loss) balances, net of applicable tax, were as follows:</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8"/>
              </w:rPr>
              <w:t>Defined</w:t>
            </w:r>
          </w:p>
        </w:tc>
        <w:tc>
          <w:tcPr>
            <w:tcW w:w="180" w:type="dxa"/>
            <w:vAlign w:val="bottom"/>
          </w:tcPr>
          <w:p>
            <w:pPr>
              <w:spacing w:after="0"/>
              <w:rPr>
                <w:sz w:val="16"/>
                <w:szCs w:val="16"/>
                <w:color w:val="auto"/>
              </w:rPr>
            </w:pPr>
          </w:p>
        </w:tc>
        <w:tc>
          <w:tcPr>
            <w:tcW w:w="900" w:type="dxa"/>
            <w:vAlign w:val="bottom"/>
          </w:tcPr>
          <w:p>
            <w:pPr>
              <w:jc w:val="center"/>
              <w:ind w:right="82"/>
              <w:spacing w:after="0"/>
              <w:rPr>
                <w:sz w:val="20"/>
                <w:szCs w:val="20"/>
                <w:color w:val="auto"/>
              </w:rPr>
            </w:pPr>
            <w:r>
              <w:rPr>
                <w:rFonts w:ascii="Arial" w:cs="Arial" w:eastAsia="Arial" w:hAnsi="Arial"/>
                <w:sz w:val="16"/>
                <w:szCs w:val="16"/>
                <w:b w:val="1"/>
                <w:bCs w:val="1"/>
                <w:color w:val="auto"/>
                <w:w w:val="88"/>
              </w:rPr>
              <w:t>Foreign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Interest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8"/>
              </w:rPr>
              <w:t>Benefit</w:t>
            </w:r>
          </w:p>
        </w:tc>
        <w:tc>
          <w:tcPr>
            <w:tcW w:w="180" w:type="dxa"/>
            <w:vAlign w:val="bottom"/>
          </w:tcPr>
          <w:p>
            <w:pPr>
              <w:spacing w:after="0"/>
              <w:rPr>
                <w:sz w:val="16"/>
                <w:szCs w:val="16"/>
                <w:color w:val="auto"/>
              </w:rPr>
            </w:pPr>
          </w:p>
        </w:tc>
        <w:tc>
          <w:tcPr>
            <w:tcW w:w="900" w:type="dxa"/>
            <w:vAlign w:val="bottom"/>
          </w:tcPr>
          <w:p>
            <w:pPr>
              <w:jc w:val="center"/>
              <w:ind w:right="102"/>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Rate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240" w:type="dxa"/>
            <w:vAlign w:val="bottom"/>
            <w:gridSpan w:val="2"/>
          </w:tcPr>
          <w:p>
            <w:pPr>
              <w:spacing w:after="0" w:line="178" w:lineRule="exact"/>
              <w:rPr>
                <w:sz w:val="20"/>
                <w:szCs w:val="20"/>
                <w:color w:val="auto"/>
              </w:rPr>
            </w:pPr>
            <w:r>
              <w:rPr>
                <w:rFonts w:ascii="Arial" w:cs="Arial" w:eastAsia="Arial" w:hAnsi="Arial"/>
                <w:sz w:val="16"/>
                <w:szCs w:val="16"/>
                <w:b w:val="1"/>
                <w:bCs w:val="1"/>
                <w:i w:val="1"/>
                <w:iCs w:val="1"/>
                <w:color w:val="auto"/>
              </w:rPr>
              <w:t>(thousands of U.S. dollars)</w:t>
            </w:r>
          </w:p>
        </w:tc>
        <w:tc>
          <w:tcPr>
            <w:tcW w:w="200" w:type="dxa"/>
            <w:vAlign w:val="bottom"/>
          </w:tcPr>
          <w:p>
            <w:pPr>
              <w:spacing w:after="0"/>
              <w:rPr>
                <w:sz w:val="15"/>
                <w:szCs w:val="15"/>
                <w:color w:val="auto"/>
              </w:rPr>
            </w:pPr>
          </w:p>
        </w:tc>
        <w:tc>
          <w:tcPr>
            <w:tcW w:w="1180" w:type="dxa"/>
            <w:vAlign w:val="bottom"/>
            <w:gridSpan w:val="2"/>
          </w:tcPr>
          <w:p>
            <w:pPr>
              <w:jc w:val="center"/>
              <w:ind w:right="500"/>
              <w:spacing w:after="0" w:line="178" w:lineRule="exact"/>
              <w:rPr>
                <w:sz w:val="20"/>
                <w:szCs w:val="20"/>
                <w:color w:val="auto"/>
              </w:rPr>
            </w:pPr>
            <w:r>
              <w:rPr>
                <w:rFonts w:ascii="Arial" w:cs="Arial" w:eastAsia="Arial" w:hAnsi="Arial"/>
                <w:sz w:val="16"/>
                <w:szCs w:val="16"/>
                <w:b w:val="1"/>
                <w:bCs w:val="1"/>
                <w:color w:val="auto"/>
                <w:w w:val="84"/>
              </w:rPr>
              <w:t>Plans</w:t>
            </w:r>
          </w:p>
        </w:tc>
        <w:tc>
          <w:tcPr>
            <w:tcW w:w="108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40"/>
              <w:spacing w:after="0" w:line="178" w:lineRule="exact"/>
              <w:rPr>
                <w:sz w:val="20"/>
                <w:szCs w:val="20"/>
                <w:color w:val="auto"/>
              </w:rPr>
            </w:pPr>
            <w:r>
              <w:rPr>
                <w:rFonts w:ascii="Arial" w:cs="Arial" w:eastAsia="Arial" w:hAnsi="Arial"/>
                <w:sz w:val="16"/>
                <w:szCs w:val="16"/>
                <w:b w:val="1"/>
                <w:bCs w:val="1"/>
                <w:color w:val="auto"/>
                <w:w w:val="91"/>
              </w:rPr>
              <w:t>Derivatives</w:t>
            </w:r>
          </w:p>
        </w:tc>
        <w:tc>
          <w:tcPr>
            <w:tcW w:w="160" w:type="dxa"/>
            <w:vAlign w:val="bottom"/>
          </w:tcPr>
          <w:p>
            <w:pPr>
              <w:spacing w:after="0"/>
              <w:rPr>
                <w:sz w:val="15"/>
                <w:szCs w:val="15"/>
                <w:color w:val="auto"/>
              </w:rPr>
            </w:pPr>
          </w:p>
        </w:tc>
        <w:tc>
          <w:tcPr>
            <w:tcW w:w="840" w:type="dxa"/>
            <w:vAlign w:val="bottom"/>
          </w:tcPr>
          <w:p>
            <w:pPr>
              <w:jc w:val="right"/>
              <w:ind w:right="221"/>
              <w:spacing w:after="0" w:line="178"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3500" w:type="dxa"/>
            <w:vAlign w:val="bottom"/>
            <w:tcBorders>
              <w:bottom w:val="single" w:sz="8" w:color="D2EEF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52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Beginning balance – January 1, 2023</w:t>
            </w:r>
          </w:p>
        </w:tc>
        <w:tc>
          <w:tcPr>
            <w:tcW w:w="2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3,209</w:t>
            </w:r>
          </w:p>
        </w:tc>
        <w:tc>
          <w:tcPr>
            <w:tcW w:w="300" w:type="dxa"/>
            <w:vAlign w:val="bottom"/>
            <w:shd w:val="clear" w:color="auto" w:fill="D2EEF5"/>
          </w:tcPr>
          <w:p>
            <w:pPr>
              <w:spacing w:after="0"/>
              <w:rPr>
                <w:sz w:val="23"/>
                <w:szCs w:val="23"/>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(131,205)</w:t>
            </w:r>
          </w:p>
        </w:tc>
        <w:tc>
          <w:tcPr>
            <w:tcW w:w="28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21,343</w:t>
            </w:r>
          </w:p>
        </w:tc>
        <w:tc>
          <w:tcPr>
            <w:tcW w:w="280" w:type="dxa"/>
            <w:vAlign w:val="bottom"/>
            <w:shd w:val="clear" w:color="auto" w:fill="D2EEF5"/>
          </w:tcPr>
          <w:p>
            <w:pPr>
              <w:spacing w:after="0"/>
              <w:rPr>
                <w:sz w:val="23"/>
                <w:szCs w:val="23"/>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D2EEF5"/>
          </w:tcPr>
          <w:p>
            <w:pPr>
              <w:jc w:val="right"/>
              <w:spacing w:after="0"/>
              <w:rPr>
                <w:sz w:val="20"/>
                <w:szCs w:val="20"/>
                <w:color w:val="auto"/>
              </w:rPr>
            </w:pPr>
            <w:r>
              <w:rPr>
                <w:rFonts w:ascii="Arial" w:cs="Arial" w:eastAsia="Arial" w:hAnsi="Arial"/>
                <w:sz w:val="20"/>
                <w:szCs w:val="20"/>
                <w:color w:val="auto"/>
                <w:w w:val="93"/>
              </w:rPr>
              <w:t>(106,653)</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240" w:type="dxa"/>
            <w:vAlign w:val="bottom"/>
            <w:gridSpan w:val="2"/>
          </w:tcPr>
          <w:p>
            <w:pPr>
              <w:ind w:left="240"/>
              <w:spacing w:after="0"/>
              <w:rPr>
                <w:sz w:val="20"/>
                <w:szCs w:val="20"/>
                <w:color w:val="auto"/>
              </w:rPr>
            </w:pPr>
            <w:r>
              <w:rPr>
                <w:rFonts w:ascii="Arial" w:cs="Arial" w:eastAsia="Arial" w:hAnsi="Arial"/>
                <w:sz w:val="20"/>
                <w:szCs w:val="20"/>
                <w:color w:val="auto"/>
                <w:w w:val="94"/>
              </w:rPr>
              <w:t>Other comprehensive income (loss) before reclassifications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(10,308)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40,174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6,441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36,307</w:t>
            </w:r>
          </w:p>
        </w:tc>
        <w:tc>
          <w:tcPr>
            <w:tcW w:w="0" w:type="dxa"/>
            <w:vAlign w:val="bottom"/>
          </w:tcPr>
          <w:p>
            <w:pPr>
              <w:spacing w:after="0"/>
              <w:rPr>
                <w:sz w:val="1"/>
                <w:szCs w:val="1"/>
                <w:color w:val="auto"/>
              </w:rPr>
            </w:pPr>
          </w:p>
        </w:tc>
      </w:tr>
      <w:tr>
        <w:trPr>
          <w:trHeight w:val="198"/>
        </w:trPr>
        <w:tc>
          <w:tcPr>
            <w:tcW w:w="40" w:type="dxa"/>
            <w:vAlign w:val="bottom"/>
            <w:shd w:val="clear" w:color="auto" w:fill="D2EEF5"/>
          </w:tcPr>
          <w:p>
            <w:pPr>
              <w:spacing w:after="0"/>
              <w:rPr>
                <w:sz w:val="17"/>
                <w:szCs w:val="17"/>
                <w:color w:val="auto"/>
              </w:rPr>
            </w:pPr>
          </w:p>
        </w:tc>
        <w:tc>
          <w:tcPr>
            <w:tcW w:w="5240" w:type="dxa"/>
            <w:vAlign w:val="bottom"/>
            <w:gridSpan w:val="2"/>
            <w:shd w:val="clear" w:color="auto" w:fill="D2EEF5"/>
          </w:tcPr>
          <w:p>
            <w:pPr>
              <w:ind w:left="240"/>
              <w:spacing w:after="0" w:line="198" w:lineRule="exact"/>
              <w:rPr>
                <w:sz w:val="20"/>
                <w:szCs w:val="20"/>
                <w:color w:val="auto"/>
              </w:rPr>
            </w:pPr>
            <w:r>
              <w:rPr>
                <w:rFonts w:ascii="Arial" w:cs="Arial" w:eastAsia="Arial" w:hAnsi="Arial"/>
                <w:sz w:val="20"/>
                <w:szCs w:val="20"/>
                <w:color w:val="auto"/>
                <w:w w:val="91"/>
              </w:rPr>
              <w:t>Amounts reclassified from accumulated other comprehensive</w:t>
            </w:r>
          </w:p>
        </w:tc>
        <w:tc>
          <w:tcPr>
            <w:tcW w:w="200" w:type="dxa"/>
            <w:vAlign w:val="bottom"/>
            <w:shd w:val="clear" w:color="auto" w:fill="D2EEF5"/>
          </w:tcPr>
          <w:p>
            <w:pPr>
              <w:spacing w:after="0"/>
              <w:rPr>
                <w:sz w:val="17"/>
                <w:szCs w:val="17"/>
                <w:color w:val="auto"/>
              </w:rPr>
            </w:pPr>
          </w:p>
        </w:tc>
        <w:tc>
          <w:tcPr>
            <w:tcW w:w="880" w:type="dxa"/>
            <w:vAlign w:val="bottom"/>
            <w:shd w:val="clear" w:color="auto" w:fill="D2EEF5"/>
          </w:tcPr>
          <w:p>
            <w:pPr>
              <w:spacing w:after="0"/>
              <w:rPr>
                <w:sz w:val="17"/>
                <w:szCs w:val="17"/>
                <w:color w:val="auto"/>
              </w:rPr>
            </w:pPr>
          </w:p>
        </w:tc>
        <w:tc>
          <w:tcPr>
            <w:tcW w:w="30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90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940" w:type="dxa"/>
            <w:vAlign w:val="bottom"/>
            <w:shd w:val="clear" w:color="auto" w:fill="D2EEF5"/>
          </w:tcPr>
          <w:p>
            <w:pPr>
              <w:spacing w:after="0"/>
              <w:rPr>
                <w:sz w:val="17"/>
                <w:szCs w:val="17"/>
                <w:color w:val="auto"/>
              </w:rPr>
            </w:pPr>
          </w:p>
        </w:tc>
        <w:tc>
          <w:tcPr>
            <w:tcW w:w="28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840" w:type="dxa"/>
            <w:vAlign w:val="bottom"/>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0" w:type="dxa"/>
            <w:vAlign w:val="bottom"/>
            <w:shd w:val="clear" w:color="auto" w:fill="D2EEF5"/>
          </w:tcPr>
          <w:p>
            <w:pPr>
              <w:spacing w:after="0"/>
              <w:rPr>
                <w:sz w:val="24"/>
                <w:szCs w:val="24"/>
                <w:color w:val="auto"/>
              </w:rPr>
            </w:pPr>
          </w:p>
        </w:tc>
        <w:tc>
          <w:tcPr>
            <w:tcW w:w="5240" w:type="dxa"/>
            <w:vAlign w:val="bottom"/>
            <w:gridSpan w:val="2"/>
            <w:shd w:val="clear" w:color="auto" w:fill="D2EEF5"/>
          </w:tcPr>
          <w:p>
            <w:pPr>
              <w:ind w:left="240"/>
              <w:spacing w:after="0"/>
              <w:rPr>
                <w:sz w:val="20"/>
                <w:szCs w:val="20"/>
                <w:color w:val="auto"/>
              </w:rPr>
            </w:pPr>
            <w:r>
              <w:rPr>
                <w:rFonts w:ascii="Arial" w:cs="Arial" w:eastAsia="Arial" w:hAnsi="Arial"/>
                <w:sz w:val="20"/>
                <w:szCs w:val="20"/>
                <w:color w:val="auto"/>
              </w:rPr>
              <w:t>income (loss)</w:t>
            </w:r>
          </w:p>
        </w:tc>
        <w:tc>
          <w:tcPr>
            <w:tcW w:w="200" w:type="dxa"/>
            <w:vAlign w:val="bottom"/>
            <w:shd w:val="clear" w:color="auto" w:fill="D2EEF5"/>
          </w:tcPr>
          <w:p>
            <w:pPr>
              <w:spacing w:after="0"/>
              <w:rPr>
                <w:sz w:val="24"/>
                <w:szCs w:val="24"/>
                <w:color w:val="auto"/>
              </w:rPr>
            </w:pPr>
          </w:p>
        </w:tc>
        <w:tc>
          <w:tcPr>
            <w:tcW w:w="1180" w:type="dxa"/>
            <w:vAlign w:val="bottom"/>
            <w:gridSpan w:val="2"/>
            <w:shd w:val="clear" w:color="auto" w:fill="D2EEF5"/>
          </w:tcPr>
          <w:p>
            <w:pPr>
              <w:jc w:val="right"/>
              <w:ind w:right="100"/>
              <w:spacing w:after="0" w:line="263" w:lineRule="exact"/>
              <w:rPr>
                <w:sz w:val="20"/>
                <w:szCs w:val="20"/>
                <w:color w:val="auto"/>
              </w:rPr>
            </w:pPr>
            <w:r>
              <w:rPr>
                <w:rFonts w:ascii="Arial" w:cs="Arial" w:eastAsia="Arial" w:hAnsi="Arial"/>
                <w:sz w:val="20"/>
                <w:szCs w:val="20"/>
                <w:color w:val="auto"/>
              </w:rPr>
              <w:t xml:space="preserve">(198) </w:t>
            </w:r>
            <w:r>
              <w:rPr>
                <w:rFonts w:ascii="Arial" w:cs="Arial" w:eastAsia="Arial" w:hAnsi="Arial"/>
                <w:sz w:val="26"/>
                <w:szCs w:val="26"/>
                <w:color w:val="auto"/>
                <w:vertAlign w:val="subscript"/>
              </w:rPr>
              <w:t>(a)</w:t>
            </w:r>
          </w:p>
        </w:tc>
        <w:tc>
          <w:tcPr>
            <w:tcW w:w="18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220" w:type="dxa"/>
            <w:vAlign w:val="bottom"/>
            <w:gridSpan w:val="2"/>
            <w:shd w:val="clear" w:color="auto" w:fill="D2EEF5"/>
          </w:tcPr>
          <w:p>
            <w:pPr>
              <w:jc w:val="right"/>
              <w:ind w:right="60"/>
              <w:spacing w:after="0" w:line="263" w:lineRule="exact"/>
              <w:rPr>
                <w:sz w:val="20"/>
                <w:szCs w:val="20"/>
                <w:color w:val="auto"/>
              </w:rPr>
            </w:pPr>
            <w:r>
              <w:rPr>
                <w:rFonts w:ascii="Arial" w:cs="Arial" w:eastAsia="Arial" w:hAnsi="Arial"/>
                <w:sz w:val="20"/>
                <w:szCs w:val="20"/>
                <w:color w:val="auto"/>
              </w:rPr>
              <w:t xml:space="preserve">(22,138) </w:t>
            </w:r>
            <w:r>
              <w:rPr>
                <w:rFonts w:ascii="Arial" w:cs="Arial" w:eastAsia="Arial" w:hAnsi="Arial"/>
                <w:sz w:val="26"/>
                <w:szCs w:val="26"/>
                <w:color w:val="auto"/>
                <w:vertAlign w:val="subscript"/>
              </w:rPr>
              <w:t>(b)</w:t>
            </w:r>
          </w:p>
        </w:tc>
        <w:tc>
          <w:tcPr>
            <w:tcW w:w="160" w:type="dxa"/>
            <w:vAlign w:val="bottom"/>
            <w:shd w:val="clear" w:color="auto" w:fill="D2EEF5"/>
          </w:tcPr>
          <w:p>
            <w:pPr>
              <w:spacing w:after="0"/>
              <w:rPr>
                <w:sz w:val="24"/>
                <w:szCs w:val="24"/>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(22,336)</w:t>
            </w:r>
          </w:p>
        </w:tc>
        <w:tc>
          <w:tcPr>
            <w:tcW w:w="0" w:type="dxa"/>
            <w:vAlign w:val="bottom"/>
          </w:tcPr>
          <w:p>
            <w:pPr>
              <w:spacing w:after="0"/>
              <w:rPr>
                <w:sz w:val="1"/>
                <w:szCs w:val="1"/>
                <w:color w:val="auto"/>
              </w:rPr>
            </w:pPr>
          </w:p>
        </w:tc>
      </w:tr>
      <w:tr>
        <w:trPr>
          <w:trHeight w:val="245"/>
        </w:trPr>
        <w:tc>
          <w:tcPr>
            <w:tcW w:w="40" w:type="dxa"/>
            <w:vAlign w:val="bottom"/>
            <w:tcBorders>
              <w:top w:val="single" w:sz="8" w:color="D2EEF5"/>
              <w:bottom w:val="single" w:sz="8" w:color="D2EEF5"/>
            </w:tcBorders>
          </w:tcPr>
          <w:p>
            <w:pPr>
              <w:spacing w:after="0"/>
              <w:rPr>
                <w:sz w:val="21"/>
                <w:szCs w:val="21"/>
                <w:color w:val="auto"/>
              </w:rPr>
            </w:pPr>
          </w:p>
        </w:tc>
        <w:tc>
          <w:tcPr>
            <w:tcW w:w="5240" w:type="dxa"/>
            <w:vAlign w:val="bottom"/>
            <w:tcBorders>
              <w:top w:val="single" w:sz="8" w:color="D2EEF5"/>
              <w:bottom w:val="single" w:sz="8" w:color="D2EEF5"/>
            </w:tcBorders>
            <w:gridSpan w:val="2"/>
          </w:tcPr>
          <w:p>
            <w:pPr>
              <w:spacing w:after="0"/>
              <w:rPr>
                <w:sz w:val="20"/>
                <w:szCs w:val="20"/>
                <w:color w:val="auto"/>
              </w:rPr>
            </w:pPr>
            <w:r>
              <w:rPr>
                <w:rFonts w:ascii="Arial" w:cs="Arial" w:eastAsia="Arial" w:hAnsi="Arial"/>
                <w:sz w:val="20"/>
                <w:szCs w:val="20"/>
                <w:b w:val="1"/>
                <w:bCs w:val="1"/>
                <w:color w:val="auto"/>
              </w:rPr>
              <w:t>Net current-period other comprehensive income (loss)</w:t>
            </w: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(10,506)</w:t>
            </w:r>
          </w:p>
        </w:tc>
        <w:tc>
          <w:tcPr>
            <w:tcW w:w="300" w:type="dxa"/>
            <w:vAlign w:val="bottom"/>
            <w:tcBorders>
              <w:top w:val="single" w:sz="8" w:color="D2EEF5"/>
              <w:bottom w:val="single" w:sz="8" w:color="D2EEF5"/>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40,174</w:t>
            </w:r>
          </w:p>
        </w:tc>
        <w:tc>
          <w:tcPr>
            <w:tcW w:w="120" w:type="dxa"/>
            <w:vAlign w:val="bottom"/>
            <w:tcBorders>
              <w:top w:val="single" w:sz="8" w:color="D2EEF5"/>
              <w:bottom w:val="single" w:sz="8" w:color="D2EEF5"/>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(15,697)</w:t>
            </w:r>
          </w:p>
        </w:tc>
        <w:tc>
          <w:tcPr>
            <w:tcW w:w="280" w:type="dxa"/>
            <w:vAlign w:val="bottom"/>
            <w:tcBorders>
              <w:top w:val="single" w:sz="8" w:color="D2EEF5"/>
              <w:bottom w:val="single" w:sz="8" w:color="D2EEF5"/>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13,971</w:t>
            </w:r>
          </w:p>
        </w:tc>
        <w:tc>
          <w:tcPr>
            <w:tcW w:w="0" w:type="dxa"/>
            <w:vAlign w:val="bottom"/>
          </w:tcPr>
          <w:p>
            <w:pPr>
              <w:spacing w:after="0"/>
              <w:rPr>
                <w:sz w:val="1"/>
                <w:szCs w:val="1"/>
                <w:color w:val="auto"/>
              </w:rPr>
            </w:pPr>
          </w:p>
        </w:tc>
      </w:tr>
      <w:tr>
        <w:trPr>
          <w:trHeight w:val="265"/>
        </w:trPr>
        <w:tc>
          <w:tcPr>
            <w:tcW w:w="40" w:type="dxa"/>
            <w:vAlign w:val="bottom"/>
            <w:shd w:val="clear" w:color="auto" w:fill="D2EEF5"/>
          </w:tcPr>
          <w:p>
            <w:pPr>
              <w:spacing w:after="0"/>
              <w:rPr>
                <w:sz w:val="23"/>
                <w:szCs w:val="23"/>
                <w:color w:val="auto"/>
              </w:rPr>
            </w:pPr>
          </w:p>
        </w:tc>
        <w:tc>
          <w:tcPr>
            <w:tcW w:w="52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Ending balance – December 31, 2023</w:t>
            </w:r>
          </w:p>
        </w:tc>
        <w:tc>
          <w:tcPr>
            <w:tcW w:w="2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(7,297)</w:t>
            </w:r>
          </w:p>
        </w:tc>
        <w:tc>
          <w:tcPr>
            <w:tcW w:w="300" w:type="dxa"/>
            <w:vAlign w:val="bottom"/>
            <w:shd w:val="clear" w:color="auto" w:fill="D2EEF5"/>
          </w:tcPr>
          <w:p>
            <w:pPr>
              <w:spacing w:after="0"/>
              <w:rPr>
                <w:sz w:val="23"/>
                <w:szCs w:val="23"/>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(91,031)</w:t>
            </w:r>
          </w:p>
        </w:tc>
        <w:tc>
          <w:tcPr>
            <w:tcW w:w="28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5,646</w:t>
            </w:r>
          </w:p>
        </w:tc>
        <w:tc>
          <w:tcPr>
            <w:tcW w:w="280" w:type="dxa"/>
            <w:vAlign w:val="bottom"/>
            <w:shd w:val="clear" w:color="auto" w:fill="D2EEF5"/>
          </w:tcPr>
          <w:p>
            <w:pPr>
              <w:spacing w:after="0"/>
              <w:rPr>
                <w:sz w:val="23"/>
                <w:szCs w:val="23"/>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(92,682)</w:t>
            </w:r>
          </w:p>
        </w:tc>
        <w:tc>
          <w:tcPr>
            <w:tcW w:w="0" w:type="dxa"/>
            <w:vAlign w:val="bottom"/>
          </w:tcPr>
          <w:p>
            <w:pPr>
              <w:spacing w:after="0"/>
              <w:rPr>
                <w:sz w:val="1"/>
                <w:szCs w:val="1"/>
                <w:color w:val="auto"/>
              </w:rPr>
            </w:pP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tcBorders>
          </w:tcPr>
          <w:p>
            <w:pPr>
              <w:spacing w:after="0" w:line="20" w:lineRule="exact"/>
              <w:rPr>
                <w:sz w:val="1"/>
                <w:szCs w:val="1"/>
                <w:color w:val="auto"/>
              </w:rPr>
            </w:pPr>
          </w:p>
        </w:tc>
        <w:tc>
          <w:tcPr>
            <w:tcW w:w="3500" w:type="dxa"/>
            <w:vAlign w:val="bottom"/>
            <w:tcBorders>
              <w:top w:val="single" w:sz="8" w:color="D2EEF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2EEF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D2EEF5"/>
          </w:tcPr>
          <w:p>
            <w:pPr>
              <w:spacing w:after="0"/>
              <w:rPr>
                <w:sz w:val="24"/>
                <w:szCs w:val="24"/>
                <w:color w:val="auto"/>
              </w:rPr>
            </w:pPr>
          </w:p>
        </w:tc>
        <w:tc>
          <w:tcPr>
            <w:tcW w:w="52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Beginning balance – January 1, 2024</w:t>
            </w:r>
          </w:p>
        </w:tc>
        <w:tc>
          <w:tcPr>
            <w:tcW w:w="2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(7,297)</w:t>
            </w:r>
          </w:p>
        </w:tc>
        <w:tc>
          <w:tcPr>
            <w:tcW w:w="300" w:type="dxa"/>
            <w:vAlign w:val="bottom"/>
            <w:shd w:val="clear" w:color="auto" w:fill="D2EEF5"/>
          </w:tcPr>
          <w:p>
            <w:pPr>
              <w:spacing w:after="0"/>
              <w:rPr>
                <w:sz w:val="24"/>
                <w:szCs w:val="24"/>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(91,031)</w:t>
            </w:r>
          </w:p>
        </w:tc>
        <w:tc>
          <w:tcPr>
            <w:tcW w:w="28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5,646</w:t>
            </w:r>
          </w:p>
        </w:tc>
        <w:tc>
          <w:tcPr>
            <w:tcW w:w="280" w:type="dxa"/>
            <w:vAlign w:val="bottom"/>
            <w:shd w:val="clear" w:color="auto" w:fill="D2EEF5"/>
          </w:tcPr>
          <w:p>
            <w:pPr>
              <w:spacing w:after="0"/>
              <w:rPr>
                <w:sz w:val="24"/>
                <w:szCs w:val="24"/>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(92,682)</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240" w:type="dxa"/>
            <w:vAlign w:val="bottom"/>
            <w:gridSpan w:val="2"/>
          </w:tcPr>
          <w:p>
            <w:pPr>
              <w:ind w:left="240"/>
              <w:spacing w:after="0"/>
              <w:rPr>
                <w:sz w:val="20"/>
                <w:szCs w:val="20"/>
                <w:color w:val="auto"/>
              </w:rPr>
            </w:pPr>
            <w:r>
              <w:rPr>
                <w:rFonts w:ascii="Arial" w:cs="Arial" w:eastAsia="Arial" w:hAnsi="Arial"/>
                <w:sz w:val="20"/>
                <w:szCs w:val="20"/>
                <w:color w:val="auto"/>
                <w:w w:val="94"/>
              </w:rPr>
              <w:t>Other comprehensive income (loss) before reclassifications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8,632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(118,635)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4,449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w w:val="93"/>
              </w:rPr>
              <w:t>(105,554)</w:t>
            </w:r>
          </w:p>
        </w:tc>
        <w:tc>
          <w:tcPr>
            <w:tcW w:w="0" w:type="dxa"/>
            <w:vAlign w:val="bottom"/>
          </w:tcPr>
          <w:p>
            <w:pPr>
              <w:spacing w:after="0"/>
              <w:rPr>
                <w:sz w:val="1"/>
                <w:szCs w:val="1"/>
                <w:color w:val="auto"/>
              </w:rPr>
            </w:pPr>
          </w:p>
        </w:tc>
      </w:tr>
      <w:tr>
        <w:trPr>
          <w:trHeight w:val="198"/>
        </w:trPr>
        <w:tc>
          <w:tcPr>
            <w:tcW w:w="40" w:type="dxa"/>
            <w:vAlign w:val="bottom"/>
            <w:shd w:val="clear" w:color="auto" w:fill="D2EEF5"/>
          </w:tcPr>
          <w:p>
            <w:pPr>
              <w:spacing w:after="0"/>
              <w:rPr>
                <w:sz w:val="17"/>
                <w:szCs w:val="17"/>
                <w:color w:val="auto"/>
              </w:rPr>
            </w:pPr>
          </w:p>
        </w:tc>
        <w:tc>
          <w:tcPr>
            <w:tcW w:w="5240" w:type="dxa"/>
            <w:vAlign w:val="bottom"/>
            <w:gridSpan w:val="2"/>
            <w:shd w:val="clear" w:color="auto" w:fill="D2EEF5"/>
          </w:tcPr>
          <w:p>
            <w:pPr>
              <w:ind w:left="240"/>
              <w:spacing w:after="0" w:line="198" w:lineRule="exact"/>
              <w:rPr>
                <w:sz w:val="20"/>
                <w:szCs w:val="20"/>
                <w:color w:val="auto"/>
              </w:rPr>
            </w:pPr>
            <w:r>
              <w:rPr>
                <w:rFonts w:ascii="Arial" w:cs="Arial" w:eastAsia="Arial" w:hAnsi="Arial"/>
                <w:sz w:val="20"/>
                <w:szCs w:val="20"/>
                <w:color w:val="auto"/>
                <w:w w:val="91"/>
              </w:rPr>
              <w:t>Amounts reclassified from accumulated other comprehensive</w:t>
            </w:r>
          </w:p>
        </w:tc>
        <w:tc>
          <w:tcPr>
            <w:tcW w:w="200" w:type="dxa"/>
            <w:vAlign w:val="bottom"/>
            <w:shd w:val="clear" w:color="auto" w:fill="D2EEF5"/>
          </w:tcPr>
          <w:p>
            <w:pPr>
              <w:spacing w:after="0"/>
              <w:rPr>
                <w:sz w:val="17"/>
                <w:szCs w:val="17"/>
                <w:color w:val="auto"/>
              </w:rPr>
            </w:pPr>
          </w:p>
        </w:tc>
        <w:tc>
          <w:tcPr>
            <w:tcW w:w="880" w:type="dxa"/>
            <w:vAlign w:val="bottom"/>
            <w:shd w:val="clear" w:color="auto" w:fill="D2EEF5"/>
          </w:tcPr>
          <w:p>
            <w:pPr>
              <w:spacing w:after="0"/>
              <w:rPr>
                <w:sz w:val="17"/>
                <w:szCs w:val="17"/>
                <w:color w:val="auto"/>
              </w:rPr>
            </w:pPr>
          </w:p>
        </w:tc>
        <w:tc>
          <w:tcPr>
            <w:tcW w:w="30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90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940" w:type="dxa"/>
            <w:vAlign w:val="bottom"/>
            <w:shd w:val="clear" w:color="auto" w:fill="D2EEF5"/>
          </w:tcPr>
          <w:p>
            <w:pPr>
              <w:spacing w:after="0"/>
              <w:rPr>
                <w:sz w:val="17"/>
                <w:szCs w:val="17"/>
                <w:color w:val="auto"/>
              </w:rPr>
            </w:pPr>
          </w:p>
        </w:tc>
        <w:tc>
          <w:tcPr>
            <w:tcW w:w="28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840" w:type="dxa"/>
            <w:vAlign w:val="bottom"/>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0" w:type="dxa"/>
            <w:vAlign w:val="bottom"/>
            <w:shd w:val="clear" w:color="auto" w:fill="D2EEF5"/>
          </w:tcPr>
          <w:p>
            <w:pPr>
              <w:spacing w:after="0"/>
              <w:rPr>
                <w:sz w:val="24"/>
                <w:szCs w:val="24"/>
                <w:color w:val="auto"/>
              </w:rPr>
            </w:pPr>
          </w:p>
        </w:tc>
        <w:tc>
          <w:tcPr>
            <w:tcW w:w="5240" w:type="dxa"/>
            <w:vAlign w:val="bottom"/>
            <w:gridSpan w:val="2"/>
            <w:shd w:val="clear" w:color="auto" w:fill="D2EEF5"/>
          </w:tcPr>
          <w:p>
            <w:pPr>
              <w:ind w:left="240"/>
              <w:spacing w:after="0"/>
              <w:rPr>
                <w:sz w:val="20"/>
                <w:szCs w:val="20"/>
                <w:color w:val="auto"/>
              </w:rPr>
            </w:pPr>
            <w:r>
              <w:rPr>
                <w:rFonts w:ascii="Arial" w:cs="Arial" w:eastAsia="Arial" w:hAnsi="Arial"/>
                <w:sz w:val="20"/>
                <w:szCs w:val="20"/>
                <w:color w:val="auto"/>
              </w:rPr>
              <w:t>income (loss)</w:t>
            </w:r>
          </w:p>
        </w:tc>
        <w:tc>
          <w:tcPr>
            <w:tcW w:w="200" w:type="dxa"/>
            <w:vAlign w:val="bottom"/>
            <w:shd w:val="clear" w:color="auto" w:fill="D2EEF5"/>
          </w:tcPr>
          <w:p>
            <w:pPr>
              <w:spacing w:after="0"/>
              <w:rPr>
                <w:sz w:val="24"/>
                <w:szCs w:val="24"/>
                <w:color w:val="auto"/>
              </w:rPr>
            </w:pPr>
          </w:p>
        </w:tc>
        <w:tc>
          <w:tcPr>
            <w:tcW w:w="1180" w:type="dxa"/>
            <w:vAlign w:val="bottom"/>
            <w:gridSpan w:val="2"/>
            <w:shd w:val="clear" w:color="auto" w:fill="D2EEF5"/>
          </w:tcPr>
          <w:p>
            <w:pPr>
              <w:jc w:val="right"/>
              <w:ind w:right="100"/>
              <w:spacing w:after="0" w:line="263" w:lineRule="exact"/>
              <w:rPr>
                <w:sz w:val="20"/>
                <w:szCs w:val="20"/>
                <w:color w:val="auto"/>
              </w:rPr>
            </w:pPr>
            <w:r>
              <w:rPr>
                <w:rFonts w:ascii="Arial" w:cs="Arial" w:eastAsia="Arial" w:hAnsi="Arial"/>
                <w:sz w:val="20"/>
                <w:szCs w:val="20"/>
                <w:color w:val="auto"/>
              </w:rPr>
              <w:t xml:space="preserve">(170) </w:t>
            </w:r>
            <w:r>
              <w:rPr>
                <w:rFonts w:ascii="Arial" w:cs="Arial" w:eastAsia="Arial" w:hAnsi="Arial"/>
                <w:sz w:val="26"/>
                <w:szCs w:val="26"/>
                <w:color w:val="auto"/>
                <w:vertAlign w:val="subscript"/>
              </w:rPr>
              <w:t>(a)</w:t>
            </w:r>
          </w:p>
        </w:tc>
        <w:tc>
          <w:tcPr>
            <w:tcW w:w="18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220" w:type="dxa"/>
            <w:vAlign w:val="bottom"/>
            <w:gridSpan w:val="2"/>
            <w:shd w:val="clear" w:color="auto" w:fill="D2EEF5"/>
          </w:tcPr>
          <w:p>
            <w:pPr>
              <w:jc w:val="right"/>
              <w:ind w:right="60"/>
              <w:spacing w:after="0" w:line="263" w:lineRule="exact"/>
              <w:rPr>
                <w:sz w:val="20"/>
                <w:szCs w:val="20"/>
                <w:color w:val="auto"/>
              </w:rPr>
            </w:pPr>
            <w:r>
              <w:rPr>
                <w:rFonts w:ascii="Arial" w:cs="Arial" w:eastAsia="Arial" w:hAnsi="Arial"/>
                <w:sz w:val="20"/>
                <w:szCs w:val="20"/>
                <w:color w:val="auto"/>
              </w:rPr>
              <w:t xml:space="preserve">(9,845) </w:t>
            </w:r>
            <w:r>
              <w:rPr>
                <w:rFonts w:ascii="Arial" w:cs="Arial" w:eastAsia="Arial" w:hAnsi="Arial"/>
                <w:sz w:val="26"/>
                <w:szCs w:val="26"/>
                <w:color w:val="auto"/>
                <w:vertAlign w:val="subscript"/>
              </w:rPr>
              <w:t>(b)</w:t>
            </w:r>
          </w:p>
        </w:tc>
        <w:tc>
          <w:tcPr>
            <w:tcW w:w="160" w:type="dxa"/>
            <w:vAlign w:val="bottom"/>
            <w:shd w:val="clear" w:color="auto" w:fill="D2EEF5"/>
          </w:tcPr>
          <w:p>
            <w:pPr>
              <w:spacing w:after="0"/>
              <w:rPr>
                <w:sz w:val="24"/>
                <w:szCs w:val="24"/>
                <w:color w:val="auto"/>
              </w:rPr>
            </w:pPr>
          </w:p>
        </w:tc>
        <w:tc>
          <w:tcPr>
            <w:tcW w:w="8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(10,015)</w:t>
            </w:r>
          </w:p>
        </w:tc>
        <w:tc>
          <w:tcPr>
            <w:tcW w:w="0" w:type="dxa"/>
            <w:vAlign w:val="bottom"/>
          </w:tcPr>
          <w:p>
            <w:pPr>
              <w:spacing w:after="0"/>
              <w:rPr>
                <w:sz w:val="1"/>
                <w:szCs w:val="1"/>
                <w:color w:val="auto"/>
              </w:rPr>
            </w:pPr>
          </w:p>
        </w:tc>
      </w:tr>
      <w:tr>
        <w:trPr>
          <w:trHeight w:val="245"/>
        </w:trPr>
        <w:tc>
          <w:tcPr>
            <w:tcW w:w="40" w:type="dxa"/>
            <w:vAlign w:val="bottom"/>
            <w:tcBorders>
              <w:top w:val="single" w:sz="8" w:color="D2EEF5"/>
              <w:bottom w:val="single" w:sz="8" w:color="D2EEF5"/>
            </w:tcBorders>
          </w:tcPr>
          <w:p>
            <w:pPr>
              <w:spacing w:after="0"/>
              <w:rPr>
                <w:sz w:val="21"/>
                <w:szCs w:val="21"/>
                <w:color w:val="auto"/>
              </w:rPr>
            </w:pPr>
          </w:p>
        </w:tc>
        <w:tc>
          <w:tcPr>
            <w:tcW w:w="5240" w:type="dxa"/>
            <w:vAlign w:val="bottom"/>
            <w:tcBorders>
              <w:top w:val="single" w:sz="8" w:color="D2EEF5"/>
              <w:bottom w:val="single" w:sz="8" w:color="D2EEF5"/>
            </w:tcBorders>
            <w:gridSpan w:val="2"/>
          </w:tcPr>
          <w:p>
            <w:pPr>
              <w:spacing w:after="0"/>
              <w:rPr>
                <w:sz w:val="20"/>
                <w:szCs w:val="20"/>
                <w:color w:val="auto"/>
              </w:rPr>
            </w:pPr>
            <w:r>
              <w:rPr>
                <w:rFonts w:ascii="Arial" w:cs="Arial" w:eastAsia="Arial" w:hAnsi="Arial"/>
                <w:sz w:val="20"/>
                <w:szCs w:val="20"/>
                <w:b w:val="1"/>
                <w:bCs w:val="1"/>
                <w:color w:val="auto"/>
              </w:rPr>
              <w:t>Net current-period other comprehensive income (loss)</w:t>
            </w: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8,462</w:t>
            </w:r>
          </w:p>
        </w:tc>
        <w:tc>
          <w:tcPr>
            <w:tcW w:w="300" w:type="dxa"/>
            <w:vAlign w:val="bottom"/>
            <w:tcBorders>
              <w:top w:val="single" w:sz="8" w:color="D2EEF5"/>
              <w:bottom w:val="single" w:sz="8" w:color="D2EEF5"/>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(118,635)</w:t>
            </w:r>
          </w:p>
        </w:tc>
        <w:tc>
          <w:tcPr>
            <w:tcW w:w="120" w:type="dxa"/>
            <w:vAlign w:val="bottom"/>
            <w:tcBorders>
              <w:top w:val="single" w:sz="8" w:color="D2EEF5"/>
              <w:bottom w:val="single" w:sz="8" w:color="D2EEF5"/>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(5,396)</w:t>
            </w:r>
          </w:p>
        </w:tc>
        <w:tc>
          <w:tcPr>
            <w:tcW w:w="280" w:type="dxa"/>
            <w:vAlign w:val="bottom"/>
            <w:tcBorders>
              <w:top w:val="single" w:sz="8" w:color="D2EEF5"/>
              <w:bottom w:val="single" w:sz="8" w:color="D2EEF5"/>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3"/>
              </w:rPr>
              <w:t>(115,569)</w:t>
            </w:r>
          </w:p>
        </w:tc>
        <w:tc>
          <w:tcPr>
            <w:tcW w:w="0" w:type="dxa"/>
            <w:vAlign w:val="bottom"/>
          </w:tcPr>
          <w:p>
            <w:pPr>
              <w:spacing w:after="0"/>
              <w:rPr>
                <w:sz w:val="1"/>
                <w:szCs w:val="1"/>
                <w:color w:val="auto"/>
              </w:rPr>
            </w:pPr>
          </w:p>
        </w:tc>
      </w:tr>
      <w:tr>
        <w:trPr>
          <w:trHeight w:val="265"/>
        </w:trPr>
        <w:tc>
          <w:tcPr>
            <w:tcW w:w="40" w:type="dxa"/>
            <w:vAlign w:val="bottom"/>
            <w:shd w:val="clear" w:color="auto" w:fill="D2EEF5"/>
          </w:tcPr>
          <w:p>
            <w:pPr>
              <w:spacing w:after="0"/>
              <w:rPr>
                <w:sz w:val="23"/>
                <w:szCs w:val="23"/>
                <w:color w:val="auto"/>
              </w:rPr>
            </w:pPr>
          </w:p>
        </w:tc>
        <w:tc>
          <w:tcPr>
            <w:tcW w:w="52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Ending balance – December 31, 2024</w:t>
            </w:r>
          </w:p>
        </w:tc>
        <w:tc>
          <w:tcPr>
            <w:tcW w:w="2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1,165</w:t>
            </w:r>
          </w:p>
        </w:tc>
        <w:tc>
          <w:tcPr>
            <w:tcW w:w="300" w:type="dxa"/>
            <w:vAlign w:val="bottom"/>
            <w:shd w:val="clear" w:color="auto" w:fill="D2EEF5"/>
          </w:tcPr>
          <w:p>
            <w:pPr>
              <w:spacing w:after="0"/>
              <w:rPr>
                <w:sz w:val="23"/>
                <w:szCs w:val="23"/>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(209,666)</w:t>
            </w:r>
          </w:p>
        </w:tc>
        <w:tc>
          <w:tcPr>
            <w:tcW w:w="28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250</w:t>
            </w:r>
          </w:p>
        </w:tc>
        <w:tc>
          <w:tcPr>
            <w:tcW w:w="280" w:type="dxa"/>
            <w:vAlign w:val="bottom"/>
            <w:shd w:val="clear" w:color="auto" w:fill="D2EEF5"/>
          </w:tcPr>
          <w:p>
            <w:pPr>
              <w:spacing w:after="0"/>
              <w:rPr>
                <w:sz w:val="23"/>
                <w:szCs w:val="23"/>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D2EEF5"/>
          </w:tcPr>
          <w:p>
            <w:pPr>
              <w:jc w:val="right"/>
              <w:spacing w:after="0"/>
              <w:rPr>
                <w:sz w:val="20"/>
                <w:szCs w:val="20"/>
                <w:color w:val="auto"/>
              </w:rPr>
            </w:pPr>
            <w:r>
              <w:rPr>
                <w:rFonts w:ascii="Arial" w:cs="Arial" w:eastAsia="Arial" w:hAnsi="Arial"/>
                <w:sz w:val="20"/>
                <w:szCs w:val="20"/>
                <w:color w:val="auto"/>
                <w:w w:val="93"/>
              </w:rPr>
              <w:t>(208,251)</w:t>
            </w:r>
          </w:p>
        </w:tc>
        <w:tc>
          <w:tcPr>
            <w:tcW w:w="0" w:type="dxa"/>
            <w:vAlign w:val="bottom"/>
          </w:tcPr>
          <w:p>
            <w:pPr>
              <w:spacing w:after="0"/>
              <w:rPr>
                <w:sz w:val="1"/>
                <w:szCs w:val="1"/>
                <w:color w:val="auto"/>
              </w:rPr>
            </w:pP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tcBorders>
          </w:tcPr>
          <w:p>
            <w:pPr>
              <w:spacing w:after="0" w:line="20" w:lineRule="exact"/>
              <w:rPr>
                <w:sz w:val="1"/>
                <w:szCs w:val="1"/>
                <w:color w:val="auto"/>
              </w:rPr>
            </w:pPr>
          </w:p>
        </w:tc>
        <w:tc>
          <w:tcPr>
            <w:tcW w:w="3500" w:type="dxa"/>
            <w:vAlign w:val="bottom"/>
            <w:tcBorders>
              <w:top w:val="single" w:sz="8" w:color="D2EEF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2EEF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D2EEF5"/>
          </w:tcPr>
          <w:p>
            <w:pPr>
              <w:spacing w:after="0"/>
              <w:rPr>
                <w:sz w:val="24"/>
                <w:szCs w:val="24"/>
                <w:color w:val="auto"/>
              </w:rPr>
            </w:pPr>
          </w:p>
        </w:tc>
        <w:tc>
          <w:tcPr>
            <w:tcW w:w="52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Beginning balance – January 1, 2025</w:t>
            </w:r>
          </w:p>
        </w:tc>
        <w:tc>
          <w:tcPr>
            <w:tcW w:w="2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1,165</w:t>
            </w:r>
          </w:p>
        </w:tc>
        <w:tc>
          <w:tcPr>
            <w:tcW w:w="300" w:type="dxa"/>
            <w:vAlign w:val="bottom"/>
            <w:shd w:val="clear" w:color="auto" w:fill="D2EEF5"/>
          </w:tcPr>
          <w:p>
            <w:pPr>
              <w:spacing w:after="0"/>
              <w:rPr>
                <w:sz w:val="24"/>
                <w:szCs w:val="24"/>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(209,666)</w:t>
            </w:r>
          </w:p>
        </w:tc>
        <w:tc>
          <w:tcPr>
            <w:tcW w:w="280" w:type="dxa"/>
            <w:vAlign w:val="bottom"/>
            <w:gridSpan w:val="2"/>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250</w:t>
            </w:r>
          </w:p>
        </w:tc>
        <w:tc>
          <w:tcPr>
            <w:tcW w:w="280" w:type="dxa"/>
            <w:vAlign w:val="bottom"/>
            <w:shd w:val="clear" w:color="auto" w:fill="D2EEF5"/>
          </w:tcPr>
          <w:p>
            <w:pPr>
              <w:spacing w:after="0"/>
              <w:rPr>
                <w:sz w:val="24"/>
                <w:szCs w:val="24"/>
                <w:color w:val="auto"/>
              </w:rPr>
            </w:pPr>
          </w:p>
        </w:tc>
        <w:tc>
          <w:tcPr>
            <w:tcW w:w="16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w w:val="93"/>
              </w:rPr>
              <w:t>(208,251)</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240" w:type="dxa"/>
            <w:vAlign w:val="bottom"/>
            <w:gridSpan w:val="2"/>
          </w:tcPr>
          <w:p>
            <w:pPr>
              <w:ind w:left="240"/>
              <w:spacing w:after="0"/>
              <w:rPr>
                <w:sz w:val="20"/>
                <w:szCs w:val="20"/>
                <w:color w:val="auto"/>
              </w:rPr>
            </w:pPr>
            <w:r>
              <w:rPr>
                <w:rFonts w:ascii="Arial" w:cs="Arial" w:eastAsia="Arial" w:hAnsi="Arial"/>
                <w:sz w:val="20"/>
                <w:szCs w:val="20"/>
                <w:color w:val="auto"/>
                <w:w w:val="94"/>
              </w:rPr>
              <w:t>Other comprehensive income (loss) before reclassifications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2,455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98,115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(966)</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99,604</w:t>
            </w:r>
          </w:p>
        </w:tc>
        <w:tc>
          <w:tcPr>
            <w:tcW w:w="0" w:type="dxa"/>
            <w:vAlign w:val="bottom"/>
          </w:tcPr>
          <w:p>
            <w:pPr>
              <w:spacing w:after="0"/>
              <w:rPr>
                <w:sz w:val="1"/>
                <w:szCs w:val="1"/>
                <w:color w:val="auto"/>
              </w:rPr>
            </w:pPr>
          </w:p>
        </w:tc>
      </w:tr>
      <w:tr>
        <w:trPr>
          <w:trHeight w:val="198"/>
        </w:trPr>
        <w:tc>
          <w:tcPr>
            <w:tcW w:w="40" w:type="dxa"/>
            <w:vAlign w:val="bottom"/>
            <w:shd w:val="clear" w:color="auto" w:fill="D2EEF5"/>
          </w:tcPr>
          <w:p>
            <w:pPr>
              <w:spacing w:after="0"/>
              <w:rPr>
                <w:sz w:val="17"/>
                <w:szCs w:val="17"/>
                <w:color w:val="auto"/>
              </w:rPr>
            </w:pPr>
          </w:p>
        </w:tc>
        <w:tc>
          <w:tcPr>
            <w:tcW w:w="5240" w:type="dxa"/>
            <w:vAlign w:val="bottom"/>
            <w:gridSpan w:val="2"/>
            <w:shd w:val="clear" w:color="auto" w:fill="D2EEF5"/>
          </w:tcPr>
          <w:p>
            <w:pPr>
              <w:ind w:left="240"/>
              <w:spacing w:after="0" w:line="198" w:lineRule="exact"/>
              <w:rPr>
                <w:sz w:val="20"/>
                <w:szCs w:val="20"/>
                <w:color w:val="auto"/>
              </w:rPr>
            </w:pPr>
            <w:r>
              <w:rPr>
                <w:rFonts w:ascii="Arial" w:cs="Arial" w:eastAsia="Arial" w:hAnsi="Arial"/>
                <w:sz w:val="20"/>
                <w:szCs w:val="20"/>
                <w:color w:val="auto"/>
                <w:w w:val="91"/>
              </w:rPr>
              <w:t>Amounts reclassified from accumulated other comprehensive</w:t>
            </w:r>
          </w:p>
        </w:tc>
        <w:tc>
          <w:tcPr>
            <w:tcW w:w="200" w:type="dxa"/>
            <w:vAlign w:val="bottom"/>
            <w:shd w:val="clear" w:color="auto" w:fill="D2EEF5"/>
          </w:tcPr>
          <w:p>
            <w:pPr>
              <w:spacing w:after="0"/>
              <w:rPr>
                <w:sz w:val="17"/>
                <w:szCs w:val="17"/>
                <w:color w:val="auto"/>
              </w:rPr>
            </w:pPr>
          </w:p>
        </w:tc>
        <w:tc>
          <w:tcPr>
            <w:tcW w:w="1180" w:type="dxa"/>
            <w:vAlign w:val="bottom"/>
            <w:gridSpan w:val="2"/>
            <w:vMerge w:val="restart"/>
            <w:shd w:val="clear" w:color="auto" w:fill="D2EEF5"/>
          </w:tcPr>
          <w:p>
            <w:pPr>
              <w:jc w:val="right"/>
              <w:ind w:right="100"/>
              <w:spacing w:after="0"/>
              <w:rPr>
                <w:sz w:val="20"/>
                <w:szCs w:val="20"/>
                <w:color w:val="auto"/>
              </w:rPr>
            </w:pPr>
            <w:r>
              <w:rPr>
                <w:rFonts w:ascii="Arial" w:cs="Arial" w:eastAsia="Arial" w:hAnsi="Arial"/>
                <w:sz w:val="20"/>
                <w:szCs w:val="20"/>
                <w:b w:val="1"/>
                <w:bCs w:val="1"/>
                <w:color w:val="auto"/>
              </w:rPr>
              <w:t xml:space="preserve">(69) </w:t>
            </w:r>
            <w:r>
              <w:rPr>
                <w:rFonts w:ascii="Arial" w:cs="Arial" w:eastAsia="Arial" w:hAnsi="Arial"/>
                <w:sz w:val="26"/>
                <w:szCs w:val="26"/>
                <w:color w:val="auto"/>
                <w:vertAlign w:val="subscript"/>
              </w:rPr>
              <w:t>(a)</w:t>
            </w:r>
          </w:p>
        </w:tc>
        <w:tc>
          <w:tcPr>
            <w:tcW w:w="180" w:type="dxa"/>
            <w:vAlign w:val="bottom"/>
            <w:shd w:val="clear" w:color="auto" w:fill="D2EEF5"/>
          </w:tcPr>
          <w:p>
            <w:pPr>
              <w:spacing w:after="0"/>
              <w:rPr>
                <w:sz w:val="17"/>
                <w:szCs w:val="17"/>
                <w:color w:val="auto"/>
              </w:rPr>
            </w:pPr>
          </w:p>
        </w:tc>
        <w:tc>
          <w:tcPr>
            <w:tcW w:w="900" w:type="dxa"/>
            <w:vAlign w:val="bottom"/>
            <w:vMerge w:val="restart"/>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12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1220" w:type="dxa"/>
            <w:vAlign w:val="bottom"/>
            <w:gridSpan w:val="2"/>
            <w:vMerge w:val="restart"/>
            <w:shd w:val="clear" w:color="auto" w:fill="D2EEF5"/>
          </w:tcPr>
          <w:p>
            <w:pPr>
              <w:jc w:val="right"/>
              <w:ind w:right="60"/>
              <w:spacing w:after="0"/>
              <w:rPr>
                <w:sz w:val="20"/>
                <w:szCs w:val="20"/>
                <w:color w:val="auto"/>
              </w:rPr>
            </w:pPr>
            <w:r>
              <w:rPr>
                <w:rFonts w:ascii="Arial" w:cs="Arial" w:eastAsia="Arial" w:hAnsi="Arial"/>
                <w:sz w:val="20"/>
                <w:szCs w:val="20"/>
                <w:b w:val="1"/>
                <w:bCs w:val="1"/>
                <w:color w:val="auto"/>
              </w:rPr>
              <w:t xml:space="preserve">(1,122) </w:t>
            </w:r>
            <w:r>
              <w:rPr>
                <w:rFonts w:ascii="Arial" w:cs="Arial" w:eastAsia="Arial" w:hAnsi="Arial"/>
                <w:sz w:val="26"/>
                <w:szCs w:val="26"/>
                <w:color w:val="auto"/>
                <w:vertAlign w:val="subscript"/>
              </w:rPr>
              <w:t>(b)</w:t>
            </w:r>
          </w:p>
        </w:tc>
        <w:tc>
          <w:tcPr>
            <w:tcW w:w="160" w:type="dxa"/>
            <w:vAlign w:val="bottom"/>
            <w:shd w:val="clear" w:color="auto" w:fill="D2EEF5"/>
          </w:tcPr>
          <w:p>
            <w:pPr>
              <w:spacing w:after="0"/>
              <w:rPr>
                <w:sz w:val="17"/>
                <w:szCs w:val="17"/>
                <w:color w:val="auto"/>
              </w:rPr>
            </w:pPr>
          </w:p>
        </w:tc>
        <w:tc>
          <w:tcPr>
            <w:tcW w:w="840" w:type="dxa"/>
            <w:vAlign w:val="bottom"/>
            <w:vMerge w:val="restart"/>
            <w:shd w:val="clear" w:color="auto" w:fill="D2EEF5"/>
          </w:tcPr>
          <w:p>
            <w:pPr>
              <w:jc w:val="right"/>
              <w:spacing w:after="0"/>
              <w:rPr>
                <w:sz w:val="20"/>
                <w:szCs w:val="20"/>
                <w:color w:val="auto"/>
              </w:rPr>
            </w:pPr>
            <w:r>
              <w:rPr>
                <w:rFonts w:ascii="Arial" w:cs="Arial" w:eastAsia="Arial" w:hAnsi="Arial"/>
                <w:sz w:val="20"/>
                <w:szCs w:val="20"/>
                <w:b w:val="1"/>
                <w:bCs w:val="1"/>
                <w:color w:val="auto"/>
              </w:rPr>
              <w:t>(1,191)</w:t>
            </w:r>
          </w:p>
        </w:tc>
        <w:tc>
          <w:tcPr>
            <w:tcW w:w="0" w:type="dxa"/>
            <w:vAlign w:val="bottom"/>
          </w:tcPr>
          <w:p>
            <w:pPr>
              <w:spacing w:after="0"/>
              <w:rPr>
                <w:sz w:val="1"/>
                <w:szCs w:val="1"/>
                <w:color w:val="auto"/>
              </w:rPr>
            </w:pPr>
          </w:p>
        </w:tc>
      </w:tr>
      <w:tr>
        <w:trPr>
          <w:trHeight w:val="284"/>
        </w:trPr>
        <w:tc>
          <w:tcPr>
            <w:tcW w:w="40" w:type="dxa"/>
            <w:vAlign w:val="bottom"/>
            <w:shd w:val="clear" w:color="auto" w:fill="D2EEF5"/>
          </w:tcPr>
          <w:p>
            <w:pPr>
              <w:spacing w:after="0"/>
              <w:rPr>
                <w:sz w:val="24"/>
                <w:szCs w:val="24"/>
                <w:color w:val="auto"/>
              </w:rPr>
            </w:pPr>
          </w:p>
        </w:tc>
        <w:tc>
          <w:tcPr>
            <w:tcW w:w="5240" w:type="dxa"/>
            <w:vAlign w:val="bottom"/>
            <w:gridSpan w:val="2"/>
            <w:shd w:val="clear" w:color="auto" w:fill="D2EEF5"/>
          </w:tcPr>
          <w:p>
            <w:pPr>
              <w:ind w:left="240"/>
              <w:spacing w:after="0"/>
              <w:rPr>
                <w:sz w:val="20"/>
                <w:szCs w:val="20"/>
                <w:color w:val="auto"/>
              </w:rPr>
            </w:pPr>
            <w:r>
              <w:rPr>
                <w:rFonts w:ascii="Arial" w:cs="Arial" w:eastAsia="Arial" w:hAnsi="Arial"/>
                <w:sz w:val="20"/>
                <w:szCs w:val="20"/>
                <w:color w:val="auto"/>
              </w:rPr>
              <w:t>income (loss)</w:t>
            </w:r>
          </w:p>
        </w:tc>
        <w:tc>
          <w:tcPr>
            <w:tcW w:w="200" w:type="dxa"/>
            <w:vAlign w:val="bottom"/>
            <w:shd w:val="clear" w:color="auto" w:fill="D2EEF5"/>
          </w:tcPr>
          <w:p>
            <w:pPr>
              <w:spacing w:after="0"/>
              <w:rPr>
                <w:sz w:val="24"/>
                <w:szCs w:val="24"/>
                <w:color w:val="auto"/>
              </w:rPr>
            </w:pPr>
          </w:p>
        </w:tc>
        <w:tc>
          <w:tcPr>
            <w:tcW w:w="1180" w:type="dxa"/>
            <w:vAlign w:val="bottom"/>
            <w:gridSpan w:val="2"/>
            <w:vMerge w:val="continue"/>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900" w:type="dxa"/>
            <w:vAlign w:val="bottom"/>
            <w:vMerge w:val="continue"/>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220" w:type="dxa"/>
            <w:vAlign w:val="bottom"/>
            <w:gridSpan w:val="2"/>
            <w:vMerge w:val="continue"/>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840" w:type="dxa"/>
            <w:vAlign w:val="bottom"/>
            <w:vMerge w:val="continue"/>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tcBorders>
              <w:top w:val="single" w:sz="8" w:color="D2EEF5"/>
              <w:bottom w:val="single" w:sz="8" w:color="D2EEF5"/>
            </w:tcBorders>
          </w:tcPr>
          <w:p>
            <w:pPr>
              <w:spacing w:after="0"/>
              <w:rPr>
                <w:sz w:val="21"/>
                <w:szCs w:val="21"/>
                <w:color w:val="auto"/>
              </w:rPr>
            </w:pPr>
          </w:p>
        </w:tc>
        <w:tc>
          <w:tcPr>
            <w:tcW w:w="5240" w:type="dxa"/>
            <w:vAlign w:val="bottom"/>
            <w:tcBorders>
              <w:top w:val="single" w:sz="8" w:color="D2EEF5"/>
              <w:bottom w:val="single" w:sz="8" w:color="D2EEF5"/>
            </w:tcBorders>
            <w:gridSpan w:val="2"/>
          </w:tcPr>
          <w:p>
            <w:pPr>
              <w:spacing w:after="0"/>
              <w:rPr>
                <w:sz w:val="20"/>
                <w:szCs w:val="20"/>
                <w:color w:val="auto"/>
              </w:rPr>
            </w:pPr>
            <w:r>
              <w:rPr>
                <w:rFonts w:ascii="Arial" w:cs="Arial" w:eastAsia="Arial" w:hAnsi="Arial"/>
                <w:sz w:val="20"/>
                <w:szCs w:val="20"/>
                <w:b w:val="1"/>
                <w:bCs w:val="1"/>
                <w:color w:val="auto"/>
              </w:rPr>
              <w:t>Net current-period other comprehensive income (loss)</w:t>
            </w: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2,386</w:t>
            </w:r>
          </w:p>
        </w:tc>
        <w:tc>
          <w:tcPr>
            <w:tcW w:w="300" w:type="dxa"/>
            <w:vAlign w:val="bottom"/>
            <w:tcBorders>
              <w:top w:val="single" w:sz="8" w:color="D2EEF5"/>
              <w:bottom w:val="single" w:sz="8" w:color="D2EEF5"/>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98,115</w:t>
            </w:r>
          </w:p>
        </w:tc>
        <w:tc>
          <w:tcPr>
            <w:tcW w:w="120" w:type="dxa"/>
            <w:vAlign w:val="bottom"/>
            <w:tcBorders>
              <w:top w:val="single" w:sz="8" w:color="D2EEF5"/>
              <w:bottom w:val="single" w:sz="8" w:color="D2EEF5"/>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(2,088)</w:t>
            </w:r>
          </w:p>
        </w:tc>
        <w:tc>
          <w:tcPr>
            <w:tcW w:w="280" w:type="dxa"/>
            <w:vAlign w:val="bottom"/>
            <w:tcBorders>
              <w:top w:val="single" w:sz="8" w:color="D2EEF5"/>
              <w:bottom w:val="single" w:sz="8" w:color="D2EEF5"/>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98,413</w:t>
            </w:r>
          </w:p>
        </w:tc>
        <w:tc>
          <w:tcPr>
            <w:tcW w:w="0" w:type="dxa"/>
            <w:vAlign w:val="bottom"/>
          </w:tcPr>
          <w:p>
            <w:pPr>
              <w:spacing w:after="0"/>
              <w:rPr>
                <w:sz w:val="1"/>
                <w:szCs w:val="1"/>
                <w:color w:val="auto"/>
              </w:rPr>
            </w:pPr>
          </w:p>
        </w:tc>
      </w:tr>
      <w:tr>
        <w:trPr>
          <w:trHeight w:val="270"/>
        </w:trPr>
        <w:tc>
          <w:tcPr>
            <w:tcW w:w="40" w:type="dxa"/>
            <w:vAlign w:val="bottom"/>
            <w:tcBorders>
              <w:bottom w:val="single" w:sz="8" w:color="D2EEF5"/>
            </w:tcBorders>
            <w:shd w:val="clear" w:color="auto" w:fill="D2EEF5"/>
          </w:tcPr>
          <w:p>
            <w:pPr>
              <w:spacing w:after="0"/>
              <w:rPr>
                <w:sz w:val="23"/>
                <w:szCs w:val="23"/>
                <w:color w:val="auto"/>
              </w:rPr>
            </w:pPr>
          </w:p>
        </w:tc>
        <w:tc>
          <w:tcPr>
            <w:tcW w:w="524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20"/>
                <w:szCs w:val="20"/>
                <w:b w:val="1"/>
                <w:bCs w:val="1"/>
                <w:color w:val="auto"/>
              </w:rPr>
              <w:t>Ending balance – December 31, 2025</w:t>
            </w:r>
          </w:p>
        </w:tc>
        <w:tc>
          <w:tcPr>
            <w:tcW w:w="2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3,551</w:t>
            </w:r>
          </w:p>
        </w:tc>
        <w:tc>
          <w:tcPr>
            <w:tcW w:w="300" w:type="dxa"/>
            <w:vAlign w:val="bottom"/>
            <w:tcBorders>
              <w:bottom w:val="single" w:sz="8" w:color="D2EEF5"/>
            </w:tcBorders>
            <w:shd w:val="clear" w:color="auto" w:fill="D2EEF5"/>
          </w:tcPr>
          <w:p>
            <w:pPr>
              <w:spacing w:after="0"/>
              <w:rPr>
                <w:sz w:val="23"/>
                <w:szCs w:val="23"/>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(111,551)</w:t>
            </w:r>
          </w:p>
        </w:tc>
        <w:tc>
          <w:tcPr>
            <w:tcW w:w="12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(1,838)</w:t>
            </w:r>
          </w:p>
        </w:tc>
        <w:tc>
          <w:tcPr>
            <w:tcW w:w="28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w w:val="93"/>
              </w:rPr>
              <w:t>(109,838)</w:t>
            </w:r>
          </w:p>
        </w:tc>
        <w:tc>
          <w:tcPr>
            <w:tcW w:w="0" w:type="dxa"/>
            <w:vAlign w:val="bottom"/>
          </w:tcPr>
          <w:p>
            <w:pPr>
              <w:spacing w:after="0"/>
              <w:rPr>
                <w:sz w:val="1"/>
                <w:szCs w:val="1"/>
                <w:color w:val="auto"/>
              </w:rPr>
            </w:pP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tcBorders>
          </w:tcPr>
          <w:p>
            <w:pPr>
              <w:spacing w:after="0" w:line="20" w:lineRule="exact"/>
              <w:rPr>
                <w:sz w:val="1"/>
                <w:szCs w:val="1"/>
                <w:color w:val="auto"/>
              </w:rPr>
            </w:pPr>
          </w:p>
        </w:tc>
        <w:tc>
          <w:tcPr>
            <w:tcW w:w="3500" w:type="dxa"/>
            <w:vAlign w:val="bottom"/>
            <w:tcBorders>
              <w:top w:val="single" w:sz="8" w:color="D2EEF5"/>
            </w:tcBorders>
          </w:tcPr>
          <w:p>
            <w:pPr>
              <w:spacing w:after="0" w:line="20" w:lineRule="exact"/>
              <w:rPr>
                <w:sz w:val="1"/>
                <w:szCs w:val="1"/>
                <w:color w:val="auto"/>
              </w:rPr>
            </w:pPr>
          </w:p>
        </w:tc>
        <w:tc>
          <w:tcPr>
            <w:tcW w:w="200" w:type="dxa"/>
            <w:vAlign w:val="bottom"/>
            <w:tcBorders>
              <w:top w:val="single" w:sz="8" w:color="D2EEF5"/>
              <w:bottom w:val="single" w:sz="8" w:color="auto"/>
            </w:tcBorders>
          </w:tcPr>
          <w:p>
            <w:pPr>
              <w:spacing w:after="0" w:line="20" w:lineRule="exact"/>
              <w:rPr>
                <w:sz w:val="1"/>
                <w:szCs w:val="1"/>
                <w:color w:val="auto"/>
              </w:rPr>
            </w:pPr>
          </w:p>
        </w:tc>
        <w:tc>
          <w:tcPr>
            <w:tcW w:w="880" w:type="dxa"/>
            <w:vAlign w:val="bottom"/>
            <w:tcBorders>
              <w:top w:val="single" w:sz="8" w:color="D2EEF5"/>
              <w:bottom w:val="single" w:sz="8" w:color="auto"/>
            </w:tcBorders>
          </w:tcPr>
          <w:p>
            <w:pPr>
              <w:spacing w:after="0" w:line="20" w:lineRule="exact"/>
              <w:rPr>
                <w:sz w:val="1"/>
                <w:szCs w:val="1"/>
                <w:color w:val="auto"/>
              </w:rPr>
            </w:pPr>
          </w:p>
        </w:tc>
        <w:tc>
          <w:tcPr>
            <w:tcW w:w="300" w:type="dxa"/>
            <w:vAlign w:val="bottom"/>
            <w:tcBorders>
              <w:top w:val="single" w:sz="8" w:color="D2EEF5"/>
            </w:tcBorders>
          </w:tcPr>
          <w:p>
            <w:pPr>
              <w:spacing w:after="0" w:line="20" w:lineRule="exact"/>
              <w:rPr>
                <w:sz w:val="1"/>
                <w:szCs w:val="1"/>
                <w:color w:val="auto"/>
              </w:rPr>
            </w:pPr>
          </w:p>
        </w:tc>
        <w:tc>
          <w:tcPr>
            <w:tcW w:w="180" w:type="dxa"/>
            <w:vAlign w:val="bottom"/>
            <w:tcBorders>
              <w:top w:val="single" w:sz="8" w:color="D2EEF5"/>
              <w:bottom w:val="single" w:sz="8" w:color="auto"/>
            </w:tcBorders>
          </w:tcPr>
          <w:p>
            <w:pPr>
              <w:spacing w:after="0" w:line="20" w:lineRule="exact"/>
              <w:rPr>
                <w:sz w:val="1"/>
                <w:szCs w:val="1"/>
                <w:color w:val="auto"/>
              </w:rPr>
            </w:pPr>
          </w:p>
        </w:tc>
        <w:tc>
          <w:tcPr>
            <w:tcW w:w="90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940" w:type="dxa"/>
            <w:vAlign w:val="bottom"/>
            <w:tcBorders>
              <w:top w:val="single" w:sz="8" w:color="D2EEF5"/>
              <w:bottom w:val="single" w:sz="8" w:color="auto"/>
            </w:tcBorders>
          </w:tcPr>
          <w:p>
            <w:pPr>
              <w:spacing w:after="0" w:line="20" w:lineRule="exact"/>
              <w:rPr>
                <w:sz w:val="1"/>
                <w:szCs w:val="1"/>
                <w:color w:val="auto"/>
              </w:rPr>
            </w:pPr>
          </w:p>
        </w:tc>
        <w:tc>
          <w:tcPr>
            <w:tcW w:w="280" w:type="dxa"/>
            <w:vAlign w:val="bottom"/>
            <w:tcBorders>
              <w:top w:val="single" w:sz="8" w:color="D2EEF5"/>
            </w:tcBorders>
          </w:tcPr>
          <w:p>
            <w:pPr>
              <w:spacing w:after="0" w:line="20" w:lineRule="exact"/>
              <w:rPr>
                <w:sz w:val="1"/>
                <w:szCs w:val="1"/>
                <w:color w:val="auto"/>
              </w:rPr>
            </w:pPr>
          </w:p>
        </w:tc>
        <w:tc>
          <w:tcPr>
            <w:tcW w:w="160" w:type="dxa"/>
            <w:vAlign w:val="bottom"/>
            <w:tcBorders>
              <w:top w:val="single" w:sz="8" w:color="D2EEF5"/>
              <w:bottom w:val="single" w:sz="8" w:color="auto"/>
            </w:tcBorders>
          </w:tcPr>
          <w:p>
            <w:pPr>
              <w:spacing w:after="0" w:line="20" w:lineRule="exact"/>
              <w:rPr>
                <w:sz w:val="1"/>
                <w:szCs w:val="1"/>
                <w:color w:val="auto"/>
              </w:rPr>
            </w:pPr>
          </w:p>
        </w:tc>
        <w:tc>
          <w:tcPr>
            <w:tcW w:w="840" w:type="dxa"/>
            <w:vAlign w:val="bottom"/>
            <w:tcBorders>
              <w:top w:val="single" w:sz="8" w:color="D2EE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-2215515</wp:posOffset>
            </wp:positionV>
            <wp:extent cx="317817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5">
                      <a:extLst>
                        <a:ext uri="{28A0092B-C50C-407E-A947-70E740481C1C}"/>
                      </a:extLst>
                    </a:blip>
                    <a:srcRect/>
                    <a:stretch>
                      <a:fillRect/>
                    </a:stretch>
                  </pic:blipFill>
                  <pic:spPr bwMode="auto">
                    <a:xfrm>
                      <a:off x="0" y="0"/>
                      <a:ext cx="3178175" cy="5080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-1129665</wp:posOffset>
            </wp:positionV>
            <wp:extent cx="317817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6">
                      <a:extLst>
                        <a:ext uri="{28A0092B-C50C-407E-A947-70E740481C1C}"/>
                      </a:extLst>
                    </a:blip>
                    <a:srcRect/>
                    <a:stretch>
                      <a:fillRect/>
                    </a:stretch>
                  </pic:blipFill>
                  <pic:spPr bwMode="auto">
                    <a:xfrm>
                      <a:off x="0" y="0"/>
                      <a:ext cx="3178175" cy="5080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-43815</wp:posOffset>
            </wp:positionV>
            <wp:extent cx="317817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7">
                      <a:extLst>
                        <a:ext uri="{28A0092B-C50C-407E-A947-70E740481C1C}"/>
                      </a:extLst>
                    </a:blip>
                    <a:srcRect/>
                    <a:stretch>
                      <a:fillRect/>
                    </a:stretch>
                  </pic:blipFill>
                  <pic:spPr bwMode="auto">
                    <a:xfrm>
                      <a:off x="0" y="0"/>
                      <a:ext cx="3178175" cy="50800"/>
                    </a:xfrm>
                    <a:prstGeom prst="rect">
                      <a:avLst/>
                    </a:prstGeom>
                    <a:noFill/>
                  </pic:spPr>
                </pic:pic>
              </a:graphicData>
            </a:graphic>
          </wp:anchor>
        </w:drawing>
      </w:r>
    </w:p>
    <w:p>
      <w:pPr>
        <w:spacing w:after="0" w:line="107" w:lineRule="exact"/>
        <w:rPr>
          <w:sz w:val="20"/>
          <w:szCs w:val="20"/>
          <w:color w:val="auto"/>
        </w:rPr>
      </w:pPr>
    </w:p>
    <w:p>
      <w:pPr>
        <w:jc w:val="both"/>
        <w:ind w:left="550" w:right="20" w:hanging="550"/>
        <w:spacing w:after="0" w:line="250" w:lineRule="auto"/>
        <w:tabs>
          <w:tab w:leader="none" w:pos="550" w:val="left"/>
        </w:tabs>
        <w:numPr>
          <w:ilvl w:val="0"/>
          <w:numId w:val="48"/>
        </w:numPr>
        <w:rPr>
          <w:rFonts w:ascii="Arial" w:cs="Arial" w:eastAsia="Arial" w:hAnsi="Arial"/>
          <w:sz w:val="20"/>
          <w:szCs w:val="20"/>
          <w:color w:val="auto"/>
        </w:rPr>
      </w:pPr>
      <w:r>
        <w:rPr>
          <w:rFonts w:ascii="Arial" w:cs="Arial" w:eastAsia="Arial" w:hAnsi="Arial"/>
          <w:sz w:val="20"/>
          <w:szCs w:val="20"/>
          <w:color w:val="auto"/>
        </w:rPr>
        <w:t>For defined benefit pension and other post-retirement plans, amounts reclassified from accumulated other comprehensive income (loss) are recorded to “Other income, net” within the Consolidated Statements of Operations and Comprehensive Income (Loss).</w:t>
      </w:r>
    </w:p>
    <w:p>
      <w:pPr>
        <w:spacing w:after="0" w:line="1" w:lineRule="exact"/>
        <w:rPr>
          <w:rFonts w:ascii="Arial" w:cs="Arial" w:eastAsia="Arial" w:hAnsi="Arial"/>
          <w:sz w:val="20"/>
          <w:szCs w:val="20"/>
          <w:color w:val="auto"/>
        </w:rPr>
      </w:pPr>
    </w:p>
    <w:p>
      <w:pPr>
        <w:ind w:left="550" w:right="180" w:hanging="550"/>
        <w:spacing w:after="0" w:line="341" w:lineRule="auto"/>
        <w:tabs>
          <w:tab w:leader="none" w:pos="5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interest rate derivatives, amounts reclassified from accumulated other comprehensive income (loss) are recorded to “Interest expense, net” within the Consolidated Statements of Operations and Comprehensive Income (Loss).</w:t>
      </w:r>
    </w:p>
    <w:p>
      <w:pPr>
        <w:spacing w:after="0" w:line="245" w:lineRule="exact"/>
        <w:rPr>
          <w:sz w:val="20"/>
          <w:szCs w:val="20"/>
          <w:color w:val="auto"/>
        </w:rPr>
      </w:pPr>
    </w:p>
    <w:p>
      <w:pPr>
        <w:ind w:left="10" w:right="8080" w:hanging="10"/>
        <w:spacing w:after="0" w:line="462" w:lineRule="auto"/>
        <w:tabs>
          <w:tab w:leader="none" w:pos="37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Stockholders’ Equity Common Stock</w:t>
      </w:r>
    </w:p>
    <w:p>
      <w:pPr>
        <w:spacing w:after="0" w:line="2" w:lineRule="exact"/>
        <w:rPr>
          <w:sz w:val="20"/>
          <w:szCs w:val="20"/>
          <w:color w:val="auto"/>
        </w:rPr>
      </w:pPr>
    </w:p>
    <w:p>
      <w:pPr>
        <w:ind w:left="10" w:right="420"/>
        <w:spacing w:after="0" w:line="321" w:lineRule="auto"/>
        <w:rPr>
          <w:sz w:val="20"/>
          <w:szCs w:val="20"/>
          <w:color w:val="auto"/>
        </w:rPr>
      </w:pPr>
      <w:r>
        <w:rPr>
          <w:rFonts w:ascii="Arial" w:cs="Arial" w:eastAsia="Arial" w:hAnsi="Arial"/>
          <w:sz w:val="17"/>
          <w:szCs w:val="17"/>
          <w:color w:val="auto"/>
        </w:rPr>
        <w:t>The Company completed its IPO in the fourth quarter of 2020 and shares began trading on Nasdaq on November 20, 2020. Prior to the completion of the IPO, the Company amended and restated its certificate of incorporation to authorize 1,200,000,000 shares of common stock, par value $0.01 per share, and reclassify all 3,000 shares of its common stock then outstanding as 232,400,200 shares. Upon completion of the IPO, 284,421,755 shares of common stock were outstanding.</w:t>
      </w:r>
    </w:p>
    <w:p>
      <w:pPr>
        <w:spacing w:after="0" w:line="111" w:lineRule="exact"/>
        <w:rPr>
          <w:sz w:val="20"/>
          <w:szCs w:val="20"/>
          <w:color w:val="auto"/>
        </w:rPr>
      </w:pPr>
    </w:p>
    <w:p>
      <w:pPr>
        <w:ind w:left="10" w:right="620"/>
        <w:spacing w:after="0" w:line="286" w:lineRule="auto"/>
        <w:rPr>
          <w:sz w:val="20"/>
          <w:szCs w:val="20"/>
          <w:color w:val="auto"/>
        </w:rPr>
      </w:pPr>
      <w:r>
        <w:rPr>
          <w:rFonts w:ascii="Arial" w:cs="Arial" w:eastAsia="Arial" w:hAnsi="Arial"/>
          <w:sz w:val="20"/>
          <w:szCs w:val="20"/>
          <w:b w:val="1"/>
          <w:bCs w:val="1"/>
          <w:i w:val="1"/>
          <w:iCs w:val="1"/>
          <w:color w:val="auto"/>
        </w:rPr>
        <w:t xml:space="preserve">Voting Rights. </w:t>
      </w:r>
      <w:r>
        <w:rPr>
          <w:rFonts w:ascii="Arial" w:cs="Arial" w:eastAsia="Arial" w:hAnsi="Arial"/>
          <w:sz w:val="20"/>
          <w:szCs w:val="20"/>
          <w:color w:val="auto"/>
        </w:rPr>
        <w:t>Holders of common stock are entitled to one vote for each share held on all matters submitted to a vote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stockholders, subject to certain restrictions described in the certificate of incorporation.</w:t>
      </w:r>
    </w:p>
    <w:p>
      <w:pPr>
        <w:spacing w:after="0" w:line="132" w:lineRule="exact"/>
        <w:rPr>
          <w:sz w:val="20"/>
          <w:szCs w:val="20"/>
          <w:color w:val="auto"/>
        </w:rPr>
      </w:pPr>
    </w:p>
    <w:p>
      <w:pPr>
        <w:ind w:left="10"/>
        <w:spacing w:after="0" w:line="34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preferences that may be applicable to any then outstanding preferred stock, holders of our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entitled to receive ratably those dividends, if any, as may be declared by the board of directors out of legally available funds.</w:t>
      </w:r>
    </w:p>
    <w:p>
      <w:pPr>
        <w:spacing w:after="0" w:line="87" w:lineRule="exact"/>
        <w:rPr>
          <w:sz w:val="20"/>
          <w:szCs w:val="20"/>
          <w:color w:val="auto"/>
        </w:rPr>
      </w:pPr>
    </w:p>
    <w:p>
      <w:pPr>
        <w:ind w:left="10" w:right="80"/>
        <w:spacing w:after="0" w:line="311" w:lineRule="auto"/>
        <w:rPr>
          <w:sz w:val="20"/>
          <w:szCs w:val="20"/>
          <w:color w:val="auto"/>
        </w:rPr>
      </w:pPr>
      <w:r>
        <w:rPr>
          <w:rFonts w:ascii="Arial" w:cs="Arial" w:eastAsia="Arial" w:hAnsi="Arial"/>
          <w:sz w:val="18"/>
          <w:szCs w:val="18"/>
          <w:b w:val="1"/>
          <w:bCs w:val="1"/>
          <w:i w:val="1"/>
          <w:iCs w:val="1"/>
          <w:color w:val="auto"/>
        </w:rPr>
        <w:t>Liquidation, Dissolution, and Winding Up</w:t>
      </w:r>
      <w:r>
        <w:rPr>
          <w:rFonts w:ascii="Arial" w:cs="Arial" w:eastAsia="Arial" w:hAnsi="Arial"/>
          <w:sz w:val="18"/>
          <w:szCs w:val="18"/>
          <w:color w:val="auto"/>
        </w:rPr>
        <w:t>. In the event of liquidation, dissolution or winding up, the holders of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will be entitled to share equally and ratably in the net assets legally available for distribution to stockholders after the payment of all of debts and other liabilities, subject to the prior rights of any preferred stock then outstanding.</w:t>
      </w:r>
    </w:p>
    <w:p>
      <w:pPr>
        <w:spacing w:after="0" w:line="11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Preferred Stock</w:t>
      </w:r>
    </w:p>
    <w:p>
      <w:pPr>
        <w:spacing w:after="0" w:line="217" w:lineRule="exact"/>
        <w:rPr>
          <w:sz w:val="20"/>
          <w:szCs w:val="20"/>
          <w:color w:val="auto"/>
        </w:rPr>
      </w:pPr>
    </w:p>
    <w:p>
      <w:pPr>
        <w:ind w:left="10" w:right="380"/>
        <w:spacing w:after="0" w:line="341" w:lineRule="auto"/>
        <w:rPr>
          <w:sz w:val="20"/>
          <w:szCs w:val="20"/>
          <w:color w:val="auto"/>
        </w:rPr>
      </w:pPr>
      <w:r>
        <w:rPr>
          <w:rFonts w:ascii="Arial" w:cs="Arial" w:eastAsia="Arial" w:hAnsi="Arial"/>
          <w:sz w:val="18"/>
          <w:szCs w:val="18"/>
          <w:color w:val="auto"/>
        </w:rPr>
        <w:t>In addition, prior to the completion of the IPO, the Company’s amended and restated certificate of incorporation authorized 120,000,000 shares of preferred stock, par value $0.01 per share. The board of directors may issue preferred stock, without</w:t>
      </w:r>
    </w:p>
    <w:p>
      <w:pPr>
        <w:sectPr>
          <w:pgSz w:w="11880" w:h="15480" w:orient="portrait"/>
          <w:cols w:equalWidth="0" w:num="1">
            <w:col w:w="10250"/>
          </w:cols>
          <w:pgMar w:left="810" w:top="422" w:right="82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0250"/>
          </w:cols>
          <w:pgMar w:left="810" w:top="422" w:right="820" w:bottom="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right="440"/>
        <w:spacing w:after="0" w:line="283" w:lineRule="auto"/>
        <w:rPr>
          <w:sz w:val="20"/>
          <w:szCs w:val="20"/>
          <w:color w:val="auto"/>
        </w:rPr>
      </w:pPr>
      <w:r>
        <w:rPr>
          <w:rFonts w:ascii="Arial" w:cs="Arial" w:eastAsia="Arial" w:hAnsi="Arial"/>
          <w:sz w:val="20"/>
          <w:szCs w:val="20"/>
          <w:color w:val="auto"/>
        </w:rPr>
        <w:t>stockholder approval, in such series and with such designations, preferences, conversion or other rights, voting powers and qualifications, limitations or restrictions thereof, as the board of directors deems appropriate.</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Share-Based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Pre-IPO Awards</w:t>
      </w:r>
    </w:p>
    <w:p>
      <w:pPr>
        <w:spacing w:after="0" w:line="218" w:lineRule="exact"/>
        <w:rPr>
          <w:sz w:val="20"/>
          <w:szCs w:val="20"/>
          <w:color w:val="auto"/>
        </w:rPr>
      </w:pPr>
    </w:p>
    <w:p>
      <w:pPr>
        <w:ind w:right="120"/>
        <w:spacing w:after="0" w:line="266" w:lineRule="auto"/>
        <w:rPr>
          <w:sz w:val="20"/>
          <w:szCs w:val="20"/>
          <w:color w:val="auto"/>
        </w:rPr>
      </w:pPr>
      <w:r>
        <w:rPr>
          <w:rFonts w:ascii="Arial" w:cs="Arial" w:eastAsia="Arial" w:hAnsi="Arial"/>
          <w:sz w:val="20"/>
          <w:szCs w:val="20"/>
          <w:color w:val="auto"/>
        </w:rPr>
        <w:t>Prior to our IPO, the Company’s equity-based awards issued to service providers (including directors and employees) included partnership interests in our predecessor, Topco Parent (Class B-1 or B-2 Units), which vested based on either time or the achievement of certain performance and market conditions.</w:t>
      </w:r>
    </w:p>
    <w:p>
      <w:pPr>
        <w:spacing w:after="0" w:line="155"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Restricted stock distributed in respect of pre-IPO Class B-1 time vesting units vested on a daily basis pro rata over a five-year vesting period (20% per year) beginning on the original vesting commencement date of the corresponding Class B-1 time vesting units, subject to the grantee’s continued services through each vesting date. All pre-IPO Class B-1 time vesting units were fully vested as of August 2025.</w:t>
      </w:r>
    </w:p>
    <w:p>
      <w:pPr>
        <w:spacing w:after="0" w:line="160" w:lineRule="exact"/>
        <w:rPr>
          <w:sz w:val="20"/>
          <w:szCs w:val="20"/>
          <w:color w:val="auto"/>
        </w:rPr>
      </w:pPr>
    </w:p>
    <w:p>
      <w:pPr>
        <w:ind w:right="80"/>
        <w:spacing w:after="0" w:line="341" w:lineRule="auto"/>
        <w:rPr>
          <w:sz w:val="20"/>
          <w:szCs w:val="20"/>
          <w:color w:val="auto"/>
        </w:rPr>
      </w:pPr>
      <w:r>
        <w:rPr>
          <w:rFonts w:ascii="Arial" w:cs="Arial" w:eastAsia="Arial" w:hAnsi="Arial"/>
          <w:sz w:val="18"/>
          <w:szCs w:val="18"/>
          <w:color w:val="auto"/>
        </w:rPr>
        <w:t>Restricted stock distributed in respect of pre-IPO Class B-2 Units were considered performance vesting units. The performance thresholds were satisfied on March 4, 2024 and, as a result, all outstanding B-2 Units were fully vested as of that date.</w:t>
      </w:r>
    </w:p>
    <w:p>
      <w:pPr>
        <w:spacing w:after="0" w:line="92" w:lineRule="exact"/>
        <w:rPr>
          <w:sz w:val="20"/>
          <w:szCs w:val="20"/>
          <w:color w:val="auto"/>
        </w:rPr>
      </w:pPr>
    </w:p>
    <w:p>
      <w:pPr>
        <w:ind w:right="260"/>
        <w:spacing w:after="0" w:line="283" w:lineRule="auto"/>
        <w:rPr>
          <w:sz w:val="20"/>
          <w:szCs w:val="20"/>
          <w:color w:val="auto"/>
        </w:rPr>
      </w:pPr>
      <w:r>
        <w:rPr>
          <w:rFonts w:ascii="Arial" w:cs="Arial" w:eastAsia="Arial" w:hAnsi="Arial"/>
          <w:sz w:val="20"/>
          <w:szCs w:val="20"/>
          <w:color w:val="auto"/>
        </w:rPr>
        <w:t>We recognized $0.5 million, $1.6 million and $2.0 million of share-based compensation expense related to the pre-IPO Class B-1 awards for the years ended December 31, 2025, 2024, and 2023, respectively.</w:t>
      </w:r>
    </w:p>
    <w:p>
      <w:pPr>
        <w:spacing w:after="0" w:line="138" w:lineRule="exact"/>
        <w:rPr>
          <w:sz w:val="20"/>
          <w:szCs w:val="20"/>
          <w:color w:val="auto"/>
        </w:rPr>
      </w:pPr>
    </w:p>
    <w:p>
      <w:pPr>
        <w:ind w:right="220"/>
        <w:spacing w:after="0" w:line="283" w:lineRule="auto"/>
        <w:rPr>
          <w:sz w:val="20"/>
          <w:szCs w:val="20"/>
          <w:color w:val="auto"/>
        </w:rPr>
      </w:pPr>
      <w:r>
        <w:rPr>
          <w:rFonts w:ascii="Arial" w:cs="Arial" w:eastAsia="Arial" w:hAnsi="Arial"/>
          <w:sz w:val="20"/>
          <w:szCs w:val="20"/>
          <w:color w:val="auto"/>
        </w:rPr>
        <w:t>A summary of the activity for the years ended December 31, 2025, 2024 and 2023 related to the restricted stock distributed in respect of the pre-IPO awards (Class B-1 and B-2) is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Restricted</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Restricted</w:t>
            </w:r>
          </w:p>
        </w:tc>
      </w:tr>
      <w:tr>
        <w:trPr>
          <w:trHeight w:val="192"/>
        </w:trPr>
        <w:tc>
          <w:tcPr>
            <w:tcW w:w="75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Stock - Pre-IPO</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4"/>
              </w:rPr>
              <w:t>Stock - Pre-IPO</w:t>
            </w:r>
          </w:p>
        </w:tc>
      </w:tr>
      <w:tr>
        <w:trPr>
          <w:trHeight w:val="219"/>
        </w:trPr>
        <w:tc>
          <w:tcPr>
            <w:tcW w:w="7500" w:type="dxa"/>
            <w:vAlign w:val="bottom"/>
            <w:tcBorders>
              <w:bottom w:val="single" w:sz="8" w:color="D2EEF5"/>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B-1</w:t>
            </w:r>
          </w:p>
        </w:tc>
        <w:tc>
          <w:tcPr>
            <w:tcW w:w="120" w:type="dxa"/>
            <w:vAlign w:val="bottom"/>
            <w:tcBorders>
              <w:bottom w:val="single" w:sz="8" w:color="D2EEF5"/>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B-2</w:t>
            </w:r>
          </w:p>
        </w:tc>
      </w:tr>
      <w:tr>
        <w:trPr>
          <w:trHeight w:val="275"/>
        </w:trPr>
        <w:tc>
          <w:tcPr>
            <w:tcW w:w="7500" w:type="dxa"/>
            <w:vAlign w:val="bottom"/>
            <w:shd w:val="clear" w:color="auto" w:fill="D2EEF5"/>
          </w:tcPr>
          <w:p>
            <w:pPr>
              <w:ind w:left="40"/>
              <w:spacing w:after="0"/>
              <w:rPr>
                <w:sz w:val="20"/>
                <w:szCs w:val="20"/>
                <w:color w:val="auto"/>
              </w:rPr>
            </w:pPr>
            <w:r>
              <w:rPr>
                <w:rFonts w:ascii="Arial" w:cs="Arial" w:eastAsia="Arial" w:hAnsi="Arial"/>
                <w:sz w:val="20"/>
                <w:szCs w:val="20"/>
                <w:color w:val="auto"/>
              </w:rPr>
              <w:t>At January 1, 2023</w:t>
            </w:r>
          </w:p>
        </w:tc>
        <w:tc>
          <w:tcPr>
            <w:tcW w:w="1320" w:type="dxa"/>
            <w:vAlign w:val="bottom"/>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716,091</w:t>
            </w:r>
          </w:p>
        </w:tc>
        <w:tc>
          <w:tcPr>
            <w:tcW w:w="120" w:type="dxa"/>
            <w:vAlign w:val="bottom"/>
            <w:shd w:val="clear" w:color="auto" w:fill="D2EEF5"/>
          </w:tcPr>
          <w:p>
            <w:pPr>
              <w:spacing w:after="0"/>
              <w:rPr>
                <w:sz w:val="23"/>
                <w:szCs w:val="23"/>
                <w:color w:val="auto"/>
              </w:rPr>
            </w:pPr>
          </w:p>
        </w:tc>
        <w:tc>
          <w:tcPr>
            <w:tcW w:w="1320" w:type="dxa"/>
            <w:vAlign w:val="bottom"/>
            <w:shd w:val="clear" w:color="auto" w:fill="D2EEF5"/>
          </w:tcPr>
          <w:p>
            <w:pPr>
              <w:jc w:val="right"/>
              <w:ind w:right="7"/>
              <w:spacing w:after="0"/>
              <w:rPr>
                <w:sz w:val="20"/>
                <w:szCs w:val="20"/>
                <w:color w:val="auto"/>
              </w:rPr>
            </w:pPr>
            <w:r>
              <w:rPr>
                <w:rFonts w:ascii="Arial" w:cs="Arial" w:eastAsia="Arial" w:hAnsi="Arial"/>
                <w:sz w:val="20"/>
                <w:szCs w:val="20"/>
                <w:b w:val="1"/>
                <w:bCs w:val="1"/>
                <w:color w:val="auto"/>
              </w:rPr>
              <w:t>1,098,415</w:t>
            </w:r>
          </w:p>
        </w:tc>
      </w:tr>
      <w:tr>
        <w:trPr>
          <w:trHeight w:val="278"/>
        </w:trPr>
        <w:tc>
          <w:tcPr>
            <w:tcW w:w="7500" w:type="dxa"/>
            <w:vAlign w:val="bottom"/>
          </w:tcPr>
          <w:p>
            <w:pPr>
              <w:ind w:left="280"/>
              <w:spacing w:after="0"/>
              <w:rPr>
                <w:sz w:val="20"/>
                <w:szCs w:val="20"/>
                <w:color w:val="auto"/>
              </w:rPr>
            </w:pPr>
            <w:r>
              <w:rPr>
                <w:rFonts w:ascii="Arial" w:cs="Arial" w:eastAsia="Arial" w:hAnsi="Arial"/>
                <w:sz w:val="20"/>
                <w:szCs w:val="20"/>
                <w:color w:val="auto"/>
              </w:rPr>
              <w:t>Forfeited</w:t>
            </w:r>
          </w:p>
        </w:tc>
        <w:tc>
          <w:tcPr>
            <w:tcW w:w="1320" w:type="dxa"/>
            <w:vAlign w:val="bottom"/>
          </w:tcPr>
          <w:p>
            <w:pPr>
              <w:jc w:val="right"/>
              <w:spacing w:after="0"/>
              <w:rPr>
                <w:sz w:val="20"/>
                <w:szCs w:val="20"/>
                <w:color w:val="auto"/>
              </w:rPr>
            </w:pPr>
            <w:r>
              <w:rPr>
                <w:rFonts w:ascii="Arial" w:cs="Arial" w:eastAsia="Arial" w:hAnsi="Arial"/>
                <w:sz w:val="20"/>
                <w:szCs w:val="20"/>
                <w:color w:val="auto"/>
              </w:rPr>
              <w:t>(16,243)</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(111,304)</w:t>
            </w:r>
          </w:p>
        </w:tc>
      </w:tr>
      <w:tr>
        <w:trPr>
          <w:trHeight w:val="300"/>
        </w:trPr>
        <w:tc>
          <w:tcPr>
            <w:tcW w:w="7500" w:type="dxa"/>
            <w:vAlign w:val="bottom"/>
            <w:tcBorders>
              <w:bottom w:val="single" w:sz="8" w:color="D2EEF5"/>
            </w:tcBorders>
            <w:shd w:val="clear" w:color="auto" w:fill="D2EEF5"/>
          </w:tcPr>
          <w:p>
            <w:pPr>
              <w:ind w:left="280"/>
              <w:spacing w:after="0"/>
              <w:rPr>
                <w:sz w:val="20"/>
                <w:szCs w:val="20"/>
                <w:color w:val="auto"/>
              </w:rPr>
            </w:pPr>
            <w:r>
              <w:rPr>
                <w:rFonts w:ascii="Arial" w:cs="Arial" w:eastAsia="Arial" w:hAnsi="Arial"/>
                <w:sz w:val="20"/>
                <w:szCs w:val="20"/>
                <w:color w:val="auto"/>
              </w:rPr>
              <w:t>Vested</w:t>
            </w:r>
          </w:p>
        </w:tc>
        <w:tc>
          <w:tcPr>
            <w:tcW w:w="13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(347,401)</w:t>
            </w:r>
          </w:p>
        </w:tc>
        <w:tc>
          <w:tcPr>
            <w:tcW w:w="120" w:type="dxa"/>
            <w:vAlign w:val="bottom"/>
            <w:tcBorders>
              <w:bottom w:val="single" w:sz="8" w:color="D2EEF5"/>
            </w:tcBorders>
            <w:shd w:val="clear" w:color="auto" w:fill="D2EEF5"/>
          </w:tcPr>
          <w:p>
            <w:pPr>
              <w:spacing w:after="0"/>
              <w:rPr>
                <w:sz w:val="24"/>
                <w:szCs w:val="24"/>
                <w:color w:val="auto"/>
              </w:rPr>
            </w:pPr>
          </w:p>
        </w:tc>
        <w:tc>
          <w:tcPr>
            <w:tcW w:w="1320" w:type="dxa"/>
            <w:vAlign w:val="bottom"/>
            <w:tcBorders>
              <w:bottom w:val="single" w:sz="8" w:color="auto"/>
            </w:tcBorders>
            <w:shd w:val="clear" w:color="auto" w:fill="D2EEF5"/>
          </w:tcPr>
          <w:p>
            <w:pPr>
              <w:jc w:val="right"/>
              <w:ind w:right="7"/>
              <w:spacing w:after="0"/>
              <w:rPr>
                <w:sz w:val="20"/>
                <w:szCs w:val="20"/>
                <w:color w:val="auto"/>
              </w:rPr>
            </w:pPr>
            <w:r>
              <w:rPr>
                <w:rFonts w:ascii="Arial" w:cs="Arial" w:eastAsia="Arial" w:hAnsi="Arial"/>
                <w:sz w:val="20"/>
                <w:szCs w:val="20"/>
                <w:color w:val="auto"/>
              </w:rPr>
              <w:t>—</w:t>
            </w:r>
          </w:p>
        </w:tc>
      </w:tr>
      <w:tr>
        <w:trPr>
          <w:trHeight w:val="250"/>
        </w:trPr>
        <w:tc>
          <w:tcPr>
            <w:tcW w:w="7500" w:type="dxa"/>
            <w:vAlign w:val="bottom"/>
          </w:tcPr>
          <w:p>
            <w:pPr>
              <w:ind w:left="40"/>
              <w:spacing w:after="0"/>
              <w:rPr>
                <w:sz w:val="20"/>
                <w:szCs w:val="20"/>
                <w:color w:val="auto"/>
              </w:rPr>
            </w:pPr>
            <w:r>
              <w:rPr>
                <w:rFonts w:ascii="Arial" w:cs="Arial" w:eastAsia="Arial" w:hAnsi="Arial"/>
                <w:sz w:val="20"/>
                <w:szCs w:val="20"/>
                <w:color w:val="auto"/>
              </w:rPr>
              <w:t>At December 31, 2023</w:t>
            </w:r>
          </w:p>
        </w:tc>
        <w:tc>
          <w:tcPr>
            <w:tcW w:w="1320" w:type="dxa"/>
            <w:vAlign w:val="bottom"/>
          </w:tcPr>
          <w:p>
            <w:pPr>
              <w:jc w:val="right"/>
              <w:ind w:right="5"/>
              <w:spacing w:after="0"/>
              <w:rPr>
                <w:sz w:val="20"/>
                <w:szCs w:val="20"/>
                <w:color w:val="auto"/>
              </w:rPr>
            </w:pPr>
            <w:r>
              <w:rPr>
                <w:rFonts w:ascii="Arial" w:cs="Arial" w:eastAsia="Arial" w:hAnsi="Arial"/>
                <w:sz w:val="20"/>
                <w:szCs w:val="20"/>
                <w:color w:val="auto"/>
              </w:rPr>
              <w:t>352,447</w:t>
            </w:r>
          </w:p>
        </w:tc>
        <w:tc>
          <w:tcPr>
            <w:tcW w:w="1440" w:type="dxa"/>
            <w:vAlign w:val="bottom"/>
            <w:gridSpan w:val="2"/>
          </w:tcPr>
          <w:p>
            <w:pPr>
              <w:jc w:val="right"/>
              <w:ind w:right="7"/>
              <w:spacing w:after="0"/>
              <w:rPr>
                <w:sz w:val="20"/>
                <w:szCs w:val="20"/>
                <w:color w:val="auto"/>
              </w:rPr>
            </w:pPr>
            <w:r>
              <w:rPr>
                <w:rFonts w:ascii="Arial" w:cs="Arial" w:eastAsia="Arial" w:hAnsi="Arial"/>
                <w:sz w:val="20"/>
                <w:szCs w:val="20"/>
                <w:color w:val="auto"/>
              </w:rPr>
              <w:t>987,111</w:t>
            </w:r>
          </w:p>
        </w:tc>
      </w:tr>
      <w:tr>
        <w:trPr>
          <w:trHeight w:val="292"/>
        </w:trPr>
        <w:tc>
          <w:tcPr>
            <w:tcW w:w="7500" w:type="dxa"/>
            <w:vAlign w:val="bottom"/>
            <w:shd w:val="clear" w:color="auto" w:fill="D2EEF5"/>
          </w:tcPr>
          <w:p>
            <w:pPr>
              <w:ind w:left="280"/>
              <w:spacing w:after="0"/>
              <w:rPr>
                <w:sz w:val="20"/>
                <w:szCs w:val="20"/>
                <w:color w:val="auto"/>
              </w:rPr>
            </w:pPr>
            <w:r>
              <w:rPr>
                <w:rFonts w:ascii="Arial" w:cs="Arial" w:eastAsia="Arial" w:hAnsi="Arial"/>
                <w:sz w:val="20"/>
                <w:szCs w:val="20"/>
                <w:color w:val="auto"/>
              </w:rPr>
              <w:t>Forfeited</w:t>
            </w:r>
          </w:p>
        </w:tc>
        <w:tc>
          <w:tcPr>
            <w:tcW w:w="13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(2,651)</w:t>
            </w:r>
          </w:p>
        </w:tc>
        <w:tc>
          <w:tcPr>
            <w:tcW w:w="120" w:type="dxa"/>
            <w:vAlign w:val="bottom"/>
            <w:shd w:val="clear" w:color="auto" w:fill="D2EEF5"/>
          </w:tcPr>
          <w:p>
            <w:pPr>
              <w:spacing w:after="0"/>
              <w:rPr>
                <w:sz w:val="24"/>
                <w:szCs w:val="24"/>
                <w:color w:val="auto"/>
              </w:rPr>
            </w:pPr>
          </w:p>
        </w:tc>
        <w:tc>
          <w:tcPr>
            <w:tcW w:w="1320" w:type="dxa"/>
            <w:vAlign w:val="bottom"/>
            <w:shd w:val="clear" w:color="auto" w:fill="D2EEF5"/>
          </w:tcPr>
          <w:p>
            <w:pPr>
              <w:jc w:val="right"/>
              <w:ind w:right="7"/>
              <w:spacing w:after="0"/>
              <w:rPr>
                <w:sz w:val="20"/>
                <w:szCs w:val="20"/>
                <w:color w:val="auto"/>
              </w:rPr>
            </w:pPr>
            <w:r>
              <w:rPr>
                <w:rFonts w:ascii="Arial" w:cs="Arial" w:eastAsia="Arial" w:hAnsi="Arial"/>
                <w:sz w:val="20"/>
                <w:szCs w:val="20"/>
                <w:color w:val="auto"/>
              </w:rPr>
              <w:t>—</w:t>
            </w:r>
          </w:p>
        </w:tc>
      </w:tr>
      <w:tr>
        <w:trPr>
          <w:trHeight w:val="275"/>
        </w:trPr>
        <w:tc>
          <w:tcPr>
            <w:tcW w:w="7500" w:type="dxa"/>
            <w:vAlign w:val="bottom"/>
          </w:tcPr>
          <w:p>
            <w:pPr>
              <w:ind w:left="280"/>
              <w:spacing w:after="0"/>
              <w:rPr>
                <w:sz w:val="20"/>
                <w:szCs w:val="20"/>
                <w:color w:val="auto"/>
              </w:rPr>
            </w:pPr>
            <w:r>
              <w:rPr>
                <w:rFonts w:ascii="Arial" w:cs="Arial" w:eastAsia="Arial" w:hAnsi="Arial"/>
                <w:sz w:val="20"/>
                <w:szCs w:val="20"/>
                <w:color w:val="auto"/>
              </w:rPr>
              <w:t>Vested</w:t>
            </w:r>
          </w:p>
        </w:tc>
        <w:tc>
          <w:tcPr>
            <w:tcW w:w="1320" w:type="dxa"/>
            <w:vAlign w:val="bottom"/>
          </w:tcPr>
          <w:p>
            <w:pPr>
              <w:jc w:val="right"/>
              <w:spacing w:after="0"/>
              <w:rPr>
                <w:sz w:val="20"/>
                <w:szCs w:val="20"/>
                <w:color w:val="auto"/>
              </w:rPr>
            </w:pPr>
            <w:r>
              <w:rPr>
                <w:rFonts w:ascii="Arial" w:cs="Arial" w:eastAsia="Arial" w:hAnsi="Arial"/>
                <w:sz w:val="20"/>
                <w:szCs w:val="20"/>
                <w:color w:val="auto"/>
              </w:rPr>
              <w:t>(278,345)</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(987,111)</w:t>
            </w:r>
          </w:p>
        </w:tc>
      </w:tr>
      <w:tr>
        <w:trPr>
          <w:trHeight w:val="275"/>
        </w:trPr>
        <w:tc>
          <w:tcPr>
            <w:tcW w:w="7500" w:type="dxa"/>
            <w:vAlign w:val="bottom"/>
            <w:tcBorders>
              <w:top w:val="single" w:sz="8" w:color="D2EEF5"/>
            </w:tcBorders>
            <w:shd w:val="clear" w:color="auto" w:fill="D2EEF5"/>
          </w:tcPr>
          <w:p>
            <w:pPr>
              <w:ind w:left="40"/>
              <w:spacing w:after="0"/>
              <w:rPr>
                <w:sz w:val="20"/>
                <w:szCs w:val="20"/>
                <w:color w:val="auto"/>
              </w:rPr>
            </w:pPr>
            <w:r>
              <w:rPr>
                <w:rFonts w:ascii="Arial" w:cs="Arial" w:eastAsia="Arial" w:hAnsi="Arial"/>
                <w:sz w:val="20"/>
                <w:szCs w:val="20"/>
                <w:color w:val="auto"/>
              </w:rPr>
              <w:t>At December 31, 2024</w:t>
            </w:r>
          </w:p>
        </w:tc>
        <w:tc>
          <w:tcPr>
            <w:tcW w:w="1320" w:type="dxa"/>
            <w:vAlign w:val="bottom"/>
            <w:tcBorders>
              <w:top w:val="single" w:sz="8" w:color="auto"/>
            </w:tcBorders>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71,451</w:t>
            </w:r>
          </w:p>
        </w:tc>
        <w:tc>
          <w:tcPr>
            <w:tcW w:w="120" w:type="dxa"/>
            <w:vAlign w:val="bottom"/>
            <w:tcBorders>
              <w:top w:val="single" w:sz="8" w:color="D2EEF5"/>
            </w:tcBorders>
            <w:shd w:val="clear" w:color="auto" w:fill="D2EEF5"/>
          </w:tcPr>
          <w:p>
            <w:pPr>
              <w:spacing w:after="0"/>
              <w:rPr>
                <w:sz w:val="23"/>
                <w:szCs w:val="23"/>
                <w:color w:val="auto"/>
              </w:rPr>
            </w:pPr>
          </w:p>
        </w:tc>
        <w:tc>
          <w:tcPr>
            <w:tcW w:w="1320" w:type="dxa"/>
            <w:vAlign w:val="bottom"/>
            <w:tcBorders>
              <w:top w:val="single" w:sz="8" w:color="auto"/>
            </w:tcBorders>
            <w:shd w:val="clear" w:color="auto" w:fill="D2EEF5"/>
          </w:tcPr>
          <w:p>
            <w:pPr>
              <w:jc w:val="right"/>
              <w:ind w:right="7"/>
              <w:spacing w:after="0"/>
              <w:rPr>
                <w:sz w:val="20"/>
                <w:szCs w:val="20"/>
                <w:color w:val="auto"/>
              </w:rPr>
            </w:pPr>
            <w:r>
              <w:rPr>
                <w:rFonts w:ascii="Arial" w:cs="Arial" w:eastAsia="Arial" w:hAnsi="Arial"/>
                <w:sz w:val="20"/>
                <w:szCs w:val="20"/>
                <w:b w:val="1"/>
                <w:bCs w:val="1"/>
                <w:color w:val="auto"/>
              </w:rPr>
              <w:t>—</w:t>
            </w:r>
          </w:p>
        </w:tc>
      </w:tr>
      <w:tr>
        <w:trPr>
          <w:trHeight w:val="275"/>
        </w:trPr>
        <w:tc>
          <w:tcPr>
            <w:tcW w:w="7500" w:type="dxa"/>
            <w:vAlign w:val="bottom"/>
            <w:tcBorders>
              <w:bottom w:val="single" w:sz="8" w:color="D2EEF5"/>
            </w:tcBorders>
          </w:tcPr>
          <w:p>
            <w:pPr>
              <w:ind w:left="280"/>
              <w:spacing w:after="0"/>
              <w:rPr>
                <w:sz w:val="20"/>
                <w:szCs w:val="20"/>
                <w:color w:val="auto"/>
              </w:rPr>
            </w:pPr>
            <w:r>
              <w:rPr>
                <w:rFonts w:ascii="Arial" w:cs="Arial" w:eastAsia="Arial" w:hAnsi="Arial"/>
                <w:sz w:val="20"/>
                <w:szCs w:val="20"/>
                <w:color w:val="auto"/>
              </w:rPr>
              <w:t>Vested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(71,451)</w:t>
            </w:r>
          </w:p>
        </w:tc>
        <w:tc>
          <w:tcPr>
            <w:tcW w:w="120" w:type="dxa"/>
            <w:vAlign w:val="bottom"/>
            <w:tcBorders>
              <w:bottom w:val="single" w:sz="8" w:color="D2EEF5"/>
            </w:tcBorders>
          </w:tcPr>
          <w:p>
            <w:pPr>
              <w:spacing w:after="0"/>
              <w:rPr>
                <w:sz w:val="23"/>
                <w:szCs w:val="23"/>
                <w:color w:val="auto"/>
              </w:rPr>
            </w:pPr>
          </w:p>
        </w:tc>
        <w:tc>
          <w:tcPr>
            <w:tcW w:w="132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b w:val="1"/>
                <w:bCs w:val="1"/>
                <w:color w:val="auto"/>
              </w:rPr>
              <w:t>—</w:t>
            </w:r>
          </w:p>
        </w:tc>
      </w:tr>
      <w:tr>
        <w:trPr>
          <w:trHeight w:val="270"/>
        </w:trPr>
        <w:tc>
          <w:tcPr>
            <w:tcW w:w="750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20"/>
                <w:szCs w:val="20"/>
                <w:b w:val="1"/>
                <w:bCs w:val="1"/>
                <w:color w:val="auto"/>
              </w:rPr>
              <w:t>At December 31, 2025</w:t>
            </w:r>
          </w:p>
        </w:tc>
        <w:tc>
          <w:tcPr>
            <w:tcW w:w="1320" w:type="dxa"/>
            <w:vAlign w:val="bottom"/>
            <w:tcBorders>
              <w:bottom w:val="single" w:sz="8" w:color="auto"/>
            </w:tcBorders>
            <w:shd w:val="clear" w:color="auto" w:fill="D2EEF5"/>
          </w:tcPr>
          <w:p>
            <w:pPr>
              <w:jc w:val="right"/>
              <w:ind w:right="5"/>
              <w:spacing w:after="0"/>
              <w:rPr>
                <w:sz w:val="20"/>
                <w:szCs w:val="20"/>
                <w:color w:val="auto"/>
              </w:rPr>
            </w:pPr>
            <w:r>
              <w:rPr>
                <w:rFonts w:ascii="Arial" w:cs="Arial" w:eastAsia="Arial" w:hAnsi="Arial"/>
                <w:sz w:val="20"/>
                <w:szCs w:val="20"/>
                <w:b w:val="1"/>
                <w:bCs w:val="1"/>
                <w:color w:val="auto"/>
              </w:rPr>
              <w:t>—</w:t>
            </w:r>
          </w:p>
        </w:tc>
        <w:tc>
          <w:tcPr>
            <w:tcW w:w="120" w:type="dxa"/>
            <w:vAlign w:val="bottom"/>
            <w:tcBorders>
              <w:bottom w:val="single" w:sz="8" w:color="D2EEF5"/>
            </w:tcBorders>
            <w:shd w:val="clear" w:color="auto" w:fill="D2EEF5"/>
          </w:tcPr>
          <w:p>
            <w:pPr>
              <w:spacing w:after="0"/>
              <w:rPr>
                <w:sz w:val="23"/>
                <w:szCs w:val="23"/>
                <w:color w:val="auto"/>
              </w:rPr>
            </w:pPr>
          </w:p>
        </w:tc>
        <w:tc>
          <w:tcPr>
            <w:tcW w:w="1320" w:type="dxa"/>
            <w:vAlign w:val="bottom"/>
            <w:tcBorders>
              <w:bottom w:val="single" w:sz="8" w:color="auto"/>
            </w:tcBorders>
            <w:shd w:val="clear" w:color="auto" w:fill="D2EEF5"/>
          </w:tcPr>
          <w:p>
            <w:pPr>
              <w:jc w:val="right"/>
              <w:ind w:right="7"/>
              <w:spacing w:after="0"/>
              <w:rPr>
                <w:sz w:val="20"/>
                <w:szCs w:val="20"/>
                <w:color w:val="auto"/>
              </w:rPr>
            </w:pPr>
            <w:r>
              <w:rPr>
                <w:rFonts w:ascii="Arial" w:cs="Arial" w:eastAsia="Arial" w:hAnsi="Arial"/>
                <w:sz w:val="20"/>
                <w:szCs w:val="20"/>
                <w:b w:val="1"/>
                <w:bCs w:val="1"/>
                <w:color w:val="auto"/>
              </w:rPr>
              <w:t>—</w:t>
            </w:r>
          </w:p>
        </w:tc>
      </w:tr>
      <w:tr>
        <w:trPr>
          <w:trHeight w:val="20"/>
        </w:trPr>
        <w:tc>
          <w:tcPr>
            <w:tcW w:w="750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-43815</wp:posOffset>
            </wp:positionV>
            <wp:extent cx="176847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8">
                      <a:extLst>
                        <a:ext uri="{28A0092B-C50C-407E-A947-70E740481C1C}"/>
                      </a:extLst>
                    </a:blip>
                    <a:srcRect/>
                    <a:stretch>
                      <a:fillRect/>
                    </a:stretch>
                  </pic:blipFill>
                  <pic:spPr bwMode="auto">
                    <a:xfrm>
                      <a:off x="0" y="0"/>
                      <a:ext cx="1768475" cy="5080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2020 Omnibus Incentive Plan</w:t>
      </w:r>
    </w:p>
    <w:p>
      <w:pPr>
        <w:spacing w:after="0" w:line="218" w:lineRule="exact"/>
        <w:rPr>
          <w:sz w:val="20"/>
          <w:szCs w:val="20"/>
          <w:color w:val="auto"/>
        </w:rPr>
      </w:pPr>
    </w:p>
    <w:p>
      <w:pPr>
        <w:ind w:right="120"/>
        <w:spacing w:after="0" w:line="290" w:lineRule="auto"/>
        <w:rPr>
          <w:sz w:val="20"/>
          <w:szCs w:val="20"/>
          <w:color w:val="auto"/>
        </w:rPr>
      </w:pPr>
      <w:r>
        <w:rPr>
          <w:rFonts w:ascii="Arial" w:cs="Arial" w:eastAsia="Arial" w:hAnsi="Arial"/>
          <w:sz w:val="18"/>
          <w:szCs w:val="18"/>
          <w:color w:val="auto"/>
        </w:rPr>
        <w:t>We maintain the 2020 Plan that allows for grants of incentive stock options to employees (including employees of any of our subsidiaries), nonstatutory stock options, restricted stock awards (“RSAs”), RSUs, PSUs and other cash-based, equity-based or equity-related awards to employees, directors, and consultants, including employees or consultants of our subsidiaries. A maximum of 27.9 million shares of common stock were originally available for awards under the 2020 Plan. At December 31, 2025, 13.8 million shares were available for future awards. The Company plans to issue authorized but unissued shares under the 2020 Plan or shares from treasury to satisfy requirements of awards paid with shares.</w:t>
      </w:r>
    </w:p>
    <w:p>
      <w:pPr>
        <w:spacing w:after="0" w:line="139"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In March 2025, we awarded PSUs to certain members of the Company’s senior executive team. PSUs are designed to vest based on a combination of financial performance factors and continued service through the end of a three-year performance period. The PSUs’ financial performance factors have a threshold, target and maximum level of achievement and vest according to the performance level achieved by the Company during the performance period. Upon issuance of PSUs, we assume the financial performance target will be reached for the measurement period when determining the amount of compensation expense. If information becomes available to indicate that achievement above the target level is probable, compensation expense is adjusted accordingly.</w:t>
      </w:r>
    </w:p>
    <w:p>
      <w:pPr>
        <w:sectPr>
          <w:pgSz w:w="11880" w:h="15480" w:orient="portrait"/>
          <w:cols w:equalWidth="0" w:num="1">
            <w:col w:w="10260"/>
          </w:cols>
          <w:pgMar w:left="82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10260"/>
          </w:cols>
          <w:pgMar w:left="820" w:top="422" w:right="800" w:bottom="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In addition, in March 2025, we awarded RSUs to certain members of the Company’s senior executive team with a performance modifier based on the achievement of growth targets for the market value of the Company’s common stock price. The amount of awards that vest at the end of a service period may exceed the target number of RSUs awarded based on the stock price growth achieved.</w:t>
      </w:r>
    </w:p>
    <w:p>
      <w:pPr>
        <w:spacing w:after="0" w:line="160" w:lineRule="exact"/>
        <w:rPr>
          <w:sz w:val="20"/>
          <w:szCs w:val="20"/>
          <w:color w:val="auto"/>
        </w:rPr>
      </w:pPr>
    </w:p>
    <w:p>
      <w:pPr>
        <w:ind w:right="140"/>
        <w:spacing w:after="0" w:line="283" w:lineRule="auto"/>
        <w:rPr>
          <w:sz w:val="20"/>
          <w:szCs w:val="20"/>
          <w:color w:val="auto"/>
        </w:rPr>
      </w:pPr>
      <w:r>
        <w:rPr>
          <w:rFonts w:ascii="Arial" w:cs="Arial" w:eastAsia="Arial" w:hAnsi="Arial"/>
          <w:sz w:val="20"/>
          <w:szCs w:val="20"/>
          <w:color w:val="auto"/>
        </w:rPr>
        <w:t>In March 2025, our CEO was awarded PSUs (also referred to as share appreciation units or “SAUs”) that vest according to the achievement of stock price increases over their three-year performance period.</w:t>
      </w:r>
    </w:p>
    <w:p>
      <w:pPr>
        <w:spacing w:after="0" w:line="138"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We recognize share-based compensation expense at grant date fair value over the requisite service period on a straight-line basis in our Consolidated Statements of Operations and Comprehensive Income (Loss), in “Selling, general and administrative expenses.” We recognized $30.5 million ($7.3 million for stock options, $20.4 million for RSUs and $2.8 million for PSUs and SAUs), $35.2 million ($16.4 million for stock options and $18.8 million for RSUs) and $30.4 million ($14.4 million for stock options and $16.0 million for RSUs) of share-based compensation expense for these awards for the years ended December 31, 2025, 2024 and 2023,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w:t>
      </w:r>
    </w:p>
    <w:p>
      <w:pPr>
        <w:spacing w:after="0" w:line="217"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We use a Black-Scholes option pricing model to estimate the fair value of stock options. The expected volatility is based on the volatility of similar publicly traded businesses within the same or similar industry as the Company in combination with our own volatility. We used the simplified method to estimate the expected term due to the limited quantity of historical stock option exercises. The risk-free rate is based on the U.S. Treasury yield in effect at the time of the grant.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grant-date fair values of stock options and the assumptions used in estimating the fair values are as follows.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No stock options were granted during the year ended December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For the year ended December 31,</w:t>
            </w:r>
          </w:p>
        </w:tc>
        <w:tc>
          <w:tcPr>
            <w:tcW w:w="20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6"/>
                <w:szCs w:val="16"/>
                <w:b w:val="1"/>
                <w:bCs w:val="1"/>
                <w:color w:val="auto"/>
              </w:rPr>
              <w:t>2023</w:t>
            </w:r>
          </w:p>
        </w:tc>
      </w:tr>
      <w:tr>
        <w:trPr>
          <w:trHeight w:val="305"/>
        </w:trPr>
        <w:tc>
          <w:tcPr>
            <w:tcW w:w="5700" w:type="dxa"/>
            <w:vAlign w:val="bottom"/>
            <w:shd w:val="clear" w:color="auto" w:fill="D2EEF5"/>
          </w:tcPr>
          <w:p>
            <w:pPr>
              <w:ind w:left="40"/>
              <w:spacing w:after="0"/>
              <w:rPr>
                <w:sz w:val="20"/>
                <w:szCs w:val="20"/>
                <w:color w:val="auto"/>
              </w:rPr>
            </w:pPr>
            <w:r>
              <w:rPr>
                <w:rFonts w:ascii="Arial" w:cs="Arial" w:eastAsia="Arial" w:hAnsi="Arial"/>
                <w:sz w:val="20"/>
                <w:szCs w:val="20"/>
                <w:color w:val="auto"/>
              </w:rPr>
              <w:t>Weighted average grant date fair value per option</w:t>
            </w:r>
          </w:p>
        </w:tc>
        <w:tc>
          <w:tcPr>
            <w:tcW w:w="2000" w:type="dxa"/>
            <w:vAlign w:val="bottom"/>
            <w:shd w:val="clear" w:color="auto" w:fill="D2EEF5"/>
          </w:tcPr>
          <w:p>
            <w:pPr>
              <w:jc w:val="right"/>
              <w:ind w:right="10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7.35</w:t>
            </w:r>
          </w:p>
        </w:tc>
        <w:tc>
          <w:tcPr>
            <w:tcW w:w="580" w:type="dxa"/>
            <w:vAlign w:val="bottom"/>
            <w:shd w:val="clear" w:color="auto" w:fill="D2EEF5"/>
          </w:tcPr>
          <w:p>
            <w:pPr>
              <w:jc w:val="right"/>
              <w:ind w:right="120"/>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EF5"/>
          </w:tcPr>
          <w:p>
            <w:pPr>
              <w:jc w:val="right"/>
              <w:ind w:right="164"/>
              <w:spacing w:after="0"/>
              <w:rPr>
                <w:sz w:val="20"/>
                <w:szCs w:val="20"/>
                <w:color w:val="auto"/>
              </w:rPr>
            </w:pPr>
            <w:r>
              <w:rPr>
                <w:rFonts w:ascii="Arial" w:cs="Arial" w:eastAsia="Arial" w:hAnsi="Arial"/>
                <w:sz w:val="20"/>
                <w:szCs w:val="20"/>
                <w:color w:val="auto"/>
              </w:rPr>
              <w:t>7.13</w:t>
            </w:r>
          </w:p>
        </w:tc>
      </w:tr>
      <w:tr>
        <w:trPr>
          <w:trHeight w:val="279"/>
        </w:trPr>
        <w:tc>
          <w:tcPr>
            <w:tcW w:w="5700" w:type="dxa"/>
            <w:vAlign w:val="bottom"/>
          </w:tcPr>
          <w:p>
            <w:pPr>
              <w:ind w:left="40"/>
              <w:spacing w:after="0"/>
              <w:rPr>
                <w:sz w:val="20"/>
                <w:szCs w:val="20"/>
                <w:color w:val="auto"/>
              </w:rPr>
            </w:pPr>
            <w:r>
              <w:rPr>
                <w:rFonts w:ascii="Arial" w:cs="Arial" w:eastAsia="Arial" w:hAnsi="Arial"/>
                <w:sz w:val="20"/>
                <w:szCs w:val="20"/>
                <w:color w:val="auto"/>
              </w:rPr>
              <w:t>Expected term (years)</w:t>
            </w:r>
          </w:p>
        </w:tc>
        <w:tc>
          <w:tcPr>
            <w:tcW w:w="200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20"/>
                <w:szCs w:val="20"/>
                <w:color w:val="auto"/>
              </w:rPr>
              <w:t>6 years</w:t>
            </w:r>
          </w:p>
        </w:tc>
        <w:tc>
          <w:tcPr>
            <w:tcW w:w="1100" w:type="dxa"/>
            <w:vAlign w:val="bottom"/>
          </w:tcPr>
          <w:p>
            <w:pPr>
              <w:jc w:val="right"/>
              <w:spacing w:after="0"/>
              <w:rPr>
                <w:sz w:val="20"/>
                <w:szCs w:val="20"/>
                <w:color w:val="auto"/>
              </w:rPr>
            </w:pPr>
            <w:r>
              <w:rPr>
                <w:rFonts w:ascii="Arial" w:cs="Arial" w:eastAsia="Arial" w:hAnsi="Arial"/>
                <w:sz w:val="20"/>
                <w:szCs w:val="20"/>
                <w:color w:val="auto"/>
              </w:rPr>
              <w:t>6 years</w:t>
            </w:r>
          </w:p>
        </w:tc>
      </w:tr>
      <w:tr>
        <w:trPr>
          <w:trHeight w:val="291"/>
        </w:trPr>
        <w:tc>
          <w:tcPr>
            <w:tcW w:w="5700" w:type="dxa"/>
            <w:vAlign w:val="bottom"/>
            <w:shd w:val="clear" w:color="auto" w:fill="D2EEF5"/>
          </w:tcPr>
          <w:p>
            <w:pPr>
              <w:ind w:left="40"/>
              <w:spacing w:after="0"/>
              <w:rPr>
                <w:sz w:val="20"/>
                <w:szCs w:val="20"/>
                <w:color w:val="auto"/>
              </w:rPr>
            </w:pPr>
            <w:r>
              <w:rPr>
                <w:rFonts w:ascii="Arial" w:cs="Arial" w:eastAsia="Arial" w:hAnsi="Arial"/>
                <w:sz w:val="20"/>
                <w:szCs w:val="20"/>
                <w:color w:val="auto"/>
              </w:rPr>
              <w:t>Risk-free interest rate</w:t>
            </w:r>
          </w:p>
        </w:tc>
        <w:tc>
          <w:tcPr>
            <w:tcW w:w="2000" w:type="dxa"/>
            <w:vAlign w:val="bottom"/>
            <w:shd w:val="clear" w:color="auto" w:fill="D2EEF5"/>
          </w:tcPr>
          <w:p>
            <w:pPr>
              <w:spacing w:after="0"/>
              <w:rPr>
                <w:sz w:val="24"/>
                <w:szCs w:val="24"/>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4.2</w:t>
            </w:r>
          </w:p>
        </w:tc>
        <w:tc>
          <w:tcPr>
            <w:tcW w:w="580" w:type="dxa"/>
            <w:vAlign w:val="bottom"/>
            <w:shd w:val="clear" w:color="auto" w:fill="D2EEF5"/>
          </w:tcPr>
          <w:p>
            <w:pPr>
              <w:jc w:val="right"/>
              <w:ind w:right="280"/>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4.2 %</w:t>
            </w:r>
          </w:p>
        </w:tc>
      </w:tr>
      <w:tr>
        <w:trPr>
          <w:trHeight w:val="272"/>
        </w:trPr>
        <w:tc>
          <w:tcPr>
            <w:tcW w:w="5700" w:type="dxa"/>
            <w:vAlign w:val="bottom"/>
          </w:tcPr>
          <w:p>
            <w:pPr>
              <w:ind w:left="40"/>
              <w:spacing w:after="0"/>
              <w:rPr>
                <w:sz w:val="20"/>
                <w:szCs w:val="20"/>
                <w:color w:val="auto"/>
              </w:rPr>
            </w:pPr>
            <w:r>
              <w:rPr>
                <w:rFonts w:ascii="Arial" w:cs="Arial" w:eastAsia="Arial" w:hAnsi="Arial"/>
                <w:sz w:val="20"/>
                <w:szCs w:val="20"/>
                <w:color w:val="auto"/>
              </w:rPr>
              <w:t>Expected volatility</w:t>
            </w:r>
          </w:p>
        </w:tc>
        <w:tc>
          <w:tcPr>
            <w:tcW w:w="2000" w:type="dxa"/>
            <w:vAlign w:val="bottom"/>
          </w:tcPr>
          <w:p>
            <w:pPr>
              <w:spacing w:after="0"/>
              <w:rPr>
                <w:sz w:val="23"/>
                <w:szCs w:val="23"/>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20"/>
                <w:szCs w:val="20"/>
                <w:color w:val="auto"/>
              </w:rPr>
              <w:t>46.8 %</w:t>
            </w:r>
          </w:p>
        </w:tc>
        <w:tc>
          <w:tcPr>
            <w:tcW w:w="1100" w:type="dxa"/>
            <w:vAlign w:val="bottom"/>
          </w:tcPr>
          <w:p>
            <w:pPr>
              <w:jc w:val="right"/>
              <w:spacing w:after="0"/>
              <w:rPr>
                <w:sz w:val="20"/>
                <w:szCs w:val="20"/>
                <w:color w:val="auto"/>
              </w:rPr>
            </w:pPr>
            <w:r>
              <w:rPr>
                <w:rFonts w:ascii="Arial" w:cs="Arial" w:eastAsia="Arial" w:hAnsi="Arial"/>
                <w:sz w:val="20"/>
                <w:szCs w:val="20"/>
                <w:color w:val="auto"/>
              </w:rPr>
              <w:t>50.0 %</w:t>
            </w:r>
          </w:p>
        </w:tc>
      </w:tr>
    </w:tbl>
    <w:p>
      <w:pPr>
        <w:spacing w:after="0" w:line="250" w:lineRule="exact"/>
        <w:rPr>
          <w:sz w:val="20"/>
          <w:szCs w:val="20"/>
          <w:color w:val="auto"/>
        </w:rPr>
      </w:pPr>
    </w:p>
    <w:p>
      <w:pPr>
        <w:ind w:right="160"/>
        <w:spacing w:after="0" w:line="266" w:lineRule="auto"/>
        <w:rPr>
          <w:sz w:val="20"/>
          <w:szCs w:val="20"/>
          <w:color w:val="auto"/>
        </w:rPr>
      </w:pPr>
      <w:r>
        <w:rPr>
          <w:rFonts w:ascii="Arial" w:cs="Arial" w:eastAsia="Arial" w:hAnsi="Arial"/>
          <w:sz w:val="20"/>
          <w:szCs w:val="20"/>
          <w:color w:val="auto"/>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year ended December 31, 2025:</w:t>
      </w:r>
    </w:p>
    <w:p>
      <w:pPr>
        <w:sectPr>
          <w:pgSz w:w="11880" w:h="15480" w:orient="portrait"/>
          <w:cols w:equalWidth="0" w:num="1">
            <w:col w:w="10260"/>
          </w:cols>
          <w:pgMar w:left="82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0" w:right="1180" w:hanging="239"/>
        <w:spacing w:after="0" w:line="297" w:lineRule="auto"/>
        <w:rPr>
          <w:sz w:val="20"/>
          <w:szCs w:val="20"/>
          <w:color w:val="auto"/>
        </w:rPr>
      </w:pPr>
      <w:r>
        <w:rPr>
          <w:rFonts w:ascii="Arial" w:cs="Arial" w:eastAsia="Arial" w:hAnsi="Arial"/>
          <w:sz w:val="20"/>
          <w:szCs w:val="20"/>
          <w:color w:val="auto"/>
        </w:rPr>
        <w:t>Outstanding at the beginning of the year Forfeited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0"/>
          <w:szCs w:val="20"/>
          <w:color w:val="auto"/>
        </w:rPr>
        <w:t>Exercised</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Outstanding at the end of the year</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Exercisable at the end of the year</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Unvested at the end of the year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85"/>
              <w:spacing w:after="0"/>
              <w:rPr>
                <w:sz w:val="20"/>
                <w:szCs w:val="20"/>
                <w:color w:val="auto"/>
              </w:rPr>
            </w:pPr>
            <w:r>
              <w:rPr>
                <w:rFonts w:ascii="Arial" w:cs="Arial" w:eastAsia="Arial" w:hAnsi="Arial"/>
                <w:sz w:val="16"/>
                <w:szCs w:val="16"/>
                <w:b w:val="1"/>
                <w:bCs w:val="1"/>
                <w:color w:val="auto"/>
                <w:w w:val="90"/>
              </w:rPr>
              <w:t>Weighted-</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92"/>
        </w:trPr>
        <w:tc>
          <w:tcPr>
            <w:tcW w:w="1200" w:type="dxa"/>
            <w:vAlign w:val="bottom"/>
          </w:tcPr>
          <w:p>
            <w:pPr>
              <w:jc w:val="right"/>
              <w:ind w:right="125"/>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85"/>
              <w:spacing w:after="0"/>
              <w:rPr>
                <w:sz w:val="20"/>
                <w:szCs w:val="20"/>
                <w:color w:val="auto"/>
              </w:rPr>
            </w:pPr>
            <w:r>
              <w:rPr>
                <w:rFonts w:ascii="Arial" w:cs="Arial" w:eastAsia="Arial" w:hAnsi="Arial"/>
                <w:sz w:val="16"/>
                <w:szCs w:val="16"/>
                <w:b w:val="1"/>
                <w:bCs w:val="1"/>
                <w:color w:val="auto"/>
                <w:w w:val="89"/>
              </w:rPr>
              <w:t>average</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33"/>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b w:val="1"/>
                <w:bCs w:val="1"/>
                <w:i w:val="1"/>
                <w:iCs w:val="1"/>
                <w:color w:val="auto"/>
                <w:w w:val="86"/>
              </w:rPr>
              <w:t>millions of</w:t>
            </w:r>
          </w:p>
        </w:tc>
        <w:tc>
          <w:tcPr>
            <w:tcW w:w="0" w:type="dxa"/>
            <w:vAlign w:val="bottom"/>
          </w:tcPr>
          <w:p>
            <w:pPr>
              <w:spacing w:after="0"/>
              <w:rPr>
                <w:sz w:val="1"/>
                <w:szCs w:val="1"/>
                <w:color w:val="auto"/>
              </w:rPr>
            </w:pPr>
          </w:p>
        </w:tc>
      </w:tr>
      <w:tr>
        <w:trPr>
          <w:trHeight w:val="219"/>
        </w:trPr>
        <w:tc>
          <w:tcPr>
            <w:tcW w:w="120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Exercise Price</w:t>
            </w:r>
          </w:p>
        </w:tc>
        <w:tc>
          <w:tcPr>
            <w:tcW w:w="14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i w:val="1"/>
                <w:iCs w:val="1"/>
                <w:color w:val="auto"/>
                <w:w w:val="87"/>
              </w:rPr>
              <w:t>U.S. dollars</w:t>
            </w: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62"/>
        </w:trPr>
        <w:tc>
          <w:tcPr>
            <w:tcW w:w="1200" w:type="dxa"/>
            <w:vAlign w:val="bottom"/>
          </w:tcPr>
          <w:p>
            <w:pPr>
              <w:jc w:val="right"/>
              <w:spacing w:after="0"/>
              <w:rPr>
                <w:sz w:val="20"/>
                <w:szCs w:val="20"/>
                <w:color w:val="auto"/>
              </w:rPr>
            </w:pPr>
            <w:r>
              <w:rPr>
                <w:rFonts w:ascii="Arial" w:cs="Arial" w:eastAsia="Arial" w:hAnsi="Arial"/>
                <w:sz w:val="20"/>
                <w:szCs w:val="20"/>
                <w:color w:val="auto"/>
              </w:rPr>
              <w:t>8,328,051</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14.94</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200" w:type="dxa"/>
            <w:vAlign w:val="bottom"/>
          </w:tcPr>
          <w:p>
            <w:pPr>
              <w:jc w:val="right"/>
              <w:spacing w:after="0"/>
              <w:rPr>
                <w:sz w:val="20"/>
                <w:szCs w:val="20"/>
                <w:color w:val="auto"/>
              </w:rPr>
            </w:pPr>
            <w:r>
              <w:rPr>
                <w:rFonts w:ascii="Arial" w:cs="Arial" w:eastAsia="Arial" w:hAnsi="Arial"/>
                <w:sz w:val="20"/>
                <w:szCs w:val="20"/>
                <w:color w:val="auto"/>
              </w:rPr>
              <w:t>(113,221)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18.92</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(30,949)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14.59</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8,183,881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14.89</w:t>
            </w:r>
          </w:p>
        </w:tc>
        <w:tc>
          <w:tcPr>
            <w:tcW w:w="140" w:type="dxa"/>
            <w:vAlign w:val="bottom"/>
          </w:tcPr>
          <w:p>
            <w:pPr>
              <w:spacing w:after="0"/>
              <w:rPr>
                <w:sz w:val="21"/>
                <w:szCs w:val="21"/>
                <w:color w:val="auto"/>
              </w:rPr>
            </w:pP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w w:val="92"/>
              </w:rPr>
              <w:t>6.6 years</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20"/>
                <w:szCs w:val="20"/>
                <w:color w:val="auto"/>
              </w:rPr>
              <w:t>35.3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00" w:type="dxa"/>
            <w:vAlign w:val="bottom"/>
            <w:tcBorders>
              <w:top w:val="single" w:sz="8" w:color="auto"/>
              <w:bottom w:val="single" w:sz="8" w:color="auto"/>
            </w:tcBorders>
          </w:tcPr>
          <w:p>
            <w:pPr>
              <w:jc w:val="right"/>
              <w:spacing w:after="0" w:line="225" w:lineRule="exact"/>
              <w:rPr>
                <w:sz w:val="20"/>
                <w:szCs w:val="20"/>
                <w:color w:val="auto"/>
              </w:rPr>
            </w:pPr>
            <w:r>
              <w:rPr>
                <w:rFonts w:ascii="Arial" w:cs="Arial" w:eastAsia="Arial" w:hAnsi="Arial"/>
                <w:sz w:val="20"/>
                <w:szCs w:val="20"/>
                <w:b w:val="1"/>
                <w:bCs w:val="1"/>
                <w:color w:val="auto"/>
              </w:rPr>
              <w:t>6,841,193</w:t>
            </w:r>
          </w:p>
        </w:tc>
        <w:tc>
          <w:tcPr>
            <w:tcW w:w="1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5" w:lineRule="exact"/>
              <w:rPr>
                <w:sz w:val="20"/>
                <w:szCs w:val="20"/>
                <w:color w:val="auto"/>
              </w:rPr>
            </w:pPr>
            <w:r>
              <w:rPr>
                <w:rFonts w:ascii="Arial" w:cs="Arial" w:eastAsia="Arial" w:hAnsi="Arial"/>
                <w:sz w:val="20"/>
                <w:szCs w:val="20"/>
                <w:b w:val="1"/>
                <w:bCs w:val="1"/>
                <w:color w:val="auto"/>
              </w:rPr>
              <w:t>$</w:t>
            </w:r>
          </w:p>
        </w:tc>
        <w:tc>
          <w:tcPr>
            <w:tcW w:w="1000" w:type="dxa"/>
            <w:vAlign w:val="bottom"/>
            <w:tcBorders>
              <w:top w:val="single" w:sz="8" w:color="auto"/>
              <w:bottom w:val="single" w:sz="8" w:color="auto"/>
            </w:tcBorders>
          </w:tcPr>
          <w:p>
            <w:pPr>
              <w:jc w:val="right"/>
              <w:spacing w:after="0" w:line="225" w:lineRule="exact"/>
              <w:rPr>
                <w:sz w:val="20"/>
                <w:szCs w:val="20"/>
                <w:color w:val="auto"/>
              </w:rPr>
            </w:pPr>
            <w:r>
              <w:rPr>
                <w:rFonts w:ascii="Arial" w:cs="Arial" w:eastAsia="Arial" w:hAnsi="Arial"/>
                <w:sz w:val="20"/>
                <w:szCs w:val="20"/>
                <w:b w:val="1"/>
                <w:bCs w:val="1"/>
                <w:color w:val="auto"/>
              </w:rPr>
              <w:t>14.80</w:t>
            </w:r>
          </w:p>
        </w:tc>
        <w:tc>
          <w:tcPr>
            <w:tcW w:w="140" w:type="dxa"/>
            <w:vAlign w:val="bottom"/>
          </w:tcPr>
          <w:p>
            <w:pPr>
              <w:spacing w:after="0"/>
              <w:rPr>
                <w:sz w:val="19"/>
                <w:szCs w:val="19"/>
                <w:color w:val="auto"/>
              </w:rPr>
            </w:pPr>
          </w:p>
        </w:tc>
        <w:tc>
          <w:tcPr>
            <w:tcW w:w="1200" w:type="dxa"/>
            <w:vAlign w:val="bottom"/>
            <w:tcBorders>
              <w:top w:val="single" w:sz="8" w:color="auto"/>
              <w:bottom w:val="single" w:sz="8" w:color="auto"/>
            </w:tcBorders>
          </w:tcPr>
          <w:p>
            <w:pPr>
              <w:ind w:left="420"/>
              <w:spacing w:after="0" w:line="225" w:lineRule="exact"/>
              <w:rPr>
                <w:sz w:val="20"/>
                <w:szCs w:val="20"/>
                <w:color w:val="auto"/>
              </w:rPr>
            </w:pPr>
            <w:r>
              <w:rPr>
                <w:rFonts w:ascii="Arial" w:cs="Arial" w:eastAsia="Arial" w:hAnsi="Arial"/>
                <w:sz w:val="20"/>
                <w:szCs w:val="20"/>
                <w:color w:val="auto"/>
                <w:w w:val="92"/>
              </w:rPr>
              <w:t>6.3 years</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ind w:right="13"/>
              <w:spacing w:after="0" w:line="225" w:lineRule="exact"/>
              <w:rPr>
                <w:sz w:val="20"/>
                <w:szCs w:val="20"/>
                <w:color w:val="auto"/>
              </w:rPr>
            </w:pPr>
            <w:r>
              <w:rPr>
                <w:rFonts w:ascii="Arial" w:cs="Arial" w:eastAsia="Arial" w:hAnsi="Arial"/>
                <w:sz w:val="20"/>
                <w:szCs w:val="20"/>
                <w:color w:val="auto"/>
              </w:rPr>
              <w:t>32.2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00" w:type="dxa"/>
            <w:vAlign w:val="bottom"/>
            <w:tcBorders>
              <w:top w:val="single" w:sz="8" w:color="auto"/>
              <w:bottom w:val="single" w:sz="8" w:color="auto"/>
            </w:tcBorders>
          </w:tcPr>
          <w:p>
            <w:pPr>
              <w:jc w:val="right"/>
              <w:spacing w:after="0" w:line="225" w:lineRule="exact"/>
              <w:rPr>
                <w:sz w:val="20"/>
                <w:szCs w:val="20"/>
                <w:color w:val="auto"/>
              </w:rPr>
            </w:pPr>
            <w:r>
              <w:rPr>
                <w:rFonts w:ascii="Arial" w:cs="Arial" w:eastAsia="Arial" w:hAnsi="Arial"/>
                <w:sz w:val="20"/>
                <w:szCs w:val="20"/>
                <w:b w:val="1"/>
                <w:bCs w:val="1"/>
                <w:color w:val="auto"/>
              </w:rPr>
              <w:t>1,342,688</w:t>
            </w:r>
          </w:p>
        </w:tc>
        <w:tc>
          <w:tcPr>
            <w:tcW w:w="1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5" w:lineRule="exact"/>
              <w:rPr>
                <w:sz w:val="20"/>
                <w:szCs w:val="20"/>
                <w:color w:val="auto"/>
              </w:rPr>
            </w:pPr>
            <w:r>
              <w:rPr>
                <w:rFonts w:ascii="Arial" w:cs="Arial" w:eastAsia="Arial" w:hAnsi="Arial"/>
                <w:sz w:val="20"/>
                <w:szCs w:val="20"/>
                <w:b w:val="1"/>
                <w:bCs w:val="1"/>
                <w:color w:val="auto"/>
              </w:rPr>
              <w:t>$</w:t>
            </w:r>
          </w:p>
        </w:tc>
        <w:tc>
          <w:tcPr>
            <w:tcW w:w="1000" w:type="dxa"/>
            <w:vAlign w:val="bottom"/>
            <w:tcBorders>
              <w:top w:val="single" w:sz="8" w:color="auto"/>
              <w:bottom w:val="single" w:sz="8" w:color="auto"/>
            </w:tcBorders>
          </w:tcPr>
          <w:p>
            <w:pPr>
              <w:jc w:val="right"/>
              <w:spacing w:after="0" w:line="225" w:lineRule="exact"/>
              <w:rPr>
                <w:sz w:val="20"/>
                <w:szCs w:val="20"/>
                <w:color w:val="auto"/>
              </w:rPr>
            </w:pPr>
            <w:r>
              <w:rPr>
                <w:rFonts w:ascii="Arial" w:cs="Arial" w:eastAsia="Arial" w:hAnsi="Arial"/>
                <w:sz w:val="20"/>
                <w:szCs w:val="20"/>
                <w:b w:val="1"/>
                <w:bCs w:val="1"/>
                <w:color w:val="auto"/>
              </w:rPr>
              <w:t>15.32</w:t>
            </w:r>
          </w:p>
        </w:tc>
        <w:tc>
          <w:tcPr>
            <w:tcW w:w="140" w:type="dxa"/>
            <w:vAlign w:val="bottom"/>
          </w:tcPr>
          <w:p>
            <w:pPr>
              <w:spacing w:after="0"/>
              <w:rPr>
                <w:sz w:val="19"/>
                <w:szCs w:val="19"/>
                <w:color w:val="auto"/>
              </w:rPr>
            </w:pPr>
          </w:p>
        </w:tc>
        <w:tc>
          <w:tcPr>
            <w:tcW w:w="1200" w:type="dxa"/>
            <w:vAlign w:val="bottom"/>
            <w:tcBorders>
              <w:top w:val="single" w:sz="8" w:color="auto"/>
              <w:bottom w:val="single" w:sz="8" w:color="auto"/>
            </w:tcBorders>
          </w:tcPr>
          <w:p>
            <w:pPr>
              <w:ind w:left="420"/>
              <w:spacing w:after="0" w:line="225" w:lineRule="exact"/>
              <w:rPr>
                <w:sz w:val="20"/>
                <w:szCs w:val="20"/>
                <w:color w:val="auto"/>
              </w:rPr>
            </w:pPr>
            <w:r>
              <w:rPr>
                <w:rFonts w:ascii="Arial" w:cs="Arial" w:eastAsia="Arial" w:hAnsi="Arial"/>
                <w:sz w:val="20"/>
                <w:szCs w:val="20"/>
                <w:color w:val="auto"/>
                <w:w w:val="92"/>
              </w:rPr>
              <w:t>7.9 years</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ind w:right="13"/>
              <w:spacing w:after="0" w:line="225" w:lineRule="exact"/>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-3282315</wp:posOffset>
                </wp:positionH>
                <wp:positionV relativeFrom="paragraph">
                  <wp:posOffset>-1104265</wp:posOffset>
                </wp:positionV>
                <wp:extent cx="6514465" cy="18097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D2EEF5"/>
                        </a:solidFill>
                      </wps:spPr>
                      <wps:bodyPr/>
                    </wps:wsp>
                  </a:graphicData>
                </a:graphic>
              </wp:anchor>
            </w:drawing>
          </mc:Choice>
          <mc:Fallback>
            <w:pict>
              <v:rect id="Shape 69" o:spid="_x0000_s1094" style="position:absolute;margin-left:-258.4499pt;margin-top:-86.9499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-3282315</wp:posOffset>
                </wp:positionH>
                <wp:positionV relativeFrom="paragraph">
                  <wp:posOffset>-742315</wp:posOffset>
                </wp:positionV>
                <wp:extent cx="6514465" cy="18097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D2EEF5"/>
                        </a:solidFill>
                      </wps:spPr>
                      <wps:bodyPr/>
                    </wps:wsp>
                  </a:graphicData>
                </a:graphic>
              </wp:anchor>
            </w:drawing>
          </mc:Choice>
          <mc:Fallback>
            <w:pict>
              <v:rect id="Shape 70" o:spid="_x0000_s1095" style="position:absolute;margin-left:-258.4499pt;margin-top:-58.4499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drawing>
          <wp:anchor simplePos="0" relativeHeight="251657728" behindDoc="1" locked="0" layoutInCell="0" allowOverlap="1">
            <wp:simplePos x="0" y="0"/>
            <wp:positionH relativeFrom="column">
              <wp:posOffset>-3282315</wp:posOffset>
            </wp:positionH>
            <wp:positionV relativeFrom="paragraph">
              <wp:posOffset>-405765</wp:posOffset>
            </wp:positionV>
            <wp:extent cx="6527800" cy="231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9">
                      <a:extLst>
                        <a:ext uri="{28A0092B-C50C-407E-A947-70E740481C1C}"/>
                      </a:extLst>
                    </a:blip>
                    <a:srcRect/>
                    <a:stretch>
                      <a:fillRect/>
                    </a:stretch>
                  </pic:blipFill>
                  <pic:spPr bwMode="auto">
                    <a:xfrm>
                      <a:off x="0" y="0"/>
                      <a:ext cx="6527800" cy="23177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-43815</wp:posOffset>
            </wp:positionV>
            <wp:extent cx="325437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0">
                      <a:extLst>
                        <a:ext uri="{28A0092B-C50C-407E-A947-70E740481C1C}"/>
                      </a:extLst>
                    </a:blip>
                    <a:srcRect/>
                    <a:stretch>
                      <a:fillRect/>
                    </a:stretch>
                  </pic:blipFill>
                  <pic:spPr bwMode="auto">
                    <a:xfrm>
                      <a:off x="0" y="0"/>
                      <a:ext cx="3254375" cy="508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440" w:space="720"/>
            <w:col w:w="5100"/>
          </w:cols>
          <w:pgMar w:left="820" w:top="422" w:right="800" w:bottom="0" w:gutter="0" w:footer="0" w:header="0"/>
          <w:type w:val="continuous"/>
        </w:sectPr>
      </w:pPr>
    </w:p>
    <w:p>
      <w:pPr>
        <w:spacing w:after="0" w:line="47" w:lineRule="exact"/>
        <w:rPr>
          <w:sz w:val="20"/>
          <w:szCs w:val="20"/>
          <w:color w:val="auto"/>
        </w:rPr>
      </w:pPr>
    </w:p>
    <w:p>
      <w:pPr>
        <w:jc w:val="both"/>
        <w:ind w:right="220"/>
        <w:spacing w:after="0" w:line="309" w:lineRule="auto"/>
        <w:rPr>
          <w:sz w:val="20"/>
          <w:szCs w:val="20"/>
          <w:color w:val="auto"/>
        </w:rPr>
      </w:pPr>
      <w:r>
        <w:rPr>
          <w:rFonts w:ascii="Arial" w:cs="Arial" w:eastAsia="Arial" w:hAnsi="Arial"/>
          <w:sz w:val="18"/>
          <w:szCs w:val="18"/>
          <w:color w:val="auto"/>
        </w:rPr>
        <w:t>At December 31, 2025, the total unrecognized compensation expense related to stock options expected to be recognized over the weighted-average period of approximately 1.1 years is $4.9 million. The total fair value of stock options vested during the years ended December 31, 2025, 2024 and 2023 was $9.8 million, $16.3 million and $10.6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RSUs</w:t>
      </w:r>
    </w:p>
    <w:p>
      <w:pPr>
        <w:spacing w:after="0" w:line="217" w:lineRule="exact"/>
        <w:rPr>
          <w:sz w:val="20"/>
          <w:szCs w:val="20"/>
          <w:color w:val="auto"/>
        </w:rPr>
      </w:pPr>
    </w:p>
    <w:p>
      <w:pPr>
        <w:ind w:right="20"/>
        <w:spacing w:after="0" w:line="341" w:lineRule="auto"/>
        <w:rPr>
          <w:sz w:val="20"/>
          <w:szCs w:val="20"/>
          <w:color w:val="auto"/>
        </w:rPr>
      </w:pPr>
      <w:r>
        <w:rPr>
          <w:rFonts w:ascii="Arial" w:cs="Arial" w:eastAsia="Arial" w:hAnsi="Arial"/>
          <w:sz w:val="18"/>
          <w:szCs w:val="18"/>
          <w:color w:val="auto"/>
        </w:rPr>
        <w:t>RSUs generally vest ratably over a period of one to four years and are valued based on the market price on the date of grant. For RSUs with performance modifiers, management estimated the fair value using a Monte Carlo simulation valuation model, as</w:t>
      </w:r>
    </w:p>
    <w:p>
      <w:pPr>
        <w:sectPr>
          <w:pgSz w:w="11880" w:h="15480" w:orient="portrait"/>
          <w:cols w:equalWidth="0" w:num="1">
            <w:col w:w="10260"/>
          </w:cols>
          <w:pgMar w:left="820" w:top="422" w:right="800" w:bottom="0" w:gutter="0" w:footer="0" w:header="0"/>
          <w:type w:val="continuous"/>
        </w:sect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0260"/>
          </w:cols>
          <w:pgMar w:left="820" w:top="422" w:right="800" w:bottom="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these awards are subject to a market condition. The following table summarizes our unvested RSUs activity for the year ended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right"/>
              <w:ind w:right="23"/>
              <w:spacing w:after="0"/>
              <w:rPr>
                <w:sz w:val="20"/>
                <w:szCs w:val="20"/>
                <w:color w:val="auto"/>
              </w:rPr>
            </w:pPr>
            <w:r>
              <w:rPr>
                <w:rFonts w:ascii="Arial" w:cs="Arial" w:eastAsia="Arial" w:hAnsi="Arial"/>
                <w:sz w:val="16"/>
                <w:szCs w:val="16"/>
                <w:b w:val="1"/>
                <w:bCs w:val="1"/>
                <w:color w:val="auto"/>
                <w:w w:val="97"/>
              </w:rPr>
              <w:t>Weighted-average Grant</w:t>
            </w:r>
          </w:p>
        </w:tc>
      </w:tr>
      <w:tr>
        <w:trPr>
          <w:trHeight w:val="219"/>
        </w:trPr>
        <w:tc>
          <w:tcPr>
            <w:tcW w:w="6600" w:type="dxa"/>
            <w:vAlign w:val="bottom"/>
            <w:tcBorders>
              <w:bottom w:val="single" w:sz="8" w:color="D2EEF5"/>
            </w:tcBorders>
          </w:tcPr>
          <w:p>
            <w:pPr>
              <w:spacing w:after="0"/>
              <w:rPr>
                <w:sz w:val="19"/>
                <w:szCs w:val="19"/>
                <w:color w:val="auto"/>
              </w:rPr>
            </w:pP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Date Fair Value</w:t>
            </w:r>
          </w:p>
        </w:tc>
      </w:tr>
      <w:tr>
        <w:trPr>
          <w:trHeight w:val="275"/>
        </w:trPr>
        <w:tc>
          <w:tcPr>
            <w:tcW w:w="6600" w:type="dxa"/>
            <w:vAlign w:val="bottom"/>
            <w:shd w:val="clear" w:color="auto" w:fill="D2EEF5"/>
          </w:tcPr>
          <w:p>
            <w:pPr>
              <w:ind w:left="40"/>
              <w:spacing w:after="0"/>
              <w:rPr>
                <w:sz w:val="20"/>
                <w:szCs w:val="20"/>
                <w:color w:val="auto"/>
              </w:rPr>
            </w:pPr>
            <w:r>
              <w:rPr>
                <w:rFonts w:ascii="Arial" w:cs="Arial" w:eastAsia="Arial" w:hAnsi="Arial"/>
                <w:sz w:val="20"/>
                <w:szCs w:val="20"/>
                <w:color w:val="auto"/>
              </w:rPr>
              <w:t>Unvested at the beginning of the year</w:t>
            </w:r>
          </w:p>
        </w:tc>
        <w:tc>
          <w:tcPr>
            <w:tcW w:w="16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2,278,537</w:t>
            </w:r>
          </w:p>
        </w:tc>
        <w:tc>
          <w:tcPr>
            <w:tcW w:w="400" w:type="dxa"/>
            <w:vAlign w:val="bottom"/>
            <w:gridSpan w:val="2"/>
            <w:shd w:val="clear" w:color="auto" w:fill="D2EEF5"/>
          </w:tcPr>
          <w:p>
            <w:pPr>
              <w:jc w:val="right"/>
              <w:ind w:right="50"/>
              <w:spacing w:after="0"/>
              <w:rPr>
                <w:sz w:val="20"/>
                <w:szCs w:val="20"/>
                <w:color w:val="auto"/>
              </w:rPr>
            </w:pPr>
            <w:r>
              <w:rPr>
                <w:rFonts w:ascii="Arial" w:cs="Arial" w:eastAsia="Arial" w:hAnsi="Arial"/>
                <w:sz w:val="20"/>
                <w:szCs w:val="20"/>
                <w:color w:val="auto"/>
              </w:rPr>
              <w:t>$</w:t>
            </w:r>
          </w:p>
        </w:tc>
        <w:tc>
          <w:tcPr>
            <w:tcW w:w="166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13.73</w:t>
            </w:r>
          </w:p>
        </w:tc>
      </w:tr>
      <w:tr>
        <w:trPr>
          <w:trHeight w:val="278"/>
        </w:trPr>
        <w:tc>
          <w:tcPr>
            <w:tcW w:w="6600" w:type="dxa"/>
            <w:vAlign w:val="bottom"/>
          </w:tcPr>
          <w:p>
            <w:pPr>
              <w:ind w:left="280"/>
              <w:spacing w:after="0"/>
              <w:rPr>
                <w:sz w:val="20"/>
                <w:szCs w:val="20"/>
                <w:color w:val="auto"/>
              </w:rPr>
            </w:pPr>
            <w:r>
              <w:rPr>
                <w:rFonts w:ascii="Arial" w:cs="Arial" w:eastAsia="Arial" w:hAnsi="Arial"/>
                <w:sz w:val="20"/>
                <w:szCs w:val="20"/>
                <w:color w:val="auto"/>
              </w:rPr>
              <w:t>Granted</w:t>
            </w:r>
          </w:p>
        </w:tc>
        <w:tc>
          <w:tcPr>
            <w:tcW w:w="1600" w:type="dxa"/>
            <w:vAlign w:val="bottom"/>
          </w:tcPr>
          <w:p>
            <w:pPr>
              <w:jc w:val="right"/>
              <w:spacing w:after="0"/>
              <w:rPr>
                <w:sz w:val="20"/>
                <w:szCs w:val="20"/>
                <w:color w:val="auto"/>
              </w:rPr>
            </w:pPr>
            <w:r>
              <w:rPr>
                <w:rFonts w:ascii="Arial" w:cs="Arial" w:eastAsia="Arial" w:hAnsi="Arial"/>
                <w:sz w:val="20"/>
                <w:szCs w:val="20"/>
                <w:color w:val="auto"/>
              </w:rPr>
              <w:t>1,583,130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jc w:val="right"/>
              <w:ind w:right="3"/>
              <w:spacing w:after="0"/>
              <w:rPr>
                <w:sz w:val="20"/>
                <w:szCs w:val="20"/>
                <w:color w:val="auto"/>
              </w:rPr>
            </w:pPr>
            <w:r>
              <w:rPr>
                <w:rFonts w:ascii="Arial" w:cs="Arial" w:eastAsia="Arial" w:hAnsi="Arial"/>
                <w:sz w:val="20"/>
                <w:szCs w:val="20"/>
                <w:color w:val="auto"/>
              </w:rPr>
              <w:t>13.48</w:t>
            </w:r>
          </w:p>
        </w:tc>
      </w:tr>
      <w:tr>
        <w:trPr>
          <w:trHeight w:val="292"/>
        </w:trPr>
        <w:tc>
          <w:tcPr>
            <w:tcW w:w="6600" w:type="dxa"/>
            <w:vAlign w:val="bottom"/>
            <w:shd w:val="clear" w:color="auto" w:fill="D2EEF5"/>
          </w:tcPr>
          <w:p>
            <w:pPr>
              <w:ind w:left="280"/>
              <w:spacing w:after="0"/>
              <w:rPr>
                <w:sz w:val="20"/>
                <w:szCs w:val="20"/>
                <w:color w:val="auto"/>
              </w:rPr>
            </w:pPr>
            <w:r>
              <w:rPr>
                <w:rFonts w:ascii="Arial" w:cs="Arial" w:eastAsia="Arial" w:hAnsi="Arial"/>
                <w:sz w:val="20"/>
                <w:szCs w:val="20"/>
                <w:color w:val="auto"/>
              </w:rPr>
              <w:t>Forfeited</w:t>
            </w:r>
          </w:p>
        </w:tc>
        <w:tc>
          <w:tcPr>
            <w:tcW w:w="16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(89,892)</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166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12.87</w:t>
            </w:r>
          </w:p>
        </w:tc>
      </w:tr>
      <w:tr>
        <w:trPr>
          <w:trHeight w:val="275"/>
        </w:trPr>
        <w:tc>
          <w:tcPr>
            <w:tcW w:w="6600" w:type="dxa"/>
            <w:vAlign w:val="bottom"/>
            <w:tcBorders>
              <w:bottom w:val="single" w:sz="8" w:color="D2EEF5"/>
            </w:tcBorders>
          </w:tcPr>
          <w:p>
            <w:pPr>
              <w:ind w:left="280"/>
              <w:spacing w:after="0"/>
              <w:rPr>
                <w:sz w:val="20"/>
                <w:szCs w:val="20"/>
                <w:color w:val="auto"/>
              </w:rPr>
            </w:pPr>
            <w:r>
              <w:rPr>
                <w:rFonts w:ascii="Arial" w:cs="Arial" w:eastAsia="Arial" w:hAnsi="Arial"/>
                <w:sz w:val="20"/>
                <w:szCs w:val="20"/>
                <w:color w:val="auto"/>
              </w:rPr>
              <w:t>Vested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(1,365,684)</w:t>
            </w:r>
          </w:p>
        </w:tc>
        <w:tc>
          <w:tcPr>
            <w:tcW w:w="1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12.74</w:t>
            </w:r>
          </w:p>
        </w:tc>
      </w:tr>
      <w:tr>
        <w:trPr>
          <w:trHeight w:val="270"/>
        </w:trPr>
        <w:tc>
          <w:tcPr>
            <w:tcW w:w="6600" w:type="dxa"/>
            <w:vAlign w:val="bottom"/>
            <w:tcBorders>
              <w:bottom w:val="single" w:sz="8" w:color="D2EEF5"/>
            </w:tcBorders>
            <w:shd w:val="clear" w:color="auto" w:fill="D2EEF5"/>
          </w:tcPr>
          <w:p>
            <w:pPr>
              <w:ind w:left="40"/>
              <w:spacing w:after="0"/>
              <w:rPr>
                <w:sz w:val="20"/>
                <w:szCs w:val="20"/>
                <w:color w:val="auto"/>
              </w:rPr>
            </w:pPr>
            <w:r>
              <w:rPr>
                <w:rFonts w:ascii="Arial" w:cs="Arial" w:eastAsia="Arial" w:hAnsi="Arial"/>
                <w:sz w:val="20"/>
                <w:szCs w:val="20"/>
                <w:b w:val="1"/>
                <w:bCs w:val="1"/>
                <w:color w:val="auto"/>
              </w:rPr>
              <w:t>Unvested at the end of the year</w:t>
            </w:r>
          </w:p>
        </w:tc>
        <w:tc>
          <w:tcPr>
            <w:tcW w:w="16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2,406,091</w:t>
            </w:r>
          </w:p>
        </w:tc>
        <w:tc>
          <w:tcPr>
            <w:tcW w:w="120" w:type="dxa"/>
            <w:vAlign w:val="bottom"/>
            <w:tcBorders>
              <w:bottom w:val="single" w:sz="8" w:color="D2EEF5"/>
            </w:tcBorders>
            <w:shd w:val="clear" w:color="auto" w:fill="D2EEF5"/>
          </w:tcPr>
          <w:p>
            <w:pPr>
              <w:spacing w:after="0"/>
              <w:rPr>
                <w:sz w:val="23"/>
                <w:szCs w:val="23"/>
                <w:color w:val="auto"/>
              </w:rPr>
            </w:pPr>
          </w:p>
        </w:tc>
        <w:tc>
          <w:tcPr>
            <w:tcW w:w="280" w:type="dxa"/>
            <w:vAlign w:val="bottom"/>
            <w:tcBorders>
              <w:bottom w:val="single" w:sz="8" w:color="auto"/>
            </w:tcBorders>
            <w:shd w:val="clear" w:color="auto" w:fill="D2EEF5"/>
          </w:tcPr>
          <w:p>
            <w:pPr>
              <w:jc w:val="right"/>
              <w:ind w:right="50"/>
              <w:spacing w:after="0"/>
              <w:rPr>
                <w:sz w:val="20"/>
                <w:szCs w:val="20"/>
                <w:color w:val="auto"/>
              </w:rPr>
            </w:pPr>
            <w:r>
              <w:rPr>
                <w:rFonts w:ascii="Arial" w:cs="Arial" w:eastAsia="Arial" w:hAnsi="Arial"/>
                <w:sz w:val="20"/>
                <w:szCs w:val="20"/>
                <w:b w:val="1"/>
                <w:bCs w:val="1"/>
                <w:color w:val="auto"/>
              </w:rPr>
              <w:t>$</w:t>
            </w:r>
          </w:p>
        </w:tc>
        <w:tc>
          <w:tcPr>
            <w:tcW w:w="166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14.16</w:t>
            </w:r>
          </w:p>
        </w:tc>
      </w:tr>
      <w:tr>
        <w:trPr>
          <w:trHeight w:val="20"/>
        </w:trPr>
        <w:tc>
          <w:tcPr>
            <w:tcW w:w="6600" w:type="dxa"/>
            <w:vAlign w:val="bottom"/>
            <w:tcBorders>
              <w:top w:val="single" w:sz="8" w:color="D2EEF5"/>
            </w:tcBorders>
          </w:tcPr>
          <w:p>
            <w:pPr>
              <w:spacing w:after="0" w:line="20" w:lineRule="exact"/>
              <w:rPr>
                <w:sz w:val="1"/>
                <w:szCs w:val="1"/>
                <w:color w:val="auto"/>
              </w:rPr>
            </w:pPr>
          </w:p>
        </w:tc>
        <w:tc>
          <w:tcPr>
            <w:tcW w:w="160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D2EEF5"/>
              <w:bottom w:val="single" w:sz="8" w:color="auto"/>
            </w:tcBorders>
          </w:tcPr>
          <w:p>
            <w:pPr>
              <w:spacing w:after="0" w:line="20" w:lineRule="exact"/>
              <w:rPr>
                <w:sz w:val="1"/>
                <w:szCs w:val="1"/>
                <w:color w:val="auto"/>
              </w:rPr>
            </w:pPr>
          </w:p>
        </w:tc>
        <w:tc>
          <w:tcPr>
            <w:tcW w:w="1660" w:type="dxa"/>
            <w:vAlign w:val="bottom"/>
            <w:tcBorders>
              <w:top w:val="single" w:sz="8" w:color="D2EE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-43815</wp:posOffset>
            </wp:positionV>
            <wp:extent cx="2349500"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1">
                      <a:extLst>
                        <a:ext uri="{28A0092B-C50C-407E-A947-70E740481C1C}"/>
                      </a:extLst>
                    </a:blip>
                    <a:srcRect/>
                    <a:stretch>
                      <a:fillRect/>
                    </a:stretch>
                  </pic:blipFill>
                  <pic:spPr bwMode="auto">
                    <a:xfrm>
                      <a:off x="0" y="0"/>
                      <a:ext cx="2349500" cy="50800"/>
                    </a:xfrm>
                    <a:prstGeom prst="rect">
                      <a:avLst/>
                    </a:prstGeom>
                    <a:noFill/>
                  </pic:spPr>
                </pic:pic>
              </a:graphicData>
            </a:graphic>
          </wp:anchor>
        </w:drawing>
      </w:r>
    </w:p>
    <w:p>
      <w:pPr>
        <w:spacing w:after="0" w:line="187" w:lineRule="exact"/>
        <w:rPr>
          <w:sz w:val="20"/>
          <w:szCs w:val="20"/>
          <w:color w:val="auto"/>
        </w:rPr>
      </w:pPr>
    </w:p>
    <w:p>
      <w:pPr>
        <w:ind w:right="320"/>
        <w:spacing w:after="0" w:line="258" w:lineRule="auto"/>
        <w:rPr>
          <w:sz w:val="20"/>
          <w:szCs w:val="20"/>
          <w:color w:val="auto"/>
        </w:rPr>
      </w:pPr>
      <w:r>
        <w:rPr>
          <w:rFonts w:ascii="Arial" w:cs="Arial" w:eastAsia="Arial" w:hAnsi="Arial"/>
          <w:sz w:val="20"/>
          <w:szCs w:val="20"/>
          <w:color w:val="auto"/>
        </w:rPr>
        <w:t>As of December 31, 2025, total unrecognized compensation expense related to RSUs expected to be recognized over the weighted-average period of approximately 1.7 years is $18.6 million. The total fair value of RSUs vested during the years ended December 31, 2025, 2024 and 2023 was $17.3 million, $15.4 million and $14.1 million, respectively. The weighted average grant date fair value of RSUs awarded during the years ended December 31, 2024 and 2023 was $14.05 and $16.95,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PSUs</w:t>
      </w:r>
    </w:p>
    <w:p>
      <w:pPr>
        <w:spacing w:after="0" w:line="137" w:lineRule="exact"/>
        <w:rPr>
          <w:sz w:val="20"/>
          <w:szCs w:val="20"/>
          <w:color w:val="auto"/>
        </w:rPr>
      </w:pPr>
    </w:p>
    <w:p>
      <w:pPr>
        <w:ind w:right="20"/>
        <w:spacing w:after="0" w:line="335" w:lineRule="auto"/>
        <w:rPr>
          <w:sz w:val="20"/>
          <w:szCs w:val="20"/>
          <w:color w:val="auto"/>
        </w:rPr>
      </w:pPr>
      <w:r>
        <w:rPr>
          <w:rFonts w:ascii="Arial" w:cs="Arial" w:eastAsia="Arial" w:hAnsi="Arial"/>
          <w:sz w:val="17"/>
          <w:szCs w:val="17"/>
          <w:color w:val="auto"/>
        </w:rPr>
        <w:t>PSUs vest at the end of a three-year service period and are valued based on our market price on the date of grant. PSUs awarded to our CEO with vesting conditions dependent upon the achievement of stock price increases were valued using a Monte Carlo simulation valuation model. The following table summarizes our unvested PSUs for the year ended December 31, 2025:</w:t>
      </w:r>
    </w:p>
    <w:p>
      <w:pPr>
        <w:sectPr>
          <w:pgSz w:w="11880" w:h="15480" w:orient="portrait"/>
          <w:cols w:equalWidth="0" w:num="1">
            <w:col w:w="10260"/>
          </w:cols>
          <w:pgMar w:left="820" w:top="422" w:right="800" w:bottom="0" w:gutter="0" w:footer="0" w:header="0"/>
        </w:sect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Unvested at December 31, 2024</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20"/>
          <w:szCs w:val="20"/>
          <w:color w:val="auto"/>
        </w:rPr>
        <w:t>Granted</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20"/>
          <w:szCs w:val="20"/>
          <w:color w:val="auto"/>
        </w:rPr>
        <w:t>Forfeited</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Unvested at December 31, 2025</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jc w:val="right"/>
              <w:ind w:right="187"/>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jc w:val="right"/>
              <w:ind w:right="107"/>
              <w:spacing w:after="0"/>
              <w:rPr>
                <w:sz w:val="20"/>
                <w:szCs w:val="20"/>
                <w:color w:val="auto"/>
              </w:rPr>
            </w:pPr>
            <w:r>
              <w:rPr>
                <w:rFonts w:ascii="Arial" w:cs="Arial" w:eastAsia="Arial" w:hAnsi="Arial"/>
                <w:sz w:val="16"/>
                <w:szCs w:val="16"/>
                <w:b w:val="1"/>
                <w:bCs w:val="1"/>
                <w:color w:val="auto"/>
                <w:w w:val="91"/>
              </w:rPr>
              <w:t>Weighted-average Grant</w:t>
            </w:r>
          </w:p>
        </w:tc>
      </w:tr>
      <w:tr>
        <w:trPr>
          <w:trHeight w:val="219"/>
        </w:trPr>
        <w:tc>
          <w:tcPr>
            <w:tcW w:w="1300" w:type="dxa"/>
            <w:vAlign w:val="bottom"/>
            <w:tcBorders>
              <w:bottom w:val="single" w:sz="8" w:color="auto"/>
            </w:tcBorders>
          </w:tcPr>
          <w:p>
            <w:pPr>
              <w:jc w:val="right"/>
              <w:ind w:right="327"/>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Date Fair Value</w:t>
            </w:r>
          </w:p>
        </w:tc>
      </w:tr>
      <w:tr>
        <w:trPr>
          <w:trHeight w:val="267"/>
        </w:trPr>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20" w:type="dxa"/>
            <w:vAlign w:val="bottom"/>
          </w:tcPr>
          <w:p>
            <w:pPr>
              <w:jc w:val="right"/>
              <w:ind w:right="7"/>
              <w:spacing w:after="0"/>
              <w:rPr>
                <w:sz w:val="20"/>
                <w:szCs w:val="20"/>
                <w:color w:val="auto"/>
              </w:rPr>
            </w:pPr>
            <w:r>
              <w:rPr>
                <w:rFonts w:ascii="Arial" w:cs="Arial" w:eastAsia="Arial" w:hAnsi="Arial"/>
                <w:sz w:val="20"/>
                <w:szCs w:val="20"/>
                <w:color w:val="auto"/>
              </w:rPr>
              <w:t>—</w:t>
            </w:r>
          </w:p>
        </w:tc>
      </w:tr>
      <w:tr>
        <w:trPr>
          <w:trHeight w:val="280"/>
        </w:trPr>
        <w:tc>
          <w:tcPr>
            <w:tcW w:w="1300" w:type="dxa"/>
            <w:vAlign w:val="bottom"/>
          </w:tcPr>
          <w:p>
            <w:pPr>
              <w:jc w:val="right"/>
              <w:spacing w:after="0"/>
              <w:rPr>
                <w:sz w:val="20"/>
                <w:szCs w:val="20"/>
                <w:color w:val="auto"/>
              </w:rPr>
            </w:pPr>
            <w:r>
              <w:rPr>
                <w:rFonts w:ascii="Arial" w:cs="Arial" w:eastAsia="Arial" w:hAnsi="Arial"/>
                <w:sz w:val="20"/>
                <w:szCs w:val="20"/>
                <w:color w:val="auto"/>
              </w:rPr>
              <w:t>865,256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jc w:val="right"/>
              <w:ind w:right="7"/>
              <w:spacing w:after="0"/>
              <w:rPr>
                <w:sz w:val="20"/>
                <w:szCs w:val="20"/>
                <w:color w:val="auto"/>
              </w:rPr>
            </w:pPr>
            <w:r>
              <w:rPr>
                <w:rFonts w:ascii="Arial" w:cs="Arial" w:eastAsia="Arial" w:hAnsi="Arial"/>
                <w:sz w:val="20"/>
                <w:szCs w:val="20"/>
                <w:color w:val="auto"/>
              </w:rPr>
              <w:t>10.86</w:t>
            </w:r>
          </w:p>
        </w:tc>
      </w:tr>
      <w:tr>
        <w:trPr>
          <w:trHeight w:val="288"/>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(5,604)</w:t>
            </w: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w:t>
            </w:r>
          </w:p>
        </w:tc>
        <w:tc>
          <w:tcPr>
            <w:tcW w:w="192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11.68</w:t>
            </w:r>
          </w:p>
        </w:tc>
      </w:tr>
      <w:tr>
        <w:trPr>
          <w:trHeight w:val="245"/>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859,652</w:t>
            </w: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92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b w:val="1"/>
                <w:bCs w:val="1"/>
                <w:color w:val="auto"/>
              </w:rPr>
              <w:t>10.86</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-4323715</wp:posOffset>
                </wp:positionH>
                <wp:positionV relativeFrom="paragraph">
                  <wp:posOffset>-742315</wp:posOffset>
                </wp:positionV>
                <wp:extent cx="6514465" cy="18097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D2EEF5"/>
                        </a:solidFill>
                      </wps:spPr>
                      <wps:bodyPr/>
                    </wps:wsp>
                  </a:graphicData>
                </a:graphic>
              </wp:anchor>
            </w:drawing>
          </mc:Choice>
          <mc:Fallback>
            <w:pict>
              <v:rect id="Shape 74" o:spid="_x0000_s1099" style="position:absolute;margin-left:-340.4499pt;margin-top:-58.4499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-4323715</wp:posOffset>
                </wp:positionH>
                <wp:positionV relativeFrom="paragraph">
                  <wp:posOffset>-380365</wp:posOffset>
                </wp:positionV>
                <wp:extent cx="6514465" cy="18097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D2EEF5"/>
                        </a:solidFill>
                      </wps:spPr>
                      <wps:bodyPr/>
                    </wps:wsp>
                  </a:graphicData>
                </a:graphic>
              </wp:anchor>
            </w:drawing>
          </mc:Choice>
          <mc:Fallback>
            <w:pict>
              <v:rect id="Shape 75" o:spid="_x0000_s1100" style="position:absolute;margin-left:-340.4499pt;margin-top:-29.9499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drawing>
          <wp:anchor simplePos="0" relativeHeight="251657728" behindDoc="1" locked="0" layoutInCell="0" allowOverlap="1">
            <wp:simplePos x="0" y="0"/>
            <wp:positionH relativeFrom="column">
              <wp:posOffset>-12065</wp:posOffset>
            </wp:positionH>
            <wp:positionV relativeFrom="paragraph">
              <wp:posOffset>-43815</wp:posOffset>
            </wp:positionV>
            <wp:extent cx="2216150"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2">
                      <a:extLst>
                        <a:ext uri="{28A0092B-C50C-407E-A947-70E740481C1C}"/>
                      </a:extLst>
                    </a:blip>
                    <a:srcRect/>
                    <a:stretch>
                      <a:fillRect/>
                    </a:stretch>
                  </pic:blipFill>
                  <pic:spPr bwMode="auto">
                    <a:xfrm>
                      <a:off x="0" y="0"/>
                      <a:ext cx="2216150" cy="508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080" w:space="720"/>
            <w:col w:w="3460"/>
          </w:cols>
          <w:pgMar w:left="820" w:top="422" w:right="800" w:bottom="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Earnings Per Share</w:t>
      </w:r>
    </w:p>
    <w:p>
      <w:pPr>
        <w:spacing w:after="0" w:line="25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per share</w:t>
      </w:r>
      <w:r>
        <w:rPr>
          <w:rFonts w:ascii="Arial" w:cs="Arial" w:eastAsia="Arial" w:hAnsi="Arial"/>
          <w:sz w:val="24"/>
          <w:szCs w:val="24"/>
          <w:color w:val="auto"/>
        </w:rPr>
        <w: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In periods in which the Company has net income, earnings per share is calculated using the two-class method. This method is required as unvested pre-IPO restricted stock awards have the right to receive non-forfeitable dividends or dividend equivalents if the Company were to declare dividends on its common stock. Pursuant to the two-class method, earnings for each period are allocated on a pro-rata basis to common stockholders and unvested pre-IPO restricted stock awards. Diluted earnings per share is computed using the more dilutive of (a) the two-class method, or (b) treasury stock method, as applicable, to the potentially dilutive instruments.</w:t>
      </w:r>
    </w:p>
    <w:p>
      <w:pPr>
        <w:sectPr>
          <w:pgSz w:w="11880" w:h="15480" w:orient="portrait"/>
          <w:cols w:equalWidth="0" w:num="1">
            <w:col w:w="10260"/>
          </w:cols>
          <w:pgMar w:left="820" w:top="422"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10260"/>
          </w:cols>
          <w:pgMar w:left="820" w:top="422" w:right="800" w:bottom="0" w:gutter="0" w:footer="0" w:header="0"/>
          <w:type w:val="continuous"/>
        </w:sectPr>
      </w:pPr>
    </w:p>
    <w:bookmarkStart w:id="104" w:name="page105"/>
    <w:bookmarkEnd w:id="104"/>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396" w:lineRule="exact"/>
        <w:rPr>
          <w:sz w:val="20"/>
          <w:szCs w:val="20"/>
          <w:color w:val="auto"/>
        </w:rPr>
      </w:pPr>
    </w:p>
    <w:p>
      <w:pPr>
        <w:ind w:left="10"/>
        <w:spacing w:after="0"/>
        <w:rPr>
          <w:sz w:val="20"/>
          <w:szCs w:val="20"/>
          <w:color w:val="auto"/>
        </w:rPr>
      </w:pPr>
      <w:r>
        <w:rPr>
          <w:rFonts w:ascii="Arial" w:cs="Arial" w:eastAsia="Arial" w:hAnsi="Arial"/>
          <w:sz w:val="20"/>
          <w:szCs w:val="20"/>
          <w:color w:val="auto"/>
        </w:rPr>
        <w:t>Our basic and diluted earnings per common share are calculated as follows:</w:t>
      </w:r>
    </w:p>
    <w:p>
      <w:pPr>
        <w:spacing w:after="0" w:line="216" w:lineRule="exact"/>
        <w:rPr>
          <w:sz w:val="20"/>
          <w:szCs w:val="20"/>
          <w:color w:val="auto"/>
        </w:rPr>
      </w:pPr>
    </w:p>
    <w:p>
      <w:pPr>
        <w:ind w:left="7150"/>
        <w:spacing w:after="0"/>
        <w:rPr>
          <w:sz w:val="20"/>
          <w:szCs w:val="20"/>
          <w:color w:val="auto"/>
        </w:rPr>
      </w:pPr>
      <w:r>
        <w:rPr>
          <w:rFonts w:ascii="Arial" w:cs="Arial" w:eastAsia="Arial" w:hAnsi="Arial"/>
          <w:sz w:val="18"/>
          <w:szCs w:val="18"/>
          <w:b w:val="1"/>
          <w:bCs w:val="1"/>
          <w:color w:val="auto"/>
        </w:rPr>
        <w:t>Year Ended December 31,</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U.S. dollars and share amounts (except per share amounts)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60"/>
              <w:spacing w:after="0" w:line="229" w:lineRule="exact"/>
              <w:rPr>
                <w:sz w:val="20"/>
                <w:szCs w:val="20"/>
                <w:color w:val="auto"/>
              </w:rPr>
            </w:pPr>
            <w:r>
              <w:rPr>
                <w:rFonts w:ascii="Arial" w:cs="Arial" w:eastAsia="Arial" w:hAnsi="Arial"/>
                <w:sz w:val="20"/>
                <w:szCs w:val="20"/>
                <w:b w:val="1"/>
                <w:bCs w:val="1"/>
                <w:color w:val="auto"/>
              </w:rPr>
              <w:t>2025</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60"/>
              <w:spacing w:after="0" w:line="229" w:lineRule="exact"/>
              <w:rPr>
                <w:sz w:val="20"/>
                <w:szCs w:val="20"/>
                <w:color w:val="auto"/>
              </w:rPr>
            </w:pPr>
            <w:r>
              <w:rPr>
                <w:rFonts w:ascii="Arial" w:cs="Arial" w:eastAsia="Arial" w:hAnsi="Arial"/>
                <w:sz w:val="20"/>
                <w:szCs w:val="20"/>
                <w:b w:val="1"/>
                <w:bCs w:val="1"/>
                <w:color w:val="auto"/>
              </w:rPr>
              <w:t>2024</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60"/>
              <w:spacing w:after="0" w:line="229" w:lineRule="exact"/>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4840" w:type="dxa"/>
            <w:vAlign w:val="bottom"/>
            <w:tcBorders>
              <w:top w:val="single" w:sz="8" w:color="auto"/>
              <w:bottom w:val="single" w:sz="8" w:color="D2EEF5"/>
            </w:tcBorders>
          </w:tcPr>
          <w:p>
            <w:pPr>
              <w:spacing w:after="0" w:line="20" w:lineRule="exact"/>
              <w:rPr>
                <w:sz w:val="1"/>
                <w:szCs w:val="1"/>
                <w:color w:val="auto"/>
              </w:rPr>
            </w:pPr>
          </w:p>
        </w:tc>
        <w:tc>
          <w:tcPr>
            <w:tcW w:w="1180" w:type="dxa"/>
            <w:vAlign w:val="bottom"/>
            <w:tcBorders>
              <w:bottom w:val="single" w:sz="8" w:color="D2EEF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602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Earnings:</w:t>
            </w:r>
          </w:p>
        </w:tc>
        <w:tc>
          <w:tcPr>
            <w:tcW w:w="300" w:type="dxa"/>
            <w:vAlign w:val="bottom"/>
            <w:shd w:val="clear" w:color="auto" w:fill="D2EEF5"/>
          </w:tcPr>
          <w:p>
            <w:pPr>
              <w:spacing w:after="0"/>
              <w:rPr>
                <w:sz w:val="23"/>
                <w:szCs w:val="23"/>
                <w:color w:val="auto"/>
              </w:rPr>
            </w:pPr>
          </w:p>
        </w:tc>
        <w:tc>
          <w:tcPr>
            <w:tcW w:w="102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300" w:type="dxa"/>
            <w:vAlign w:val="bottom"/>
            <w:shd w:val="clear" w:color="auto" w:fill="D2EEF5"/>
          </w:tcPr>
          <w:p>
            <w:pPr>
              <w:spacing w:after="0"/>
              <w:rPr>
                <w:sz w:val="23"/>
                <w:szCs w:val="23"/>
                <w:color w:val="auto"/>
              </w:rPr>
            </w:pPr>
          </w:p>
        </w:tc>
        <w:tc>
          <w:tcPr>
            <w:tcW w:w="102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300" w:type="dxa"/>
            <w:vAlign w:val="bottom"/>
            <w:shd w:val="clear" w:color="auto" w:fill="D2EEF5"/>
          </w:tcPr>
          <w:p>
            <w:pPr>
              <w:spacing w:after="0"/>
              <w:rPr>
                <w:sz w:val="23"/>
                <w:szCs w:val="23"/>
                <w:color w:val="auto"/>
              </w:rPr>
            </w:pPr>
          </w:p>
        </w:tc>
        <w:tc>
          <w:tcPr>
            <w:tcW w:w="1020" w:type="dxa"/>
            <w:vAlign w:val="bottom"/>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020" w:type="dxa"/>
            <w:vAlign w:val="bottom"/>
            <w:gridSpan w:val="2"/>
          </w:tcPr>
          <w:p>
            <w:pPr>
              <w:ind w:left="180"/>
              <w:spacing w:after="0"/>
              <w:rPr>
                <w:sz w:val="20"/>
                <w:szCs w:val="20"/>
                <w:color w:val="auto"/>
              </w:rPr>
            </w:pPr>
            <w:r>
              <w:rPr>
                <w:rFonts w:ascii="Arial" w:cs="Arial" w:eastAsia="Arial" w:hAnsi="Arial"/>
                <w:sz w:val="20"/>
                <w:szCs w:val="20"/>
                <w:color w:val="auto"/>
              </w:rPr>
              <w:t>Net income</w:t>
            </w:r>
          </w:p>
        </w:tc>
        <w:tc>
          <w:tcPr>
            <w:tcW w:w="3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77,949</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44,398</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51,376</w:t>
            </w:r>
          </w:p>
        </w:tc>
        <w:tc>
          <w:tcPr>
            <w:tcW w:w="0" w:type="dxa"/>
            <w:vAlign w:val="bottom"/>
          </w:tcPr>
          <w:p>
            <w:pPr>
              <w:spacing w:after="0"/>
              <w:rPr>
                <w:sz w:val="1"/>
                <w:szCs w:val="1"/>
                <w:color w:val="auto"/>
              </w:rPr>
            </w:pP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6020" w:type="dxa"/>
            <w:vAlign w:val="bottom"/>
            <w:tcBorders>
              <w:bottom w:val="single" w:sz="8" w:color="D2EEF5"/>
            </w:tcBorders>
            <w:gridSpan w:val="2"/>
            <w:shd w:val="clear" w:color="auto" w:fill="D2EEF5"/>
          </w:tcPr>
          <w:p>
            <w:pPr>
              <w:ind w:left="180"/>
              <w:spacing w:after="0"/>
              <w:rPr>
                <w:sz w:val="20"/>
                <w:szCs w:val="20"/>
                <w:color w:val="auto"/>
              </w:rPr>
            </w:pPr>
            <w:r>
              <w:rPr>
                <w:rFonts w:ascii="Arial" w:cs="Arial" w:eastAsia="Arial" w:hAnsi="Arial"/>
                <w:sz w:val="20"/>
                <w:szCs w:val="20"/>
                <w:color w:val="auto"/>
              </w:rPr>
              <w:t>Less: Allocation to participating securities</w:t>
            </w:r>
          </w:p>
        </w:tc>
        <w:tc>
          <w:tcPr>
            <w:tcW w:w="30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4</w:t>
            </w:r>
          </w:p>
        </w:tc>
        <w:tc>
          <w:tcPr>
            <w:tcW w:w="120" w:type="dxa"/>
            <w:vAlign w:val="bottom"/>
            <w:tcBorders>
              <w:bottom w:val="single" w:sz="8" w:color="D2EEF5"/>
            </w:tcBorders>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59</w:t>
            </w:r>
          </w:p>
        </w:tc>
        <w:tc>
          <w:tcPr>
            <w:tcW w:w="120" w:type="dxa"/>
            <w:vAlign w:val="bottom"/>
            <w:tcBorders>
              <w:bottom w:val="single" w:sz="8" w:color="D2EEF5"/>
            </w:tcBorders>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287</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6020" w:type="dxa"/>
            <w:vAlign w:val="bottom"/>
            <w:gridSpan w:val="2"/>
          </w:tcPr>
          <w:p>
            <w:pPr>
              <w:ind w:left="180"/>
              <w:spacing w:after="0" w:line="163" w:lineRule="exact"/>
              <w:rPr>
                <w:sz w:val="20"/>
                <w:szCs w:val="20"/>
                <w:color w:val="auto"/>
              </w:rPr>
            </w:pPr>
            <w:r>
              <w:rPr>
                <w:rFonts w:ascii="Arial" w:cs="Arial" w:eastAsia="Arial" w:hAnsi="Arial"/>
                <w:sz w:val="18"/>
                <w:szCs w:val="18"/>
                <w:color w:val="auto"/>
              </w:rPr>
              <w:t>Net income attributable to Sotera Health Company common</w:t>
            </w:r>
          </w:p>
        </w:tc>
        <w:tc>
          <w:tcPr>
            <w:tcW w:w="300" w:type="dxa"/>
            <w:vAlign w:val="bottom"/>
            <w:vMerge w:val="restart"/>
          </w:tcPr>
          <w:p>
            <w:pPr>
              <w:jc w:val="right"/>
              <w:ind w:right="40"/>
              <w:spacing w:after="0"/>
              <w:rPr>
                <w:sz w:val="20"/>
                <w:szCs w:val="20"/>
                <w:color w:val="auto"/>
              </w:rPr>
            </w:pPr>
            <w:r>
              <w:rPr>
                <w:rFonts w:ascii="Arial" w:cs="Arial" w:eastAsia="Arial" w:hAnsi="Arial"/>
                <w:sz w:val="20"/>
                <w:szCs w:val="20"/>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77,945</w:t>
            </w: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44,339</w:t>
            </w: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51,089</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20" w:type="dxa"/>
            <w:vAlign w:val="bottom"/>
            <w:gridSpan w:val="2"/>
          </w:tcPr>
          <w:p>
            <w:pPr>
              <w:ind w:left="540"/>
              <w:spacing w:after="0"/>
              <w:rPr>
                <w:sz w:val="20"/>
                <w:szCs w:val="20"/>
                <w:color w:val="auto"/>
              </w:rPr>
            </w:pPr>
            <w:r>
              <w:rPr>
                <w:rFonts w:ascii="Arial" w:cs="Arial" w:eastAsia="Arial" w:hAnsi="Arial"/>
                <w:sz w:val="20"/>
                <w:szCs w:val="20"/>
                <w:color w:val="auto"/>
              </w:rPr>
              <w:t>stockholders</w:t>
            </w:r>
          </w:p>
        </w:tc>
        <w:tc>
          <w:tcPr>
            <w:tcW w:w="3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D2EEF5"/>
            </w:tcBorders>
          </w:tcPr>
          <w:p>
            <w:pPr>
              <w:spacing w:after="0" w:line="20" w:lineRule="exact"/>
              <w:rPr>
                <w:sz w:val="1"/>
                <w:szCs w:val="1"/>
                <w:color w:val="auto"/>
              </w:rPr>
            </w:pPr>
          </w:p>
        </w:tc>
        <w:tc>
          <w:tcPr>
            <w:tcW w:w="4840" w:type="dxa"/>
            <w:vAlign w:val="bottom"/>
            <w:tcBorders>
              <w:bottom w:val="single" w:sz="8" w:color="D2EEF5"/>
            </w:tcBorders>
          </w:tcPr>
          <w:p>
            <w:pPr>
              <w:spacing w:after="0" w:line="20" w:lineRule="exact"/>
              <w:rPr>
                <w:sz w:val="1"/>
                <w:szCs w:val="1"/>
                <w:color w:val="auto"/>
              </w:rPr>
            </w:pPr>
          </w:p>
        </w:tc>
        <w:tc>
          <w:tcPr>
            <w:tcW w:w="1180" w:type="dxa"/>
            <w:vAlign w:val="bottom"/>
            <w:tcBorders>
              <w:bottom w:val="single" w:sz="8" w:color="D2EEF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D2EEF5"/>
          </w:tcPr>
          <w:p>
            <w:pPr>
              <w:spacing w:after="0"/>
              <w:rPr>
                <w:sz w:val="22"/>
                <w:szCs w:val="22"/>
                <w:color w:val="auto"/>
              </w:rPr>
            </w:pPr>
          </w:p>
        </w:tc>
        <w:tc>
          <w:tcPr>
            <w:tcW w:w="602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Weighted Average Common Shares:</w:t>
            </w:r>
          </w:p>
        </w:tc>
        <w:tc>
          <w:tcPr>
            <w:tcW w:w="30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12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12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020" w:type="dxa"/>
            <w:vAlign w:val="bottom"/>
            <w:gridSpan w:val="2"/>
          </w:tcPr>
          <w:p>
            <w:pPr>
              <w:ind w:left="180"/>
              <w:spacing w:after="0"/>
              <w:rPr>
                <w:sz w:val="20"/>
                <w:szCs w:val="20"/>
                <w:color w:val="auto"/>
              </w:rPr>
            </w:pPr>
            <w:r>
              <w:rPr>
                <w:rFonts w:ascii="Arial" w:cs="Arial" w:eastAsia="Arial" w:hAnsi="Arial"/>
                <w:sz w:val="20"/>
                <w:szCs w:val="20"/>
                <w:color w:val="auto"/>
              </w:rPr>
              <w:t>Weighted-average common shares outstanding - basic</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283,956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282,784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281,008</w:t>
            </w:r>
          </w:p>
        </w:tc>
        <w:tc>
          <w:tcPr>
            <w:tcW w:w="0" w:type="dxa"/>
            <w:vAlign w:val="bottom"/>
          </w:tcPr>
          <w:p>
            <w:pPr>
              <w:spacing w:after="0"/>
              <w:rPr>
                <w:sz w:val="1"/>
                <w:szCs w:val="1"/>
                <w:color w:val="auto"/>
              </w:rPr>
            </w:pP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6020" w:type="dxa"/>
            <w:vAlign w:val="bottom"/>
            <w:tcBorders>
              <w:bottom w:val="single" w:sz="8" w:color="D2EEF5"/>
            </w:tcBorders>
            <w:gridSpan w:val="2"/>
            <w:shd w:val="clear" w:color="auto" w:fill="D2EEF5"/>
          </w:tcPr>
          <w:p>
            <w:pPr>
              <w:ind w:left="180"/>
              <w:spacing w:after="0"/>
              <w:rPr>
                <w:sz w:val="20"/>
                <w:szCs w:val="20"/>
                <w:color w:val="auto"/>
              </w:rPr>
            </w:pPr>
            <w:r>
              <w:rPr>
                <w:rFonts w:ascii="Arial" w:cs="Arial" w:eastAsia="Arial" w:hAnsi="Arial"/>
                <w:sz w:val="20"/>
                <w:szCs w:val="20"/>
                <w:color w:val="auto"/>
              </w:rPr>
              <w:t>Dilutive effect of potential common shares</w:t>
            </w:r>
          </w:p>
        </w:tc>
        <w:tc>
          <w:tcPr>
            <w:tcW w:w="30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2,465</w:t>
            </w:r>
          </w:p>
        </w:tc>
        <w:tc>
          <w:tcPr>
            <w:tcW w:w="120" w:type="dxa"/>
            <w:vAlign w:val="bottom"/>
            <w:tcBorders>
              <w:bottom w:val="single" w:sz="8" w:color="D2EEF5"/>
            </w:tcBorders>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2,122</w:t>
            </w:r>
          </w:p>
        </w:tc>
        <w:tc>
          <w:tcPr>
            <w:tcW w:w="120" w:type="dxa"/>
            <w:vAlign w:val="bottom"/>
            <w:tcBorders>
              <w:bottom w:val="single" w:sz="8" w:color="D2EEF5"/>
            </w:tcBorders>
            <w:shd w:val="clear" w:color="auto" w:fill="D2EEF5"/>
          </w:tcPr>
          <w:p>
            <w:pPr>
              <w:spacing w:after="0"/>
              <w:rPr>
                <w:sz w:val="24"/>
                <w:szCs w:val="24"/>
                <w:color w:val="auto"/>
              </w:rPr>
            </w:pPr>
          </w:p>
        </w:tc>
        <w:tc>
          <w:tcPr>
            <w:tcW w:w="300" w:type="dxa"/>
            <w:vAlign w:val="bottom"/>
            <w:tcBorders>
              <w:bottom w:val="single" w:sz="8" w:color="auto"/>
            </w:tcBorders>
            <w:shd w:val="clear" w:color="auto" w:fill="D2EEF5"/>
          </w:tcPr>
          <w:p>
            <w:pPr>
              <w:spacing w:after="0"/>
              <w:rPr>
                <w:sz w:val="24"/>
                <w:szCs w:val="24"/>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2,213</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020" w:type="dxa"/>
            <w:vAlign w:val="bottom"/>
            <w:gridSpan w:val="2"/>
          </w:tcPr>
          <w:p>
            <w:pPr>
              <w:ind w:left="180"/>
              <w:spacing w:after="0" w:line="227" w:lineRule="exact"/>
              <w:rPr>
                <w:sz w:val="20"/>
                <w:szCs w:val="20"/>
                <w:color w:val="auto"/>
              </w:rPr>
            </w:pPr>
            <w:r>
              <w:rPr>
                <w:rFonts w:ascii="Arial" w:cs="Arial" w:eastAsia="Arial" w:hAnsi="Arial"/>
                <w:sz w:val="20"/>
                <w:szCs w:val="20"/>
                <w:color w:val="auto"/>
              </w:rPr>
              <w:t>Weighted-average common shares outstanding - diluted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286,421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color w:val="auto"/>
              </w:rPr>
              <w:t>284,906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color w:val="auto"/>
              </w:rPr>
              <w:t>283,222</w:t>
            </w:r>
          </w:p>
        </w:tc>
        <w:tc>
          <w:tcPr>
            <w:tcW w:w="0" w:type="dxa"/>
            <w:vAlign w:val="bottom"/>
          </w:tcPr>
          <w:p>
            <w:pPr>
              <w:spacing w:after="0"/>
              <w:rPr>
                <w:sz w:val="1"/>
                <w:szCs w:val="1"/>
                <w:color w:val="auto"/>
              </w:rPr>
            </w:pPr>
          </w:p>
        </w:tc>
      </w:tr>
      <w:tr>
        <w:trPr>
          <w:trHeight w:val="20"/>
        </w:trPr>
        <w:tc>
          <w:tcPr>
            <w:tcW w:w="40" w:type="dxa"/>
            <w:vAlign w:val="bottom"/>
            <w:tcBorders>
              <w:bottom w:val="single" w:sz="8" w:color="D2EEF5"/>
            </w:tcBorders>
          </w:tcPr>
          <w:p>
            <w:pPr>
              <w:spacing w:after="0" w:line="20" w:lineRule="exact"/>
              <w:rPr>
                <w:sz w:val="1"/>
                <w:szCs w:val="1"/>
                <w:color w:val="auto"/>
              </w:rPr>
            </w:pPr>
          </w:p>
        </w:tc>
        <w:tc>
          <w:tcPr>
            <w:tcW w:w="4840" w:type="dxa"/>
            <w:vAlign w:val="bottom"/>
            <w:tcBorders>
              <w:bottom w:val="single" w:sz="8" w:color="D2EEF5"/>
            </w:tcBorders>
          </w:tcPr>
          <w:p>
            <w:pPr>
              <w:spacing w:after="0" w:line="20" w:lineRule="exact"/>
              <w:rPr>
                <w:sz w:val="1"/>
                <w:szCs w:val="1"/>
                <w:color w:val="auto"/>
              </w:rPr>
            </w:pPr>
          </w:p>
        </w:tc>
        <w:tc>
          <w:tcPr>
            <w:tcW w:w="1180" w:type="dxa"/>
            <w:vAlign w:val="bottom"/>
            <w:tcBorders>
              <w:bottom w:val="single" w:sz="8" w:color="D2EEF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D2EEF5"/>
          </w:tcPr>
          <w:p>
            <w:pPr>
              <w:spacing w:after="0"/>
              <w:rPr>
                <w:sz w:val="22"/>
                <w:szCs w:val="22"/>
                <w:color w:val="auto"/>
              </w:rPr>
            </w:pPr>
          </w:p>
        </w:tc>
        <w:tc>
          <w:tcPr>
            <w:tcW w:w="602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Earnings per Common Share:</w:t>
            </w:r>
          </w:p>
        </w:tc>
        <w:tc>
          <w:tcPr>
            <w:tcW w:w="30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12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120" w:type="dxa"/>
            <w:vAlign w:val="bottom"/>
            <w:shd w:val="clear" w:color="auto" w:fill="D2EEF5"/>
          </w:tcPr>
          <w:p>
            <w:pPr>
              <w:spacing w:after="0"/>
              <w:rPr>
                <w:sz w:val="22"/>
                <w:szCs w:val="22"/>
                <w:color w:val="auto"/>
              </w:rPr>
            </w:pPr>
          </w:p>
        </w:tc>
        <w:tc>
          <w:tcPr>
            <w:tcW w:w="300" w:type="dxa"/>
            <w:vAlign w:val="bottom"/>
            <w:shd w:val="clear" w:color="auto" w:fill="D2EEF5"/>
          </w:tcPr>
          <w:p>
            <w:pPr>
              <w:spacing w:after="0"/>
              <w:rPr>
                <w:sz w:val="22"/>
                <w:szCs w:val="22"/>
                <w:color w:val="auto"/>
              </w:rPr>
            </w:pPr>
          </w:p>
        </w:tc>
        <w:tc>
          <w:tcPr>
            <w:tcW w:w="1020" w:type="dxa"/>
            <w:vAlign w:val="bottom"/>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020" w:type="dxa"/>
            <w:vAlign w:val="bottom"/>
            <w:gridSpan w:val="2"/>
          </w:tcPr>
          <w:p>
            <w:pPr>
              <w:ind w:left="180"/>
              <w:spacing w:after="0" w:line="191" w:lineRule="exact"/>
              <w:rPr>
                <w:sz w:val="20"/>
                <w:szCs w:val="20"/>
                <w:color w:val="auto"/>
              </w:rPr>
            </w:pPr>
            <w:r>
              <w:rPr>
                <w:rFonts w:ascii="Arial" w:cs="Arial" w:eastAsia="Arial" w:hAnsi="Arial"/>
                <w:sz w:val="20"/>
                <w:szCs w:val="20"/>
                <w:color w:val="auto"/>
                <w:w w:val="93"/>
              </w:rPr>
              <w:t>Net income per common share attributable to Sotera Health Company</w:t>
            </w:r>
          </w:p>
        </w:tc>
        <w:tc>
          <w:tcPr>
            <w:tcW w:w="300" w:type="dxa"/>
            <w:vAlign w:val="bottom"/>
            <w:vMerge w:val="restart"/>
          </w:tcPr>
          <w:p>
            <w:pPr>
              <w:jc w:val="right"/>
              <w:ind w:right="40"/>
              <w:spacing w:after="0"/>
              <w:rPr>
                <w:sz w:val="20"/>
                <w:szCs w:val="20"/>
                <w:color w:val="auto"/>
              </w:rPr>
            </w:pPr>
            <w:r>
              <w:rPr>
                <w:rFonts w:ascii="Arial" w:cs="Arial" w:eastAsia="Arial" w:hAnsi="Arial"/>
                <w:sz w:val="20"/>
                <w:szCs w:val="20"/>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0.27</w:t>
            </w: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0.16</w:t>
            </w: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0.18</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6020" w:type="dxa"/>
            <w:vAlign w:val="bottom"/>
            <w:gridSpan w:val="2"/>
          </w:tcPr>
          <w:p>
            <w:pPr>
              <w:ind w:left="540"/>
              <w:spacing w:after="0"/>
              <w:rPr>
                <w:sz w:val="20"/>
                <w:szCs w:val="20"/>
                <w:color w:val="auto"/>
              </w:rPr>
            </w:pPr>
            <w:r>
              <w:rPr>
                <w:rFonts w:ascii="Arial" w:cs="Arial" w:eastAsia="Arial" w:hAnsi="Arial"/>
                <w:sz w:val="20"/>
                <w:szCs w:val="20"/>
                <w:color w:val="auto"/>
              </w:rPr>
              <w:t>common stockholders - basic</w:t>
            </w:r>
          </w:p>
        </w:tc>
        <w:tc>
          <w:tcPr>
            <w:tcW w:w="300" w:type="dxa"/>
            <w:vAlign w:val="bottom"/>
            <w:vMerge w:val="continue"/>
          </w:tcPr>
          <w:p>
            <w:pPr>
              <w:spacing w:after="0"/>
              <w:rPr>
                <w:sz w:val="23"/>
                <w:szCs w:val="23"/>
                <w:color w:val="auto"/>
              </w:rPr>
            </w:pPr>
          </w:p>
        </w:tc>
        <w:tc>
          <w:tcPr>
            <w:tcW w:w="1020" w:type="dxa"/>
            <w:vAlign w:val="bottom"/>
            <w:vMerge w:val="continue"/>
          </w:tcPr>
          <w:p>
            <w:pPr>
              <w:spacing w:after="0"/>
              <w:rPr>
                <w:sz w:val="23"/>
                <w:szCs w:val="23"/>
                <w:color w:val="auto"/>
              </w:rPr>
            </w:pPr>
          </w:p>
        </w:tc>
        <w:tc>
          <w:tcPr>
            <w:tcW w:w="420" w:type="dxa"/>
            <w:vAlign w:val="bottom"/>
            <w:gridSpan w:val="2"/>
            <w:vMerge w:val="continue"/>
          </w:tcPr>
          <w:p>
            <w:pPr>
              <w:spacing w:after="0"/>
              <w:rPr>
                <w:sz w:val="23"/>
                <w:szCs w:val="23"/>
                <w:color w:val="auto"/>
              </w:rPr>
            </w:pPr>
          </w:p>
        </w:tc>
        <w:tc>
          <w:tcPr>
            <w:tcW w:w="1020" w:type="dxa"/>
            <w:vAlign w:val="bottom"/>
            <w:vMerge w:val="continue"/>
          </w:tcPr>
          <w:p>
            <w:pPr>
              <w:spacing w:after="0"/>
              <w:rPr>
                <w:sz w:val="23"/>
                <w:szCs w:val="23"/>
                <w:color w:val="auto"/>
              </w:rPr>
            </w:pPr>
          </w:p>
        </w:tc>
        <w:tc>
          <w:tcPr>
            <w:tcW w:w="420" w:type="dxa"/>
            <w:vAlign w:val="bottom"/>
            <w:gridSpan w:val="2"/>
            <w:vMerge w:val="continue"/>
          </w:tcPr>
          <w:p>
            <w:pPr>
              <w:spacing w:after="0"/>
              <w:rPr>
                <w:sz w:val="23"/>
                <w:szCs w:val="23"/>
                <w:color w:val="auto"/>
              </w:rPr>
            </w:pPr>
          </w:p>
        </w:tc>
        <w:tc>
          <w:tcPr>
            <w:tcW w:w="1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D2EEF5"/>
          </w:tcPr>
          <w:p>
            <w:pPr>
              <w:spacing w:after="0"/>
              <w:rPr>
                <w:sz w:val="17"/>
                <w:szCs w:val="17"/>
                <w:color w:val="auto"/>
              </w:rPr>
            </w:pPr>
          </w:p>
        </w:tc>
        <w:tc>
          <w:tcPr>
            <w:tcW w:w="6020" w:type="dxa"/>
            <w:vAlign w:val="bottom"/>
            <w:gridSpan w:val="2"/>
            <w:shd w:val="clear" w:color="auto" w:fill="D2EEF5"/>
          </w:tcPr>
          <w:p>
            <w:pPr>
              <w:ind w:left="180"/>
              <w:spacing w:after="0" w:line="198" w:lineRule="exact"/>
              <w:rPr>
                <w:sz w:val="20"/>
                <w:szCs w:val="20"/>
                <w:color w:val="auto"/>
              </w:rPr>
            </w:pPr>
            <w:r>
              <w:rPr>
                <w:rFonts w:ascii="Arial" w:cs="Arial" w:eastAsia="Arial" w:hAnsi="Arial"/>
                <w:sz w:val="20"/>
                <w:szCs w:val="20"/>
                <w:color w:val="auto"/>
                <w:w w:val="93"/>
              </w:rPr>
              <w:t>Net income per common share attributable to Sotera Health Company</w:t>
            </w:r>
          </w:p>
        </w:tc>
        <w:tc>
          <w:tcPr>
            <w:tcW w:w="300" w:type="dxa"/>
            <w:vAlign w:val="bottom"/>
            <w:shd w:val="clear" w:color="auto" w:fill="D2EEF5"/>
          </w:tcPr>
          <w:p>
            <w:pPr>
              <w:spacing w:after="0"/>
              <w:rPr>
                <w:sz w:val="17"/>
                <w:szCs w:val="17"/>
                <w:color w:val="auto"/>
              </w:rPr>
            </w:pPr>
          </w:p>
        </w:tc>
        <w:tc>
          <w:tcPr>
            <w:tcW w:w="1020" w:type="dxa"/>
            <w:vAlign w:val="bottom"/>
            <w:vMerge w:val="restart"/>
            <w:shd w:val="clear" w:color="auto" w:fill="D2EEF5"/>
          </w:tcPr>
          <w:p>
            <w:pPr>
              <w:jc w:val="right"/>
              <w:spacing w:after="0"/>
              <w:rPr>
                <w:sz w:val="20"/>
                <w:szCs w:val="20"/>
                <w:color w:val="auto"/>
              </w:rPr>
            </w:pPr>
            <w:r>
              <w:rPr>
                <w:rFonts w:ascii="Arial" w:cs="Arial" w:eastAsia="Arial" w:hAnsi="Arial"/>
                <w:sz w:val="20"/>
                <w:szCs w:val="20"/>
                <w:b w:val="1"/>
                <w:bCs w:val="1"/>
                <w:color w:val="auto"/>
              </w:rPr>
              <w:t>0.27</w:t>
            </w:r>
          </w:p>
        </w:tc>
        <w:tc>
          <w:tcPr>
            <w:tcW w:w="120" w:type="dxa"/>
            <w:vAlign w:val="bottom"/>
            <w:shd w:val="clear" w:color="auto" w:fill="D2EEF5"/>
          </w:tcPr>
          <w:p>
            <w:pPr>
              <w:spacing w:after="0"/>
              <w:rPr>
                <w:sz w:val="17"/>
                <w:szCs w:val="17"/>
                <w:color w:val="auto"/>
              </w:rPr>
            </w:pPr>
          </w:p>
        </w:tc>
        <w:tc>
          <w:tcPr>
            <w:tcW w:w="300" w:type="dxa"/>
            <w:vAlign w:val="bottom"/>
            <w:shd w:val="clear" w:color="auto" w:fill="D2EEF5"/>
          </w:tcPr>
          <w:p>
            <w:pPr>
              <w:spacing w:after="0"/>
              <w:rPr>
                <w:sz w:val="17"/>
                <w:szCs w:val="17"/>
                <w:color w:val="auto"/>
              </w:rPr>
            </w:pPr>
          </w:p>
        </w:tc>
        <w:tc>
          <w:tcPr>
            <w:tcW w:w="1020" w:type="dxa"/>
            <w:vAlign w:val="bottom"/>
            <w:vMerge w:val="restart"/>
            <w:shd w:val="clear" w:color="auto" w:fill="D2EEF5"/>
          </w:tcPr>
          <w:p>
            <w:pPr>
              <w:jc w:val="right"/>
              <w:spacing w:after="0"/>
              <w:rPr>
                <w:sz w:val="20"/>
                <w:szCs w:val="20"/>
                <w:color w:val="auto"/>
              </w:rPr>
            </w:pPr>
            <w:r>
              <w:rPr>
                <w:rFonts w:ascii="Arial" w:cs="Arial" w:eastAsia="Arial" w:hAnsi="Arial"/>
                <w:sz w:val="20"/>
                <w:szCs w:val="20"/>
                <w:color w:val="auto"/>
              </w:rPr>
              <w:t>0.16</w:t>
            </w:r>
          </w:p>
        </w:tc>
        <w:tc>
          <w:tcPr>
            <w:tcW w:w="120" w:type="dxa"/>
            <w:vAlign w:val="bottom"/>
            <w:shd w:val="clear" w:color="auto" w:fill="D2EEF5"/>
          </w:tcPr>
          <w:p>
            <w:pPr>
              <w:spacing w:after="0"/>
              <w:rPr>
                <w:sz w:val="17"/>
                <w:szCs w:val="17"/>
                <w:color w:val="auto"/>
              </w:rPr>
            </w:pPr>
          </w:p>
        </w:tc>
        <w:tc>
          <w:tcPr>
            <w:tcW w:w="300" w:type="dxa"/>
            <w:vAlign w:val="bottom"/>
            <w:shd w:val="clear" w:color="auto" w:fill="D2EEF5"/>
          </w:tcPr>
          <w:p>
            <w:pPr>
              <w:spacing w:after="0"/>
              <w:rPr>
                <w:sz w:val="17"/>
                <w:szCs w:val="17"/>
                <w:color w:val="auto"/>
              </w:rPr>
            </w:pPr>
          </w:p>
        </w:tc>
        <w:tc>
          <w:tcPr>
            <w:tcW w:w="1020" w:type="dxa"/>
            <w:vAlign w:val="bottom"/>
            <w:vMerge w:val="restart"/>
            <w:shd w:val="clear" w:color="auto" w:fill="D2EEF5"/>
          </w:tcPr>
          <w:p>
            <w:pPr>
              <w:jc w:val="right"/>
              <w:spacing w:after="0"/>
              <w:rPr>
                <w:sz w:val="20"/>
                <w:szCs w:val="20"/>
                <w:color w:val="auto"/>
              </w:rPr>
            </w:pPr>
            <w:r>
              <w:rPr>
                <w:rFonts w:ascii="Arial" w:cs="Arial" w:eastAsia="Arial" w:hAnsi="Arial"/>
                <w:sz w:val="20"/>
                <w:szCs w:val="20"/>
                <w:color w:val="auto"/>
              </w:rPr>
              <w:t>0.18</w:t>
            </w:r>
          </w:p>
        </w:tc>
        <w:tc>
          <w:tcPr>
            <w:tcW w:w="0" w:type="dxa"/>
            <w:vAlign w:val="bottom"/>
          </w:tcPr>
          <w:p>
            <w:pPr>
              <w:spacing w:after="0"/>
              <w:rPr>
                <w:sz w:val="1"/>
                <w:szCs w:val="1"/>
                <w:color w:val="auto"/>
              </w:rPr>
            </w:pPr>
          </w:p>
        </w:tc>
      </w:tr>
      <w:tr>
        <w:trPr>
          <w:trHeight w:val="274"/>
        </w:trPr>
        <w:tc>
          <w:tcPr>
            <w:tcW w:w="40" w:type="dxa"/>
            <w:vAlign w:val="bottom"/>
            <w:shd w:val="clear" w:color="auto" w:fill="D2EEF5"/>
          </w:tcPr>
          <w:p>
            <w:pPr>
              <w:spacing w:after="0"/>
              <w:rPr>
                <w:sz w:val="23"/>
                <w:szCs w:val="23"/>
                <w:color w:val="auto"/>
              </w:rPr>
            </w:pPr>
          </w:p>
        </w:tc>
        <w:tc>
          <w:tcPr>
            <w:tcW w:w="6020" w:type="dxa"/>
            <w:vAlign w:val="bottom"/>
            <w:gridSpan w:val="2"/>
            <w:shd w:val="clear" w:color="auto" w:fill="D2EEF5"/>
          </w:tcPr>
          <w:p>
            <w:pPr>
              <w:ind w:left="540"/>
              <w:spacing w:after="0"/>
              <w:rPr>
                <w:sz w:val="20"/>
                <w:szCs w:val="20"/>
                <w:color w:val="auto"/>
              </w:rPr>
            </w:pPr>
            <w:r>
              <w:rPr>
                <w:rFonts w:ascii="Arial" w:cs="Arial" w:eastAsia="Arial" w:hAnsi="Arial"/>
                <w:sz w:val="20"/>
                <w:szCs w:val="20"/>
                <w:color w:val="auto"/>
              </w:rPr>
              <w:t>common stockholders - diluted</w:t>
            </w:r>
          </w:p>
        </w:tc>
        <w:tc>
          <w:tcPr>
            <w:tcW w:w="300" w:type="dxa"/>
            <w:vAlign w:val="bottom"/>
            <w:shd w:val="clear" w:color="auto" w:fill="D2EEF5"/>
          </w:tcPr>
          <w:p>
            <w:pPr>
              <w:spacing w:after="0"/>
              <w:rPr>
                <w:sz w:val="23"/>
                <w:szCs w:val="23"/>
                <w:color w:val="auto"/>
              </w:rPr>
            </w:pPr>
          </w:p>
        </w:tc>
        <w:tc>
          <w:tcPr>
            <w:tcW w:w="1020" w:type="dxa"/>
            <w:vAlign w:val="bottom"/>
            <w:vMerge w:val="continue"/>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300" w:type="dxa"/>
            <w:vAlign w:val="bottom"/>
            <w:shd w:val="clear" w:color="auto" w:fill="D2EEF5"/>
          </w:tcPr>
          <w:p>
            <w:pPr>
              <w:spacing w:after="0"/>
              <w:rPr>
                <w:sz w:val="23"/>
                <w:szCs w:val="23"/>
                <w:color w:val="auto"/>
              </w:rPr>
            </w:pPr>
          </w:p>
        </w:tc>
        <w:tc>
          <w:tcPr>
            <w:tcW w:w="1020" w:type="dxa"/>
            <w:vAlign w:val="bottom"/>
            <w:vMerge w:val="continue"/>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300" w:type="dxa"/>
            <w:vAlign w:val="bottom"/>
            <w:shd w:val="clear" w:color="auto" w:fill="D2EEF5"/>
          </w:tcPr>
          <w:p>
            <w:pPr>
              <w:spacing w:after="0"/>
              <w:rPr>
                <w:sz w:val="23"/>
                <w:szCs w:val="23"/>
                <w:color w:val="auto"/>
              </w:rPr>
            </w:pPr>
          </w:p>
        </w:tc>
        <w:tc>
          <w:tcPr>
            <w:tcW w:w="1020" w:type="dxa"/>
            <w:vAlign w:val="bottom"/>
            <w:vMerge w:val="continue"/>
            <w:shd w:val="clear" w:color="auto" w:fill="D2EEF5"/>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-1520190</wp:posOffset>
            </wp:positionV>
            <wp:extent cx="268287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3">
                      <a:extLst>
                        <a:ext uri="{28A0092B-C50C-407E-A947-70E740481C1C}"/>
                      </a:extLst>
                    </a:blip>
                    <a:srcRect/>
                    <a:stretch>
                      <a:fillRect/>
                    </a:stretch>
                  </pic:blipFill>
                  <pic:spPr bwMode="auto">
                    <a:xfrm>
                      <a:off x="0" y="0"/>
                      <a:ext cx="2682875" cy="5080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-796290</wp:posOffset>
            </wp:positionV>
            <wp:extent cx="268287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4">
                      <a:extLst>
                        <a:ext uri="{28A0092B-C50C-407E-A947-70E740481C1C}"/>
                      </a:extLst>
                    </a:blip>
                    <a:srcRect/>
                    <a:stretch>
                      <a:fillRect/>
                    </a:stretch>
                  </pic:blipFill>
                  <pic:spPr bwMode="auto">
                    <a:xfrm>
                      <a:off x="0" y="0"/>
                      <a:ext cx="2682875" cy="50800"/>
                    </a:xfrm>
                    <a:prstGeom prst="rect">
                      <a:avLst/>
                    </a:prstGeom>
                    <a:noFill/>
                  </pic:spPr>
                </pic:pic>
              </a:graphicData>
            </a:graphic>
          </wp:anchor>
        </w:drawing>
      </w:r>
    </w:p>
    <w:p>
      <w:pPr>
        <w:spacing w:after="0" w:line="217" w:lineRule="exact"/>
        <w:rPr>
          <w:sz w:val="20"/>
          <w:szCs w:val="20"/>
          <w:color w:val="auto"/>
        </w:rPr>
      </w:pPr>
    </w:p>
    <w:p>
      <w:pPr>
        <w:ind w:left="10"/>
        <w:spacing w:after="0"/>
        <w:rPr>
          <w:sz w:val="20"/>
          <w:szCs w:val="20"/>
          <w:color w:val="auto"/>
        </w:rPr>
      </w:pPr>
      <w:r>
        <w:rPr>
          <w:rFonts w:ascii="Arial" w:cs="Arial" w:eastAsia="Arial" w:hAnsi="Arial"/>
          <w:sz w:val="19"/>
          <w:szCs w:val="19"/>
          <w:color w:val="auto"/>
        </w:rPr>
        <w:t>Diluted earnings per shares does not consider the following potential common shares as the effect would be anti-dilutive:</w:t>
      </w:r>
    </w:p>
    <w:p>
      <w:pPr>
        <w:spacing w:after="0" w:line="216" w:lineRule="exact"/>
        <w:rPr>
          <w:sz w:val="20"/>
          <w:szCs w:val="20"/>
          <w:color w:val="auto"/>
        </w:rPr>
      </w:pPr>
    </w:p>
    <w:p>
      <w:pPr>
        <w:ind w:left="7210"/>
        <w:spacing w:after="0"/>
        <w:rPr>
          <w:sz w:val="20"/>
          <w:szCs w:val="20"/>
          <w:color w:val="auto"/>
        </w:rPr>
      </w:pPr>
      <w:r>
        <w:rPr>
          <w:rFonts w:ascii="Arial" w:cs="Arial" w:eastAsia="Arial" w:hAnsi="Arial"/>
          <w:sz w:val="18"/>
          <w:szCs w:val="18"/>
          <w:b w:val="1"/>
          <w:bCs w:val="1"/>
          <w:color w:val="auto"/>
        </w:rPr>
        <w:t>Year Ended December 31,</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share amounts</w:t>
            </w:r>
          </w:p>
        </w:tc>
        <w:tc>
          <w:tcPr>
            <w:tcW w:w="1320" w:type="dxa"/>
            <w:vAlign w:val="bottom"/>
            <w:tcBorders>
              <w:top w:val="single" w:sz="8" w:color="auto"/>
            </w:tcBorders>
          </w:tcPr>
          <w:p>
            <w:pPr>
              <w:jc w:val="right"/>
              <w:ind w:right="360"/>
              <w:spacing w:after="0" w:line="229" w:lineRule="exact"/>
              <w:rPr>
                <w:sz w:val="20"/>
                <w:szCs w:val="20"/>
                <w:color w:val="auto"/>
              </w:rPr>
            </w:pPr>
            <w:r>
              <w:rPr>
                <w:rFonts w:ascii="Arial" w:cs="Arial" w:eastAsia="Arial" w:hAnsi="Arial"/>
                <w:sz w:val="20"/>
                <w:szCs w:val="20"/>
                <w:b w:val="1"/>
                <w:bCs w:val="1"/>
                <w:color w:val="auto"/>
              </w:rPr>
              <w:t>2025</w:t>
            </w:r>
          </w:p>
        </w:tc>
        <w:tc>
          <w:tcPr>
            <w:tcW w:w="1400" w:type="dxa"/>
            <w:vAlign w:val="bottom"/>
            <w:tcBorders>
              <w:top w:val="single" w:sz="8" w:color="auto"/>
            </w:tcBorders>
            <w:gridSpan w:val="2"/>
          </w:tcPr>
          <w:p>
            <w:pPr>
              <w:jc w:val="right"/>
              <w:ind w:right="360"/>
              <w:spacing w:after="0" w:line="229" w:lineRule="exact"/>
              <w:rPr>
                <w:sz w:val="20"/>
                <w:szCs w:val="20"/>
                <w:color w:val="auto"/>
              </w:rPr>
            </w:pPr>
            <w:r>
              <w:rPr>
                <w:rFonts w:ascii="Arial" w:cs="Arial" w:eastAsia="Arial" w:hAnsi="Arial"/>
                <w:sz w:val="20"/>
                <w:szCs w:val="20"/>
                <w:b w:val="1"/>
                <w:bCs w:val="1"/>
                <w:color w:val="auto"/>
              </w:rPr>
              <w:t>2024</w:t>
            </w:r>
          </w:p>
        </w:tc>
        <w:tc>
          <w:tcPr>
            <w:tcW w:w="1420" w:type="dxa"/>
            <w:vAlign w:val="bottom"/>
            <w:tcBorders>
              <w:top w:val="single" w:sz="8" w:color="auto"/>
            </w:tcBorders>
            <w:gridSpan w:val="2"/>
          </w:tcPr>
          <w:p>
            <w:pPr>
              <w:jc w:val="right"/>
              <w:ind w:right="360"/>
              <w:spacing w:after="0" w:line="229" w:lineRule="exact"/>
              <w:rPr>
                <w:sz w:val="20"/>
                <w:szCs w:val="20"/>
                <w:color w:val="auto"/>
              </w:rPr>
            </w:pPr>
            <w:r>
              <w:rPr>
                <w:rFonts w:ascii="Arial" w:cs="Arial" w:eastAsia="Arial" w:hAnsi="Arial"/>
                <w:sz w:val="20"/>
                <w:szCs w:val="20"/>
                <w:b w:val="1"/>
                <w:bCs w:val="1"/>
                <w:color w:val="auto"/>
              </w:rPr>
              <w:t>2023</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960" w:type="dxa"/>
            <w:vAlign w:val="bottom"/>
            <w:tcBorders>
              <w:top w:val="single" w:sz="8" w:color="auto"/>
              <w:bottom w:val="single" w:sz="8" w:color="D2EEF5"/>
            </w:tcBorders>
          </w:tcPr>
          <w:p>
            <w:pPr>
              <w:spacing w:after="0" w:line="20" w:lineRule="exact"/>
              <w:rPr>
                <w:sz w:val="1"/>
                <w:szCs w:val="1"/>
                <w:color w:val="auto"/>
              </w:rPr>
            </w:pPr>
          </w:p>
        </w:tc>
        <w:tc>
          <w:tcPr>
            <w:tcW w:w="4120" w:type="dxa"/>
            <w:vAlign w:val="bottom"/>
            <w:tcBorders>
              <w:bottom w:val="single" w:sz="8" w:color="D2EEF5"/>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EF5"/>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EF5"/>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608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RSUs</w:t>
            </w:r>
          </w:p>
        </w:tc>
        <w:tc>
          <w:tcPr>
            <w:tcW w:w="13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9</w:t>
            </w:r>
          </w:p>
        </w:tc>
        <w:tc>
          <w:tcPr>
            <w:tcW w:w="140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34</w:t>
            </w:r>
          </w:p>
        </w:tc>
        <w:tc>
          <w:tcPr>
            <w:tcW w:w="1420" w:type="dxa"/>
            <w:vAlign w:val="bottom"/>
            <w:gridSpan w:val="2"/>
            <w:shd w:val="clear" w:color="auto" w:fill="D2EEF5"/>
          </w:tcPr>
          <w:p>
            <w:pPr>
              <w:jc w:val="right"/>
              <w:spacing w:after="0"/>
              <w:rPr>
                <w:sz w:val="20"/>
                <w:szCs w:val="20"/>
                <w:color w:val="auto"/>
              </w:rPr>
            </w:pPr>
            <w:r>
              <w:rPr>
                <w:rFonts w:ascii="Arial" w:cs="Arial" w:eastAsia="Arial" w:hAnsi="Arial"/>
                <w:sz w:val="20"/>
                <w:szCs w:val="20"/>
                <w:color w:val="auto"/>
              </w:rPr>
              <w:t>291</w:t>
            </w:r>
          </w:p>
        </w:tc>
      </w:tr>
      <w:tr>
        <w:trPr>
          <w:trHeight w:val="275"/>
        </w:trPr>
        <w:tc>
          <w:tcPr>
            <w:tcW w:w="40" w:type="dxa"/>
            <w:vAlign w:val="bottom"/>
          </w:tcPr>
          <w:p>
            <w:pPr>
              <w:spacing w:after="0"/>
              <w:rPr>
                <w:sz w:val="23"/>
                <w:szCs w:val="23"/>
                <w:color w:val="auto"/>
              </w:rPr>
            </w:pPr>
          </w:p>
        </w:tc>
        <w:tc>
          <w:tcPr>
            <w:tcW w:w="6080" w:type="dxa"/>
            <w:vAlign w:val="bottom"/>
            <w:gridSpan w:val="2"/>
          </w:tcPr>
          <w:p>
            <w:pPr>
              <w:spacing w:after="0"/>
              <w:rPr>
                <w:sz w:val="20"/>
                <w:szCs w:val="20"/>
                <w:color w:val="auto"/>
              </w:rPr>
            </w:pPr>
            <w:r>
              <w:rPr>
                <w:rFonts w:ascii="Arial" w:cs="Arial" w:eastAsia="Arial" w:hAnsi="Arial"/>
                <w:sz w:val="20"/>
                <w:szCs w:val="20"/>
                <w:color w:val="auto"/>
              </w:rPr>
              <w:t>Stock options</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5,550</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5,469</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4,108</w:t>
            </w:r>
          </w:p>
        </w:tc>
      </w:tr>
      <w:tr>
        <w:trPr>
          <w:trHeight w:val="270"/>
        </w:trPr>
        <w:tc>
          <w:tcPr>
            <w:tcW w:w="40" w:type="dxa"/>
            <w:vAlign w:val="bottom"/>
            <w:tcBorders>
              <w:top w:val="single" w:sz="8" w:color="D2EEF5"/>
              <w:bottom w:val="single" w:sz="8" w:color="D2EEF5"/>
            </w:tcBorders>
            <w:shd w:val="clear" w:color="auto" w:fill="D2EEF5"/>
          </w:tcPr>
          <w:p>
            <w:pPr>
              <w:spacing w:after="0"/>
              <w:rPr>
                <w:sz w:val="23"/>
                <w:szCs w:val="23"/>
                <w:color w:val="auto"/>
              </w:rPr>
            </w:pPr>
          </w:p>
        </w:tc>
        <w:tc>
          <w:tcPr>
            <w:tcW w:w="6080" w:type="dxa"/>
            <w:vAlign w:val="bottom"/>
            <w:tcBorders>
              <w:top w:val="single" w:sz="8" w:color="D2EEF5"/>
              <w:bottom w:val="single" w:sz="8" w:color="D2EEF5"/>
            </w:tcBorders>
            <w:gridSpan w:val="2"/>
            <w:shd w:val="clear" w:color="auto" w:fill="D2EEF5"/>
          </w:tcPr>
          <w:p>
            <w:pPr>
              <w:spacing w:after="0"/>
              <w:rPr>
                <w:sz w:val="20"/>
                <w:szCs w:val="20"/>
                <w:color w:val="auto"/>
              </w:rPr>
            </w:pPr>
            <w:r>
              <w:rPr>
                <w:rFonts w:ascii="Arial" w:cs="Arial" w:eastAsia="Arial" w:hAnsi="Arial"/>
                <w:sz w:val="20"/>
                <w:szCs w:val="20"/>
                <w:b w:val="1"/>
                <w:bCs w:val="1"/>
                <w:color w:val="auto"/>
              </w:rPr>
              <w:t>Total anti-dilutive securities</w:t>
            </w:r>
          </w:p>
        </w:tc>
        <w:tc>
          <w:tcPr>
            <w:tcW w:w="13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5,559</w:t>
            </w:r>
          </w:p>
        </w:tc>
        <w:tc>
          <w:tcPr>
            <w:tcW w:w="100" w:type="dxa"/>
            <w:vAlign w:val="bottom"/>
            <w:tcBorders>
              <w:top w:val="single" w:sz="8" w:color="D2EEF5"/>
              <w:bottom w:val="single" w:sz="8" w:color="D2EEF5"/>
            </w:tcBorders>
            <w:shd w:val="clear" w:color="auto" w:fill="D2EEF5"/>
          </w:tcPr>
          <w:p>
            <w:pPr>
              <w:spacing w:after="0"/>
              <w:rPr>
                <w:sz w:val="23"/>
                <w:szCs w:val="23"/>
                <w:color w:val="auto"/>
              </w:rPr>
            </w:pPr>
          </w:p>
        </w:tc>
        <w:tc>
          <w:tcPr>
            <w:tcW w:w="13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5,503</w:t>
            </w:r>
          </w:p>
        </w:tc>
        <w:tc>
          <w:tcPr>
            <w:tcW w:w="100" w:type="dxa"/>
            <w:vAlign w:val="bottom"/>
            <w:tcBorders>
              <w:top w:val="single" w:sz="8" w:color="D2EEF5"/>
              <w:bottom w:val="single" w:sz="8" w:color="D2EEF5"/>
            </w:tcBorders>
            <w:shd w:val="clear" w:color="auto" w:fill="D2EEF5"/>
          </w:tcPr>
          <w:p>
            <w:pPr>
              <w:spacing w:after="0"/>
              <w:rPr>
                <w:sz w:val="23"/>
                <w:szCs w:val="23"/>
                <w:color w:val="auto"/>
              </w:rPr>
            </w:pPr>
          </w:p>
        </w:tc>
        <w:tc>
          <w:tcPr>
            <w:tcW w:w="13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4,399</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960" w:type="dxa"/>
            <w:vAlign w:val="bottom"/>
            <w:tcBorders>
              <w:top w:val="single" w:sz="8" w:color="D2EEF5"/>
            </w:tcBorders>
          </w:tcPr>
          <w:p>
            <w:pPr>
              <w:spacing w:after="0" w:line="20" w:lineRule="exact"/>
              <w:rPr>
                <w:sz w:val="1"/>
                <w:szCs w:val="1"/>
                <w:color w:val="auto"/>
              </w:rPr>
            </w:pPr>
          </w:p>
        </w:tc>
        <w:tc>
          <w:tcPr>
            <w:tcW w:w="412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bottom w:val="single" w:sz="8" w:color="auto"/>
            </w:tcBorders>
          </w:tcPr>
          <w:p>
            <w:pPr>
              <w:spacing w:after="0" w:line="20" w:lineRule="exact"/>
              <w:rPr>
                <w:sz w:val="1"/>
                <w:szCs w:val="1"/>
                <w:color w:val="auto"/>
              </w:rPr>
            </w:pPr>
          </w:p>
        </w:tc>
        <w:tc>
          <w:tcPr>
            <w:tcW w:w="100" w:type="dxa"/>
            <w:vAlign w:val="bottom"/>
            <w:tcBorders>
              <w:top w:val="single" w:sz="8" w:color="D2EEF5"/>
            </w:tcBorders>
          </w:tcPr>
          <w:p>
            <w:pPr>
              <w:spacing w:after="0" w:line="20" w:lineRule="exact"/>
              <w:rPr>
                <w:sz w:val="1"/>
                <w:szCs w:val="1"/>
                <w:color w:val="auto"/>
              </w:rPr>
            </w:pPr>
          </w:p>
        </w:tc>
        <w:tc>
          <w:tcPr>
            <w:tcW w:w="1300" w:type="dxa"/>
            <w:vAlign w:val="bottom"/>
            <w:tcBorders>
              <w:top w:val="single" w:sz="8" w:color="D2EEF5"/>
              <w:bottom w:val="single" w:sz="8" w:color="auto"/>
            </w:tcBorders>
          </w:tcPr>
          <w:p>
            <w:pPr>
              <w:spacing w:after="0" w:line="20" w:lineRule="exact"/>
              <w:rPr>
                <w:sz w:val="1"/>
                <w:szCs w:val="1"/>
                <w:color w:val="auto"/>
              </w:rPr>
            </w:pPr>
          </w:p>
        </w:tc>
        <w:tc>
          <w:tcPr>
            <w:tcW w:w="10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-43815</wp:posOffset>
            </wp:positionV>
            <wp:extent cx="264477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5">
                      <a:extLst>
                        <a:ext uri="{28A0092B-C50C-407E-A947-70E740481C1C}"/>
                      </a:extLst>
                    </a:blip>
                    <a:srcRect/>
                    <a:stretch>
                      <a:fillRect/>
                    </a:stretch>
                  </pic:blipFill>
                  <pic:spPr bwMode="auto">
                    <a:xfrm>
                      <a:off x="0" y="0"/>
                      <a:ext cx="2644775" cy="50800"/>
                    </a:xfrm>
                    <a:prstGeom prst="rect">
                      <a:avLst/>
                    </a:prstGeom>
                    <a:noFill/>
                  </pic:spPr>
                </pic:pic>
              </a:graphicData>
            </a:graphic>
          </wp:anchor>
        </w:drawing>
      </w:r>
    </w:p>
    <w:p>
      <w:pPr>
        <w:spacing w:after="0" w:line="34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17. Leases</w:t>
      </w:r>
    </w:p>
    <w:p>
      <w:pPr>
        <w:spacing w:after="0" w:line="137" w:lineRule="exact"/>
        <w:rPr>
          <w:sz w:val="20"/>
          <w:szCs w:val="20"/>
          <w:color w:val="auto"/>
        </w:rPr>
      </w:pPr>
    </w:p>
    <w:p>
      <w:pPr>
        <w:ind w:left="10" w:right="460"/>
        <w:spacing w:after="0" w:line="266" w:lineRule="auto"/>
        <w:rPr>
          <w:sz w:val="20"/>
          <w:szCs w:val="20"/>
          <w:color w:val="auto"/>
        </w:rPr>
      </w:pPr>
      <w:r>
        <w:rPr>
          <w:rFonts w:ascii="Arial" w:cs="Arial" w:eastAsia="Arial" w:hAnsi="Arial"/>
          <w:sz w:val="20"/>
          <w:szCs w:val="20"/>
          <w:color w:val="auto"/>
        </w:rPr>
        <w:t>We lease certain facilities and equipment under various non-cancelable leases. Most of our real property leases provide for renewal periods and rent escalations and stipulate that we pay taxes, maintenance, and certain other operating expenses applicable to the leased premises.</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components of lease expense were as follows: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1"/>
                <w:szCs w:val="21"/>
                <w:color w:val="auto"/>
              </w:rPr>
            </w:pPr>
          </w:p>
        </w:tc>
      </w:tr>
      <w:tr>
        <w:trPr>
          <w:trHeight w:val="224"/>
        </w:trPr>
        <w:tc>
          <w:tcPr>
            <w:tcW w:w="4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360" w:type="dxa"/>
            <w:vAlign w:val="bottom"/>
          </w:tcPr>
          <w:p>
            <w:pPr>
              <w:spacing w:after="0"/>
              <w:rPr>
                <w:sz w:val="19"/>
                <w:szCs w:val="19"/>
                <w:color w:val="auto"/>
              </w:rPr>
            </w:pPr>
          </w:p>
        </w:tc>
        <w:tc>
          <w:tcPr>
            <w:tcW w:w="1140" w:type="dxa"/>
            <w:vAlign w:val="bottom"/>
          </w:tcPr>
          <w:p>
            <w:pPr>
              <w:jc w:val="right"/>
              <w:ind w:right="441"/>
              <w:spacing w:after="0" w:line="224" w:lineRule="exact"/>
              <w:rPr>
                <w:sz w:val="20"/>
                <w:szCs w:val="20"/>
                <w:color w:val="auto"/>
              </w:rPr>
            </w:pPr>
            <w:r>
              <w:rPr>
                <w:rFonts w:ascii="Arial" w:cs="Arial" w:eastAsia="Arial" w:hAnsi="Arial"/>
                <w:sz w:val="20"/>
                <w:szCs w:val="20"/>
                <w:b w:val="1"/>
                <w:bCs w:val="1"/>
                <w:color w:val="auto"/>
              </w:rPr>
              <w:t>2025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40"/>
              <w:spacing w:after="0" w:line="224" w:lineRule="exact"/>
              <w:rPr>
                <w:sz w:val="20"/>
                <w:szCs w:val="20"/>
                <w:color w:val="auto"/>
              </w:rPr>
            </w:pPr>
            <w:r>
              <w:rPr>
                <w:rFonts w:ascii="Arial" w:cs="Arial" w:eastAsia="Arial" w:hAnsi="Arial"/>
                <w:sz w:val="20"/>
                <w:szCs w:val="20"/>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20"/>
              <w:spacing w:after="0" w:line="224" w:lineRule="exact"/>
              <w:rPr>
                <w:sz w:val="20"/>
                <w:szCs w:val="20"/>
                <w:color w:val="auto"/>
              </w:rPr>
            </w:pPr>
            <w:r>
              <w:rPr>
                <w:rFonts w:ascii="Arial" w:cs="Arial" w:eastAsia="Arial" w:hAnsi="Arial"/>
                <w:sz w:val="20"/>
                <w:szCs w:val="20"/>
                <w:b w:val="1"/>
                <w:bCs w:val="1"/>
                <w:color w:val="auto"/>
              </w:rPr>
              <w:t>2023</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3800" w:type="dxa"/>
            <w:vAlign w:val="bottom"/>
            <w:tcBorders>
              <w:bottom w:val="single" w:sz="8" w:color="D2EEF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2EEF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EF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55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 xml:space="preserve">Operating lease costs </w:t>
            </w:r>
            <w:r>
              <w:rPr>
                <w:rFonts w:ascii="Arial" w:cs="Arial" w:eastAsia="Arial" w:hAnsi="Arial"/>
                <w:sz w:val="10"/>
                <w:szCs w:val="10"/>
                <w:b w:val="1"/>
                <w:bCs w:val="1"/>
                <w:i w:val="1"/>
                <w:iCs w:val="1"/>
                <w:color w:val="auto"/>
              </w:rPr>
              <w:t>(a)</w:t>
            </w:r>
          </w:p>
        </w:tc>
        <w:tc>
          <w:tcPr>
            <w:tcW w:w="360" w:type="dxa"/>
            <w:vAlign w:val="bottom"/>
            <w:shd w:val="clear" w:color="auto" w:fill="D2EEF5"/>
          </w:tcPr>
          <w:p>
            <w:pPr>
              <w:jc w:val="right"/>
              <w:ind w:right="100"/>
              <w:spacing w:after="0"/>
              <w:rPr>
                <w:sz w:val="20"/>
                <w:szCs w:val="20"/>
                <w:color w:val="auto"/>
              </w:rPr>
            </w:pPr>
            <w:r>
              <w:rPr>
                <w:rFonts w:ascii="Arial" w:cs="Arial" w:eastAsia="Arial" w:hAnsi="Arial"/>
                <w:sz w:val="20"/>
                <w:szCs w:val="20"/>
                <w:b w:val="1"/>
                <w:bCs w:val="1"/>
                <w:color w:val="auto"/>
              </w:rPr>
              <w:t>$</w:t>
            </w:r>
          </w:p>
        </w:tc>
        <w:tc>
          <w:tcPr>
            <w:tcW w:w="114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13,207</w:t>
            </w:r>
          </w:p>
        </w:tc>
        <w:tc>
          <w:tcPr>
            <w:tcW w:w="500" w:type="dxa"/>
            <w:vAlign w:val="bottom"/>
            <w:gridSpan w:val="2"/>
            <w:shd w:val="clear" w:color="auto" w:fill="D2EEF5"/>
          </w:tcPr>
          <w:p>
            <w:pPr>
              <w:jc w:val="right"/>
              <w:ind w:right="200"/>
              <w:spacing w:after="0"/>
              <w:rPr>
                <w:sz w:val="20"/>
                <w:szCs w:val="20"/>
                <w:color w:val="auto"/>
              </w:rPr>
            </w:pPr>
            <w:r>
              <w:rPr>
                <w:rFonts w:ascii="Arial" w:cs="Arial" w:eastAsia="Arial" w:hAnsi="Arial"/>
                <w:sz w:val="20"/>
                <w:szCs w:val="20"/>
                <w:color w:val="auto"/>
              </w:rPr>
              <w:t>$</w:t>
            </w:r>
          </w:p>
        </w:tc>
        <w:tc>
          <w:tcPr>
            <w:tcW w:w="11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13,267</w:t>
            </w:r>
          </w:p>
        </w:tc>
        <w:tc>
          <w:tcPr>
            <w:tcW w:w="440" w:type="dxa"/>
            <w:vAlign w:val="bottom"/>
            <w:gridSpan w:val="2"/>
            <w:shd w:val="clear" w:color="auto" w:fill="D2EEF5"/>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13,920</w:t>
            </w:r>
          </w:p>
        </w:tc>
      </w:tr>
      <w:tr>
        <w:trPr>
          <w:trHeight w:val="275"/>
        </w:trPr>
        <w:tc>
          <w:tcPr>
            <w:tcW w:w="40" w:type="dxa"/>
            <w:vAlign w:val="bottom"/>
          </w:tcPr>
          <w:p>
            <w:pPr>
              <w:spacing w:after="0"/>
              <w:rPr>
                <w:sz w:val="23"/>
                <w:szCs w:val="23"/>
                <w:color w:val="auto"/>
              </w:rPr>
            </w:pPr>
          </w:p>
        </w:tc>
        <w:tc>
          <w:tcPr>
            <w:tcW w:w="5540" w:type="dxa"/>
            <w:vAlign w:val="bottom"/>
            <w:gridSpan w:val="2"/>
          </w:tcPr>
          <w:p>
            <w:pPr>
              <w:spacing w:after="0"/>
              <w:rPr>
                <w:sz w:val="20"/>
                <w:szCs w:val="20"/>
                <w:color w:val="auto"/>
              </w:rPr>
            </w:pPr>
            <w:r>
              <w:rPr>
                <w:rFonts w:ascii="Arial" w:cs="Arial" w:eastAsia="Arial" w:hAnsi="Arial"/>
                <w:sz w:val="20"/>
                <w:szCs w:val="20"/>
                <w:b w:val="1"/>
                <w:bCs w:val="1"/>
                <w:color w:val="auto"/>
              </w:rPr>
              <w:t>Finance lease costs: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95"/>
        </w:trPr>
        <w:tc>
          <w:tcPr>
            <w:tcW w:w="40" w:type="dxa"/>
            <w:vAlign w:val="bottom"/>
            <w:shd w:val="clear" w:color="auto" w:fill="D2EEF5"/>
          </w:tcPr>
          <w:p>
            <w:pPr>
              <w:spacing w:after="0"/>
              <w:rPr>
                <w:sz w:val="24"/>
                <w:szCs w:val="24"/>
                <w:color w:val="auto"/>
              </w:rPr>
            </w:pPr>
          </w:p>
        </w:tc>
        <w:tc>
          <w:tcPr>
            <w:tcW w:w="5540" w:type="dxa"/>
            <w:vAlign w:val="bottom"/>
            <w:gridSpan w:val="2"/>
            <w:shd w:val="clear" w:color="auto" w:fill="D2EEF5"/>
          </w:tcPr>
          <w:p>
            <w:pPr>
              <w:ind w:left="480"/>
              <w:spacing w:after="0"/>
              <w:rPr>
                <w:sz w:val="20"/>
                <w:szCs w:val="20"/>
                <w:color w:val="auto"/>
              </w:rPr>
            </w:pPr>
            <w:r>
              <w:rPr>
                <w:rFonts w:ascii="Arial" w:cs="Arial" w:eastAsia="Arial" w:hAnsi="Arial"/>
                <w:sz w:val="20"/>
                <w:szCs w:val="20"/>
                <w:color w:val="auto"/>
              </w:rPr>
              <w:t>Amortization of right of use assets</w:t>
            </w:r>
          </w:p>
        </w:tc>
        <w:tc>
          <w:tcPr>
            <w:tcW w:w="360" w:type="dxa"/>
            <w:vAlign w:val="bottom"/>
            <w:shd w:val="clear" w:color="auto" w:fill="D2EEF5"/>
          </w:tcPr>
          <w:p>
            <w:pPr>
              <w:spacing w:after="0"/>
              <w:rPr>
                <w:sz w:val="24"/>
                <w:szCs w:val="24"/>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6,474</w:t>
            </w:r>
          </w:p>
        </w:tc>
        <w:tc>
          <w:tcPr>
            <w:tcW w:w="140" w:type="dxa"/>
            <w:vAlign w:val="bottom"/>
            <w:shd w:val="clear" w:color="auto" w:fill="D2EEF5"/>
          </w:tcPr>
          <w:p>
            <w:pPr>
              <w:spacing w:after="0"/>
              <w:rPr>
                <w:sz w:val="24"/>
                <w:szCs w:val="24"/>
                <w:color w:val="auto"/>
              </w:rPr>
            </w:pPr>
          </w:p>
        </w:tc>
        <w:tc>
          <w:tcPr>
            <w:tcW w:w="360" w:type="dxa"/>
            <w:vAlign w:val="bottom"/>
            <w:shd w:val="clear" w:color="auto" w:fill="D2EEF5"/>
          </w:tcPr>
          <w:p>
            <w:pPr>
              <w:spacing w:after="0"/>
              <w:rPr>
                <w:sz w:val="24"/>
                <w:szCs w:val="24"/>
                <w:color w:val="auto"/>
              </w:rPr>
            </w:pPr>
          </w:p>
        </w:tc>
        <w:tc>
          <w:tcPr>
            <w:tcW w:w="11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8,438</w:t>
            </w:r>
          </w:p>
        </w:tc>
        <w:tc>
          <w:tcPr>
            <w:tcW w:w="100" w:type="dxa"/>
            <w:vAlign w:val="bottom"/>
            <w:shd w:val="clear" w:color="auto" w:fill="D2EEF5"/>
          </w:tcPr>
          <w:p>
            <w:pPr>
              <w:spacing w:after="0"/>
              <w:rPr>
                <w:sz w:val="24"/>
                <w:szCs w:val="24"/>
                <w:color w:val="auto"/>
              </w:rPr>
            </w:pPr>
          </w:p>
        </w:tc>
        <w:tc>
          <w:tcPr>
            <w:tcW w:w="340" w:type="dxa"/>
            <w:vAlign w:val="bottom"/>
            <w:shd w:val="clear" w:color="auto" w:fill="D2EEF5"/>
          </w:tcPr>
          <w:p>
            <w:pPr>
              <w:spacing w:after="0"/>
              <w:rPr>
                <w:sz w:val="24"/>
                <w:szCs w:val="24"/>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8,152</w:t>
            </w:r>
          </w:p>
        </w:tc>
      </w:tr>
      <w:tr>
        <w:trPr>
          <w:trHeight w:val="275"/>
        </w:trPr>
        <w:tc>
          <w:tcPr>
            <w:tcW w:w="40" w:type="dxa"/>
            <w:vAlign w:val="bottom"/>
            <w:tcBorders>
              <w:bottom w:val="single" w:sz="8" w:color="D2EEF5"/>
            </w:tcBorders>
          </w:tcPr>
          <w:p>
            <w:pPr>
              <w:spacing w:after="0"/>
              <w:rPr>
                <w:sz w:val="23"/>
                <w:szCs w:val="23"/>
                <w:color w:val="auto"/>
              </w:rPr>
            </w:pPr>
          </w:p>
        </w:tc>
        <w:tc>
          <w:tcPr>
            <w:tcW w:w="5540" w:type="dxa"/>
            <w:vAlign w:val="bottom"/>
            <w:tcBorders>
              <w:bottom w:val="single" w:sz="8" w:color="D2EEF5"/>
            </w:tcBorders>
            <w:gridSpan w:val="2"/>
          </w:tcPr>
          <w:p>
            <w:pPr>
              <w:ind w:left="480"/>
              <w:spacing w:after="0"/>
              <w:rPr>
                <w:sz w:val="20"/>
                <w:szCs w:val="20"/>
                <w:color w:val="auto"/>
              </w:rPr>
            </w:pPr>
            <w:r>
              <w:rPr>
                <w:rFonts w:ascii="Arial" w:cs="Arial" w:eastAsia="Arial" w:hAnsi="Arial"/>
                <w:sz w:val="20"/>
                <w:szCs w:val="20"/>
                <w:color w:val="auto"/>
              </w:rPr>
              <w:t>Interest on lease liabilities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6,105</w:t>
            </w:r>
          </w:p>
        </w:tc>
        <w:tc>
          <w:tcPr>
            <w:tcW w:w="140" w:type="dxa"/>
            <w:vAlign w:val="bottom"/>
            <w:tcBorders>
              <w:bottom w:val="single" w:sz="8" w:color="D2EEF5"/>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6,064</w:t>
            </w:r>
          </w:p>
        </w:tc>
        <w:tc>
          <w:tcPr>
            <w:tcW w:w="100" w:type="dxa"/>
            <w:vAlign w:val="bottom"/>
            <w:tcBorders>
              <w:bottom w:val="single" w:sz="8" w:color="D2EEF5"/>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4,394</w:t>
            </w:r>
          </w:p>
        </w:tc>
      </w:tr>
      <w:tr>
        <w:trPr>
          <w:trHeight w:val="285"/>
        </w:trPr>
        <w:tc>
          <w:tcPr>
            <w:tcW w:w="40" w:type="dxa"/>
            <w:vAlign w:val="bottom"/>
            <w:tcBorders>
              <w:bottom w:val="single" w:sz="8" w:color="D2EEF5"/>
            </w:tcBorders>
            <w:shd w:val="clear" w:color="auto" w:fill="D2EEF5"/>
          </w:tcPr>
          <w:p>
            <w:pPr>
              <w:spacing w:after="0"/>
              <w:rPr>
                <w:sz w:val="24"/>
                <w:szCs w:val="24"/>
                <w:color w:val="auto"/>
              </w:rPr>
            </w:pPr>
          </w:p>
        </w:tc>
        <w:tc>
          <w:tcPr>
            <w:tcW w:w="5540" w:type="dxa"/>
            <w:vAlign w:val="bottom"/>
            <w:tcBorders>
              <w:bottom w:val="single" w:sz="8" w:color="D2EEF5"/>
            </w:tcBorders>
            <w:gridSpan w:val="2"/>
            <w:shd w:val="clear" w:color="auto" w:fill="D2EEF5"/>
          </w:tcPr>
          <w:p>
            <w:pPr>
              <w:ind w:left="960"/>
              <w:spacing w:after="0"/>
              <w:rPr>
                <w:sz w:val="20"/>
                <w:szCs w:val="20"/>
                <w:color w:val="auto"/>
              </w:rPr>
            </w:pPr>
            <w:r>
              <w:rPr>
                <w:rFonts w:ascii="Arial" w:cs="Arial" w:eastAsia="Arial" w:hAnsi="Arial"/>
                <w:sz w:val="20"/>
                <w:szCs w:val="20"/>
                <w:b w:val="1"/>
                <w:bCs w:val="1"/>
                <w:color w:val="auto"/>
              </w:rPr>
              <w:t>Total finance lease costs</w:t>
            </w:r>
          </w:p>
        </w:tc>
        <w:tc>
          <w:tcPr>
            <w:tcW w:w="360" w:type="dxa"/>
            <w:vAlign w:val="bottom"/>
            <w:tcBorders>
              <w:bottom w:val="single" w:sz="8" w:color="auto"/>
            </w:tcBorders>
            <w:shd w:val="clear" w:color="auto" w:fill="D2EEF5"/>
          </w:tcPr>
          <w:p>
            <w:pPr>
              <w:spacing w:after="0"/>
              <w:rPr>
                <w:sz w:val="24"/>
                <w:szCs w:val="24"/>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12,579</w:t>
            </w:r>
          </w:p>
        </w:tc>
        <w:tc>
          <w:tcPr>
            <w:tcW w:w="140" w:type="dxa"/>
            <w:vAlign w:val="bottom"/>
            <w:tcBorders>
              <w:bottom w:val="single" w:sz="8" w:color="D2EEF5"/>
            </w:tcBorders>
            <w:shd w:val="clear" w:color="auto" w:fill="D2EEF5"/>
          </w:tcPr>
          <w:p>
            <w:pPr>
              <w:spacing w:after="0"/>
              <w:rPr>
                <w:sz w:val="24"/>
                <w:szCs w:val="24"/>
                <w:color w:val="auto"/>
              </w:rPr>
            </w:pPr>
          </w:p>
        </w:tc>
        <w:tc>
          <w:tcPr>
            <w:tcW w:w="360" w:type="dxa"/>
            <w:vAlign w:val="bottom"/>
            <w:tcBorders>
              <w:bottom w:val="single" w:sz="8" w:color="auto"/>
            </w:tcBorders>
            <w:shd w:val="clear" w:color="auto" w:fill="D2EEF5"/>
          </w:tcPr>
          <w:p>
            <w:pPr>
              <w:spacing w:after="0"/>
              <w:rPr>
                <w:sz w:val="24"/>
                <w:szCs w:val="24"/>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14,502</w:t>
            </w:r>
          </w:p>
        </w:tc>
        <w:tc>
          <w:tcPr>
            <w:tcW w:w="100" w:type="dxa"/>
            <w:vAlign w:val="bottom"/>
            <w:tcBorders>
              <w:bottom w:val="single" w:sz="8" w:color="D2EEF5"/>
            </w:tcBorders>
            <w:shd w:val="clear" w:color="auto" w:fill="D2EEF5"/>
          </w:tcPr>
          <w:p>
            <w:pPr>
              <w:spacing w:after="0"/>
              <w:rPr>
                <w:sz w:val="24"/>
                <w:szCs w:val="24"/>
                <w:color w:val="auto"/>
              </w:rPr>
            </w:pPr>
          </w:p>
        </w:tc>
        <w:tc>
          <w:tcPr>
            <w:tcW w:w="340" w:type="dxa"/>
            <w:vAlign w:val="bottom"/>
            <w:tcBorders>
              <w:bottom w:val="single" w:sz="8" w:color="auto"/>
            </w:tcBorders>
            <w:shd w:val="clear" w:color="auto" w:fill="D2EEF5"/>
          </w:tcPr>
          <w:p>
            <w:pPr>
              <w:spacing w:after="0"/>
              <w:rPr>
                <w:sz w:val="24"/>
                <w:szCs w:val="24"/>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12,546</w:t>
            </w:r>
          </w:p>
        </w:tc>
      </w:tr>
      <w:tr>
        <w:trPr>
          <w:trHeight w:val="225"/>
        </w:trPr>
        <w:tc>
          <w:tcPr>
            <w:tcW w:w="40" w:type="dxa"/>
            <w:vAlign w:val="bottom"/>
          </w:tcPr>
          <w:p>
            <w:pPr>
              <w:spacing w:after="0"/>
              <w:rPr>
                <w:sz w:val="19"/>
                <w:szCs w:val="19"/>
                <w:color w:val="auto"/>
              </w:rPr>
            </w:pPr>
          </w:p>
        </w:tc>
        <w:tc>
          <w:tcPr>
            <w:tcW w:w="5540" w:type="dxa"/>
            <w:vAlign w:val="bottom"/>
            <w:gridSpan w:val="2"/>
          </w:tcPr>
          <w:p>
            <w:pPr>
              <w:spacing w:after="0" w:line="225" w:lineRule="exact"/>
              <w:rPr>
                <w:sz w:val="20"/>
                <w:szCs w:val="20"/>
                <w:color w:val="auto"/>
              </w:rPr>
            </w:pPr>
            <w:r>
              <w:rPr>
                <w:rFonts w:ascii="Arial" w:cs="Arial" w:eastAsia="Arial" w:hAnsi="Arial"/>
                <w:sz w:val="20"/>
                <w:szCs w:val="20"/>
                <w:b w:val="1"/>
                <w:bCs w:val="1"/>
                <w:color w:val="auto"/>
              </w:rPr>
              <w:t>Total lease costs</w:t>
            </w:r>
          </w:p>
        </w:tc>
        <w:tc>
          <w:tcPr>
            <w:tcW w:w="360" w:type="dxa"/>
            <w:vAlign w:val="bottom"/>
          </w:tcPr>
          <w:p>
            <w:pPr>
              <w:jc w:val="right"/>
              <w:ind w:right="100"/>
              <w:spacing w:after="0" w:line="225" w:lineRule="exact"/>
              <w:rPr>
                <w:sz w:val="20"/>
                <w:szCs w:val="20"/>
                <w:color w:val="auto"/>
              </w:rPr>
            </w:pPr>
            <w:r>
              <w:rPr>
                <w:rFonts w:ascii="Arial" w:cs="Arial" w:eastAsia="Arial" w:hAnsi="Arial"/>
                <w:sz w:val="20"/>
                <w:szCs w:val="20"/>
                <w:b w:val="1"/>
                <w:bCs w:val="1"/>
                <w:color w:val="auto"/>
              </w:rPr>
              <w:t>$</w:t>
            </w:r>
          </w:p>
        </w:tc>
        <w:tc>
          <w:tcPr>
            <w:tcW w:w="114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25,786</w:t>
            </w:r>
          </w:p>
        </w:tc>
        <w:tc>
          <w:tcPr>
            <w:tcW w:w="500" w:type="dxa"/>
            <w:vAlign w:val="bottom"/>
            <w:gridSpan w:val="2"/>
          </w:tcPr>
          <w:p>
            <w:pPr>
              <w:jc w:val="right"/>
              <w:ind w:right="200"/>
              <w:spacing w:after="0" w:line="225"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25" w:lineRule="exact"/>
              <w:rPr>
                <w:sz w:val="20"/>
                <w:szCs w:val="20"/>
                <w:color w:val="auto"/>
              </w:rPr>
            </w:pPr>
            <w:r>
              <w:rPr>
                <w:rFonts w:ascii="Arial" w:cs="Arial" w:eastAsia="Arial" w:hAnsi="Arial"/>
                <w:sz w:val="20"/>
                <w:szCs w:val="20"/>
                <w:color w:val="auto"/>
              </w:rPr>
              <w:t>27,769</w:t>
            </w:r>
          </w:p>
        </w:tc>
        <w:tc>
          <w:tcPr>
            <w:tcW w:w="440" w:type="dxa"/>
            <w:vAlign w:val="bottom"/>
            <w:gridSpan w:val="2"/>
          </w:tcPr>
          <w:p>
            <w:pPr>
              <w:jc w:val="right"/>
              <w:ind w:right="180"/>
              <w:spacing w:after="0" w:line="225"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25" w:lineRule="exact"/>
              <w:rPr>
                <w:sz w:val="20"/>
                <w:szCs w:val="20"/>
                <w:color w:val="auto"/>
              </w:rPr>
            </w:pPr>
            <w:r>
              <w:rPr>
                <w:rFonts w:ascii="Arial" w:cs="Arial" w:eastAsia="Arial" w:hAnsi="Arial"/>
                <w:sz w:val="20"/>
                <w:szCs w:val="20"/>
                <w:color w:val="auto"/>
              </w:rPr>
              <w:t>26,466</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-43815</wp:posOffset>
            </wp:positionV>
            <wp:extent cx="298767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6">
                      <a:extLst>
                        <a:ext uri="{28A0092B-C50C-407E-A947-70E740481C1C}"/>
                      </a:extLst>
                    </a:blip>
                    <a:srcRect/>
                    <a:stretch>
                      <a:fillRect/>
                    </a:stretch>
                  </pic:blipFill>
                  <pic:spPr bwMode="auto">
                    <a:xfrm>
                      <a:off x="0" y="0"/>
                      <a:ext cx="2987675" cy="50800"/>
                    </a:xfrm>
                    <a:prstGeom prst="rect">
                      <a:avLst/>
                    </a:prstGeom>
                    <a:noFill/>
                  </pic:spPr>
                </pic:pic>
              </a:graphicData>
            </a:graphic>
          </wp:anchor>
        </w:drawing>
      </w:r>
    </w:p>
    <w:p>
      <w:pPr>
        <w:spacing w:after="0" w:line="117" w:lineRule="exact"/>
        <w:rPr>
          <w:sz w:val="20"/>
          <w:szCs w:val="20"/>
          <w:color w:val="auto"/>
        </w:rPr>
      </w:pPr>
    </w:p>
    <w:p>
      <w:pPr>
        <w:ind w:left="550" w:right="640" w:hanging="550"/>
        <w:spacing w:after="0" w:line="284" w:lineRule="auto"/>
        <w:tabs>
          <w:tab w:leader="none" w:pos="55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Includes $1.7 million, $1.5 million, and $1.4 million of short-term lease costs in the years ended December 31, 2025, 2024, and 2023, respectively.</w:t>
      </w:r>
    </w:p>
    <w:p>
      <w:pPr>
        <w:sectPr>
          <w:pgSz w:w="11880" w:h="15480" w:orient="portrait"/>
          <w:cols w:equalWidth="0" w:num="1">
            <w:col w:w="10270"/>
          </w:cols>
          <w:pgMar w:left="81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10270"/>
          </w:cols>
          <w:pgMar w:left="810" w:top="422" w:right="800" w:bottom="0" w:gutter="0" w:footer="0" w:header="0"/>
          <w:type w:val="continuous"/>
        </w:sectPr>
      </w:pPr>
    </w:p>
    <w:bookmarkStart w:id="105" w:name="page106"/>
    <w:bookmarkEnd w:id="105"/>
    <w:p>
      <w:pPr>
        <w:jc w:val="center"/>
        <w:ind w:right="20"/>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Lease terms and discount rates were as follows:</w:t>
      </w:r>
    </w:p>
    <w:p>
      <w:pPr>
        <w:spacing w:after="0" w:line="194" w:lineRule="exact"/>
        <w:rPr>
          <w:sz w:val="20"/>
          <w:szCs w:val="20"/>
          <w:color w:val="auto"/>
        </w:rPr>
      </w:pPr>
    </w:p>
    <w:p>
      <w:pPr>
        <w:jc w:val="right"/>
        <w:ind w:right="520"/>
        <w:spacing w:after="0"/>
        <w:rPr>
          <w:sz w:val="20"/>
          <w:szCs w:val="20"/>
          <w:color w:val="auto"/>
        </w:rPr>
      </w:pPr>
      <w:r>
        <w:rPr>
          <w:rFonts w:ascii="Arial" w:cs="Arial" w:eastAsia="Arial" w:hAnsi="Arial"/>
          <w:sz w:val="18"/>
          <w:szCs w:val="18"/>
          <w:b w:val="1"/>
          <w:bCs w:val="1"/>
          <w:color w:val="auto"/>
        </w:rPr>
        <w:t>Year Ended December 31,</w:t>
      </w:r>
    </w:p>
    <w:p>
      <w:pPr>
        <w:sectPr>
          <w:pgSz w:w="11880" w:h="15480" w:orient="portrait"/>
          <w:cols w:equalWidth="0" w:num="1">
            <w:col w:w="10260"/>
          </w:cols>
          <w:pgMar w:left="820" w:top="422" w:right="800" w:bottom="0" w:gutter="0" w:footer="0" w:header="0"/>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Weighted average remaining lease term: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-134620</wp:posOffset>
                </wp:positionV>
                <wp:extent cx="6514465" cy="18034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2EEF5"/>
                        </a:solidFill>
                      </wps:spPr>
                      <wps:bodyPr/>
                    </wps:wsp>
                  </a:graphicData>
                </a:graphic>
              </wp:anchor>
            </w:drawing>
          </mc:Choice>
          <mc:Fallback>
            <w:pict>
              <v:rect id="Shape 81" o:spid="_x0000_s1106" style="position:absolute;margin-left:-0.4499pt;margin-top:-10.59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Operating leases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0"/>
          <w:szCs w:val="20"/>
          <w:color w:val="auto"/>
        </w:rPr>
        <w:t>Finance 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2EEF5"/>
                        </a:solidFill>
                      </wps:spPr>
                      <wps:bodyPr/>
                    </wps:wsp>
                  </a:graphicData>
                </a:graphic>
              </wp:anchor>
            </w:drawing>
          </mc:Choice>
          <mc:Fallback>
            <w:pict>
              <v:rect id="Shape 82" o:spid="_x0000_s1107"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Weighted average discount rate: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Operating 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2EEF5"/>
                        </a:solidFill>
                      </wps:spPr>
                      <wps:bodyPr/>
                    </wps:wsp>
                  </a:graphicData>
                </a:graphic>
              </wp:anchor>
            </w:drawing>
          </mc:Choice>
          <mc:Fallback>
            <w:pict>
              <v:rect id="Shape 83" o:spid="_x0000_s1108"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20"/>
          <w:szCs w:val="20"/>
          <w:color w:val="auto"/>
        </w:rPr>
        <w:t>Finance leases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1500" w:type="dxa"/>
            <w:vAlign w:val="bottom"/>
            <w:tcBorders>
              <w:top w:val="single" w:sz="8" w:color="auto"/>
            </w:tcBorders>
          </w:tcPr>
          <w:p>
            <w:pPr>
              <w:jc w:val="right"/>
              <w:ind w:right="460"/>
              <w:spacing w:after="0"/>
              <w:rPr>
                <w:sz w:val="20"/>
                <w:szCs w:val="20"/>
                <w:color w:val="auto"/>
              </w:rPr>
            </w:pPr>
            <w:r>
              <w:rPr>
                <w:rFonts w:ascii="Arial" w:cs="Arial" w:eastAsia="Arial" w:hAnsi="Arial"/>
                <w:sz w:val="20"/>
                <w:szCs w:val="20"/>
                <w:b w:val="1"/>
                <w:bCs w:val="1"/>
                <w:color w:val="auto"/>
              </w:rPr>
              <w:t>2025</w:t>
            </w:r>
          </w:p>
        </w:tc>
        <w:tc>
          <w:tcPr>
            <w:tcW w:w="15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20"/>
                <w:szCs w:val="20"/>
                <w:b w:val="1"/>
                <w:bCs w:val="1"/>
                <w:color w:val="auto"/>
              </w:rPr>
              <w:t>2024</w:t>
            </w:r>
          </w:p>
        </w:tc>
      </w:tr>
      <w:tr>
        <w:trPr>
          <w:trHeight w:val="547"/>
        </w:trPr>
        <w:tc>
          <w:tcPr>
            <w:tcW w:w="15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11.1 years</w:t>
            </w:r>
          </w:p>
        </w:tc>
        <w:tc>
          <w:tcPr>
            <w:tcW w:w="120" w:type="dxa"/>
            <w:vAlign w:val="bottom"/>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7.3 years</w:t>
            </w:r>
          </w:p>
        </w:tc>
      </w:tr>
      <w:tr>
        <w:trPr>
          <w:trHeight w:val="285"/>
        </w:trPr>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14.9 years</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15.2 years</w:t>
            </w:r>
          </w:p>
        </w:tc>
      </w:tr>
      <w:tr>
        <w:trPr>
          <w:trHeight w:val="570"/>
        </w:trPr>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6.90 %</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6.57 %</w:t>
            </w:r>
          </w:p>
        </w:tc>
      </w:tr>
      <w:tr>
        <w:trPr>
          <w:trHeight w:val="285"/>
        </w:trPr>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6.55 %</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6.55 %</w:t>
            </w:r>
          </w:p>
        </w:tc>
      </w:tr>
    </w:tbl>
    <w:p>
      <w:pPr>
        <w:spacing w:after="0" w:line="574" w:lineRule="exact"/>
        <w:rPr>
          <w:sz w:val="20"/>
          <w:szCs w:val="20"/>
          <w:color w:val="auto"/>
        </w:rPr>
      </w:pPr>
    </w:p>
    <w:p>
      <w:pPr>
        <w:sectPr>
          <w:pgSz w:w="11880" w:h="15480" w:orient="portrait"/>
          <w:cols w:equalWidth="0" w:num="2">
            <w:col w:w="6480" w:space="720"/>
            <w:col w:w="3060"/>
          </w:cols>
          <w:pgMar w:left="820" w:top="422" w:right="800" w:bottom="0" w:gutter="0" w:footer="0" w:header="0"/>
          <w:type w:val="continuous"/>
        </w:sectPr>
      </w:pPr>
    </w:p>
    <w:p>
      <w:pPr>
        <w:ind w:left="7300"/>
        <w:spacing w:after="0"/>
        <w:rPr>
          <w:sz w:val="20"/>
          <w:szCs w:val="20"/>
          <w:color w:val="auto"/>
        </w:rPr>
      </w:pPr>
      <w:r>
        <w:rPr>
          <w:rFonts w:ascii="Arial" w:cs="Arial" w:eastAsia="Arial" w:hAnsi="Arial"/>
          <w:sz w:val="18"/>
          <w:szCs w:val="18"/>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55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Borders>
              <w:top w:val="single" w:sz="8" w:color="auto"/>
            </w:tcBorders>
            <w:gridSpan w:val="4"/>
          </w:tcPr>
          <w:p>
            <w:pPr>
              <w:jc w:val="right"/>
              <w:ind w:right="323"/>
              <w:spacing w:after="0" w:line="229" w:lineRule="exact"/>
              <w:rPr>
                <w:sz w:val="20"/>
                <w:szCs w:val="20"/>
                <w:color w:val="auto"/>
              </w:rPr>
            </w:pPr>
            <w:r>
              <w:rPr>
                <w:rFonts w:ascii="Arial" w:cs="Arial" w:eastAsia="Arial" w:hAnsi="Arial"/>
                <w:sz w:val="20"/>
                <w:szCs w:val="20"/>
                <w:b w:val="1"/>
                <w:bCs w:val="1"/>
                <w:color w:val="auto"/>
              </w:rPr>
              <w:t>2025</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right"/>
              <w:ind w:right="20"/>
              <w:spacing w:after="0" w:line="229" w:lineRule="exact"/>
              <w:rPr>
                <w:sz w:val="20"/>
                <w:szCs w:val="20"/>
                <w:color w:val="auto"/>
              </w:rPr>
            </w:pPr>
            <w:r>
              <w:rPr>
                <w:rFonts w:ascii="Arial" w:cs="Arial" w:eastAsia="Arial" w:hAnsi="Arial"/>
                <w:sz w:val="20"/>
                <w:szCs w:val="20"/>
                <w:b w:val="1"/>
                <w:bCs w:val="1"/>
                <w:color w:val="auto"/>
              </w:rPr>
              <w:t>2024</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41"/>
              <w:spacing w:after="0" w:line="229" w:lineRule="exact"/>
              <w:rPr>
                <w:sz w:val="20"/>
                <w:szCs w:val="20"/>
                <w:color w:val="auto"/>
              </w:rPr>
            </w:pPr>
            <w:r>
              <w:rPr>
                <w:rFonts w:ascii="Arial" w:cs="Arial" w:eastAsia="Arial" w:hAnsi="Arial"/>
                <w:sz w:val="20"/>
                <w:szCs w:val="20"/>
                <w:b w:val="1"/>
                <w:bCs w:val="1"/>
                <w:color w:val="auto"/>
              </w:rPr>
              <w:t>2023</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3740" w:type="dxa"/>
            <w:vAlign w:val="bottom"/>
            <w:tcBorders>
              <w:bottom w:val="single" w:sz="8" w:color="D2EEF5"/>
            </w:tcBorders>
          </w:tcPr>
          <w:p>
            <w:pPr>
              <w:spacing w:after="0" w:line="20" w:lineRule="exact"/>
              <w:rPr>
                <w:sz w:val="1"/>
                <w:szCs w:val="1"/>
                <w:color w:val="auto"/>
              </w:rPr>
            </w:pPr>
          </w:p>
        </w:tc>
        <w:tc>
          <w:tcPr>
            <w:tcW w:w="4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D2EEF5"/>
            </w:tcBorders>
          </w:tcPr>
          <w:p>
            <w:pPr>
              <w:spacing w:after="0" w:line="20" w:lineRule="exact"/>
              <w:rPr>
                <w:sz w:val="1"/>
                <w:szCs w:val="1"/>
                <w:color w:val="auto"/>
              </w:rPr>
            </w:pPr>
          </w:p>
        </w:tc>
        <w:tc>
          <w:tcPr>
            <w:tcW w:w="560" w:type="dxa"/>
            <w:vAlign w:val="bottom"/>
            <w:tcBorders>
              <w:bottom w:val="single" w:sz="8" w:color="D2EEF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6300" w:type="dxa"/>
            <w:vAlign w:val="bottom"/>
            <w:gridSpan w:val="5"/>
            <w:shd w:val="clear" w:color="auto" w:fill="D2EEF5"/>
          </w:tcPr>
          <w:p>
            <w:pPr>
              <w:spacing w:after="0"/>
              <w:rPr>
                <w:sz w:val="20"/>
                <w:szCs w:val="20"/>
                <w:color w:val="auto"/>
              </w:rPr>
            </w:pPr>
            <w:r>
              <w:rPr>
                <w:rFonts w:ascii="Arial" w:cs="Arial" w:eastAsia="Arial" w:hAnsi="Arial"/>
                <w:sz w:val="20"/>
                <w:szCs w:val="20"/>
                <w:b w:val="1"/>
                <w:bCs w:val="1"/>
                <w:color w:val="auto"/>
                <w:w w:val="92"/>
              </w:rPr>
              <w:t>Cash paid for amounts included in the measurement of lease liabilities:</w:t>
            </w:r>
          </w:p>
        </w:tc>
        <w:tc>
          <w:tcPr>
            <w:tcW w:w="440" w:type="dxa"/>
            <w:vAlign w:val="bottom"/>
            <w:shd w:val="clear" w:color="auto" w:fill="D2EEF5"/>
          </w:tcPr>
          <w:p>
            <w:pPr>
              <w:spacing w:after="0"/>
              <w:rPr>
                <w:sz w:val="23"/>
                <w:szCs w:val="23"/>
                <w:color w:val="auto"/>
              </w:rPr>
            </w:pPr>
          </w:p>
        </w:tc>
        <w:tc>
          <w:tcPr>
            <w:tcW w:w="24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44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260" w:type="dxa"/>
            <w:vAlign w:val="bottom"/>
            <w:shd w:val="clear" w:color="auto" w:fill="D2EEF5"/>
          </w:tcPr>
          <w:p>
            <w:pPr>
              <w:spacing w:after="0"/>
              <w:rPr>
                <w:sz w:val="23"/>
                <w:szCs w:val="23"/>
                <w:color w:val="auto"/>
              </w:rPr>
            </w:pPr>
          </w:p>
        </w:tc>
        <w:tc>
          <w:tcPr>
            <w:tcW w:w="38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940" w:type="dxa"/>
            <w:vAlign w:val="bottom"/>
            <w:shd w:val="clear" w:color="auto" w:fill="D2EEF5"/>
          </w:tcPr>
          <w:p>
            <w:pPr>
              <w:spacing w:after="0"/>
              <w:rPr>
                <w:sz w:val="23"/>
                <w:szCs w:val="23"/>
                <w:color w:val="auto"/>
              </w:rPr>
            </w:pPr>
          </w:p>
        </w:tc>
      </w:tr>
      <w:tr>
        <w:trPr>
          <w:trHeight w:val="278"/>
        </w:trPr>
        <w:tc>
          <w:tcPr>
            <w:tcW w:w="40" w:type="dxa"/>
            <w:vAlign w:val="bottom"/>
          </w:tcPr>
          <w:p>
            <w:pPr>
              <w:spacing w:after="0"/>
              <w:rPr>
                <w:sz w:val="24"/>
                <w:szCs w:val="24"/>
                <w:color w:val="auto"/>
              </w:rPr>
            </w:pPr>
          </w:p>
        </w:tc>
        <w:tc>
          <w:tcPr>
            <w:tcW w:w="5520" w:type="dxa"/>
            <w:vAlign w:val="bottom"/>
            <w:gridSpan w:val="3"/>
          </w:tcPr>
          <w:p>
            <w:pPr>
              <w:ind w:left="480"/>
              <w:spacing w:after="0"/>
              <w:rPr>
                <w:sz w:val="20"/>
                <w:szCs w:val="20"/>
                <w:color w:val="auto"/>
              </w:rPr>
            </w:pPr>
            <w:r>
              <w:rPr>
                <w:rFonts w:ascii="Arial" w:cs="Arial" w:eastAsia="Arial" w:hAnsi="Arial"/>
                <w:sz w:val="20"/>
                <w:szCs w:val="20"/>
                <w:color w:val="auto"/>
              </w:rPr>
              <w:t>Operating cash flows for operating leases</w:t>
            </w:r>
          </w:p>
        </w:tc>
        <w:tc>
          <w:tcPr>
            <w:tcW w:w="2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20"/>
                <w:szCs w:val="20"/>
                <w:b w:val="1"/>
                <w:bCs w:val="1"/>
                <w:color w:val="auto"/>
                <w:w w:val="91"/>
              </w:rPr>
              <w:t>7,917</w:t>
            </w:r>
          </w:p>
        </w:tc>
        <w:tc>
          <w:tcPr>
            <w:tcW w:w="3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7,382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3"/>
          </w:tcPr>
          <w:p>
            <w:pPr>
              <w:jc w:val="right"/>
              <w:ind w:right="16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10,067</w:t>
            </w:r>
          </w:p>
        </w:tc>
      </w:tr>
      <w:tr>
        <w:trPr>
          <w:trHeight w:val="292"/>
        </w:trPr>
        <w:tc>
          <w:tcPr>
            <w:tcW w:w="40" w:type="dxa"/>
            <w:vAlign w:val="bottom"/>
            <w:shd w:val="clear" w:color="auto" w:fill="D2EEF5"/>
          </w:tcPr>
          <w:p>
            <w:pPr>
              <w:spacing w:after="0"/>
              <w:rPr>
                <w:sz w:val="24"/>
                <w:szCs w:val="24"/>
                <w:color w:val="auto"/>
              </w:rPr>
            </w:pPr>
          </w:p>
        </w:tc>
        <w:tc>
          <w:tcPr>
            <w:tcW w:w="552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Operating cash flows for finance leases</w:t>
            </w:r>
          </w:p>
        </w:tc>
        <w:tc>
          <w:tcPr>
            <w:tcW w:w="220" w:type="dxa"/>
            <w:vAlign w:val="bottom"/>
            <w:shd w:val="clear" w:color="auto" w:fill="D2EEF5"/>
          </w:tcPr>
          <w:p>
            <w:pPr>
              <w:spacing w:after="0"/>
              <w:rPr>
                <w:sz w:val="24"/>
                <w:szCs w:val="24"/>
                <w:color w:val="auto"/>
              </w:rPr>
            </w:pPr>
          </w:p>
        </w:tc>
        <w:tc>
          <w:tcPr>
            <w:tcW w:w="560" w:type="dxa"/>
            <w:vAlign w:val="bottom"/>
            <w:shd w:val="clear" w:color="auto" w:fill="D2EEF5"/>
          </w:tcPr>
          <w:p>
            <w:pPr>
              <w:spacing w:after="0"/>
              <w:rPr>
                <w:sz w:val="24"/>
                <w:szCs w:val="24"/>
                <w:color w:val="auto"/>
              </w:rPr>
            </w:pPr>
          </w:p>
        </w:tc>
        <w:tc>
          <w:tcPr>
            <w:tcW w:w="44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560" w:type="dxa"/>
            <w:vAlign w:val="bottom"/>
            <w:gridSpan w:val="2"/>
            <w:shd w:val="clear" w:color="auto" w:fill="D2EEF5"/>
          </w:tcPr>
          <w:p>
            <w:pPr>
              <w:jc w:val="right"/>
              <w:spacing w:after="0"/>
              <w:rPr>
                <w:sz w:val="20"/>
                <w:szCs w:val="20"/>
                <w:color w:val="auto"/>
              </w:rPr>
            </w:pPr>
            <w:r>
              <w:rPr>
                <w:rFonts w:ascii="Arial" w:cs="Arial" w:eastAsia="Arial" w:hAnsi="Arial"/>
                <w:sz w:val="20"/>
                <w:szCs w:val="20"/>
                <w:b w:val="1"/>
                <w:bCs w:val="1"/>
                <w:color w:val="auto"/>
                <w:w w:val="91"/>
              </w:rPr>
              <w:t>6,332</w:t>
            </w:r>
          </w:p>
        </w:tc>
        <w:tc>
          <w:tcPr>
            <w:tcW w:w="1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680" w:type="dxa"/>
            <w:vAlign w:val="bottom"/>
            <w:gridSpan w:val="3"/>
            <w:shd w:val="clear" w:color="auto" w:fill="D2EEF5"/>
          </w:tcPr>
          <w:p>
            <w:pPr>
              <w:jc w:val="right"/>
              <w:spacing w:after="0"/>
              <w:rPr>
                <w:sz w:val="20"/>
                <w:szCs w:val="20"/>
                <w:color w:val="auto"/>
              </w:rPr>
            </w:pPr>
            <w:r>
              <w:rPr>
                <w:rFonts w:ascii="Arial" w:cs="Arial" w:eastAsia="Arial" w:hAnsi="Arial"/>
                <w:sz w:val="20"/>
                <w:szCs w:val="20"/>
                <w:color w:val="auto"/>
              </w:rPr>
              <w:t>6,277</w:t>
            </w: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3,988</w:t>
            </w:r>
          </w:p>
        </w:tc>
      </w:tr>
      <w:tr>
        <w:trPr>
          <w:trHeight w:val="272"/>
        </w:trPr>
        <w:tc>
          <w:tcPr>
            <w:tcW w:w="40" w:type="dxa"/>
            <w:vAlign w:val="bottom"/>
          </w:tcPr>
          <w:p>
            <w:pPr>
              <w:spacing w:after="0"/>
              <w:rPr>
                <w:sz w:val="23"/>
                <w:szCs w:val="23"/>
                <w:color w:val="auto"/>
              </w:rPr>
            </w:pPr>
          </w:p>
        </w:tc>
        <w:tc>
          <w:tcPr>
            <w:tcW w:w="5520" w:type="dxa"/>
            <w:vAlign w:val="bottom"/>
            <w:gridSpan w:val="3"/>
          </w:tcPr>
          <w:p>
            <w:pPr>
              <w:ind w:left="480"/>
              <w:spacing w:after="0"/>
              <w:rPr>
                <w:sz w:val="20"/>
                <w:szCs w:val="20"/>
                <w:color w:val="auto"/>
              </w:rPr>
            </w:pPr>
            <w:r>
              <w:rPr>
                <w:rFonts w:ascii="Arial" w:cs="Arial" w:eastAsia="Arial" w:hAnsi="Arial"/>
                <w:sz w:val="20"/>
                <w:szCs w:val="20"/>
                <w:color w:val="auto"/>
              </w:rPr>
              <w:t>Finance cash flows for finance leases</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20"/>
                <w:szCs w:val="20"/>
                <w:b w:val="1"/>
                <w:bCs w:val="1"/>
                <w:color w:val="auto"/>
                <w:w w:val="91"/>
              </w:rPr>
              <w:t>3,903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8,088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1,823</w:t>
            </w:r>
          </w:p>
        </w:tc>
      </w:tr>
      <w:tr>
        <w:trPr>
          <w:trHeight w:val="512"/>
        </w:trPr>
        <w:tc>
          <w:tcPr>
            <w:tcW w:w="5560" w:type="dxa"/>
            <w:vAlign w:val="bottom"/>
            <w:gridSpan w:val="4"/>
          </w:tcPr>
          <w:p>
            <w:pPr>
              <w:spacing w:after="0"/>
              <w:rPr>
                <w:sz w:val="20"/>
                <w:szCs w:val="20"/>
                <w:color w:val="auto"/>
              </w:rPr>
            </w:pPr>
            <w:r>
              <w:rPr>
                <w:rFonts w:ascii="Arial" w:cs="Arial" w:eastAsia="Arial" w:hAnsi="Arial"/>
                <w:sz w:val="20"/>
                <w:szCs w:val="20"/>
                <w:color w:val="auto"/>
              </w:rPr>
              <w:t>Supplemental non-cash information was as follows: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4"/>
          </w:tcPr>
          <w:p>
            <w:pPr>
              <w:jc w:val="center"/>
              <w:ind w:right="241"/>
              <w:spacing w:after="0"/>
              <w:rPr>
                <w:sz w:val="20"/>
                <w:szCs w:val="20"/>
                <w:color w:val="auto"/>
              </w:rPr>
            </w:pPr>
            <w:r>
              <w:rPr>
                <w:rFonts w:ascii="Arial" w:cs="Arial" w:eastAsia="Arial" w:hAnsi="Arial"/>
                <w:sz w:val="18"/>
                <w:szCs w:val="18"/>
                <w:b w:val="1"/>
                <w:bCs w:val="1"/>
                <w:color w:val="auto"/>
                <w:w w:val="91"/>
              </w:rPr>
              <w:t>Year Ended December 31,</w:t>
            </w:r>
          </w:p>
        </w:tc>
      </w:tr>
      <w:tr>
        <w:trPr>
          <w:trHeight w:val="224"/>
        </w:trPr>
        <w:tc>
          <w:tcPr>
            <w:tcW w:w="40" w:type="dxa"/>
            <w:vAlign w:val="bottom"/>
          </w:tcPr>
          <w:p>
            <w:pPr>
              <w:spacing w:after="0"/>
              <w:rPr>
                <w:sz w:val="19"/>
                <w:szCs w:val="19"/>
                <w:color w:val="auto"/>
              </w:rPr>
            </w:pPr>
          </w:p>
        </w:tc>
        <w:tc>
          <w:tcPr>
            <w:tcW w:w="55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2"/>
          </w:tcPr>
          <w:p>
            <w:pPr>
              <w:jc w:val="right"/>
              <w:spacing w:after="0" w:line="224" w:lineRule="exact"/>
              <w:rPr>
                <w:sz w:val="20"/>
                <w:szCs w:val="20"/>
                <w:color w:val="auto"/>
              </w:rPr>
            </w:pPr>
            <w:r>
              <w:rPr>
                <w:rFonts w:ascii="Arial" w:cs="Arial" w:eastAsia="Arial" w:hAnsi="Arial"/>
                <w:sz w:val="20"/>
                <w:szCs w:val="20"/>
                <w:b w:val="1"/>
                <w:bCs w:val="1"/>
                <w:color w:val="auto"/>
              </w:rPr>
              <w:t>2025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20"/>
              <w:spacing w:after="0" w:line="224" w:lineRule="exact"/>
              <w:rPr>
                <w:sz w:val="20"/>
                <w:szCs w:val="20"/>
                <w:color w:val="auto"/>
              </w:rPr>
            </w:pPr>
            <w:r>
              <w:rPr>
                <w:rFonts w:ascii="Arial" w:cs="Arial" w:eastAsia="Arial" w:hAnsi="Arial"/>
                <w:sz w:val="20"/>
                <w:szCs w:val="20"/>
                <w:b w:val="1"/>
                <w:bCs w:val="1"/>
                <w:color w:val="auto"/>
              </w:rPr>
              <w:t>2024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61"/>
              <w:spacing w:after="0" w:line="224" w:lineRule="exact"/>
              <w:rPr>
                <w:sz w:val="20"/>
                <w:szCs w:val="20"/>
                <w:color w:val="auto"/>
              </w:rPr>
            </w:pPr>
            <w:r>
              <w:rPr>
                <w:rFonts w:ascii="Arial" w:cs="Arial" w:eastAsia="Arial" w:hAnsi="Arial"/>
                <w:sz w:val="20"/>
                <w:szCs w:val="20"/>
                <w:b w:val="1"/>
                <w:bCs w:val="1"/>
                <w:color w:val="auto"/>
              </w:rPr>
              <w:t>2023</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3740" w:type="dxa"/>
            <w:vAlign w:val="bottom"/>
            <w:tcBorders>
              <w:bottom w:val="single" w:sz="8" w:color="D2EEF5"/>
            </w:tcBorders>
          </w:tcPr>
          <w:p>
            <w:pPr>
              <w:spacing w:after="0" w:line="20" w:lineRule="exact"/>
              <w:rPr>
                <w:sz w:val="1"/>
                <w:szCs w:val="1"/>
                <w:color w:val="auto"/>
              </w:rPr>
            </w:pPr>
          </w:p>
        </w:tc>
        <w:tc>
          <w:tcPr>
            <w:tcW w:w="4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D2EEF5"/>
            </w:tcBorders>
          </w:tcPr>
          <w:p>
            <w:pPr>
              <w:spacing w:after="0" w:line="20" w:lineRule="exact"/>
              <w:rPr>
                <w:sz w:val="1"/>
                <w:szCs w:val="1"/>
                <w:color w:val="auto"/>
              </w:rPr>
            </w:pPr>
          </w:p>
        </w:tc>
        <w:tc>
          <w:tcPr>
            <w:tcW w:w="560" w:type="dxa"/>
            <w:vAlign w:val="bottom"/>
            <w:tcBorders>
              <w:bottom w:val="single" w:sz="8" w:color="D2EEF5"/>
            </w:tcBorders>
          </w:tcPr>
          <w:p>
            <w:pPr>
              <w:spacing w:after="0" w:line="20" w:lineRule="exact"/>
              <w:rPr>
                <w:sz w:val="1"/>
                <w:szCs w:val="1"/>
                <w:color w:val="auto"/>
              </w:rPr>
            </w:pPr>
          </w:p>
        </w:tc>
        <w:tc>
          <w:tcPr>
            <w:tcW w:w="440" w:type="dxa"/>
            <w:vAlign w:val="bottom"/>
            <w:tcBorders>
              <w:bottom w:val="single" w:sz="8" w:color="D2EE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552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w w:val="98"/>
              </w:rPr>
              <w:t>Lease liabilities arising from obtaining right-of-use assets:</w:t>
            </w:r>
          </w:p>
        </w:tc>
        <w:tc>
          <w:tcPr>
            <w:tcW w:w="220" w:type="dxa"/>
            <w:vAlign w:val="bottom"/>
            <w:shd w:val="clear" w:color="auto" w:fill="D2EEF5"/>
          </w:tcPr>
          <w:p>
            <w:pPr>
              <w:spacing w:after="0"/>
              <w:rPr>
                <w:sz w:val="23"/>
                <w:szCs w:val="23"/>
                <w:color w:val="auto"/>
              </w:rPr>
            </w:pPr>
          </w:p>
        </w:tc>
        <w:tc>
          <w:tcPr>
            <w:tcW w:w="560" w:type="dxa"/>
            <w:vAlign w:val="bottom"/>
            <w:shd w:val="clear" w:color="auto" w:fill="D2EEF5"/>
          </w:tcPr>
          <w:p>
            <w:pPr>
              <w:spacing w:after="0"/>
              <w:rPr>
                <w:sz w:val="23"/>
                <w:szCs w:val="23"/>
                <w:color w:val="auto"/>
              </w:rPr>
            </w:pPr>
          </w:p>
        </w:tc>
        <w:tc>
          <w:tcPr>
            <w:tcW w:w="440" w:type="dxa"/>
            <w:vAlign w:val="bottom"/>
            <w:shd w:val="clear" w:color="auto" w:fill="D2EEF5"/>
          </w:tcPr>
          <w:p>
            <w:pPr>
              <w:spacing w:after="0"/>
              <w:rPr>
                <w:sz w:val="23"/>
                <w:szCs w:val="23"/>
                <w:color w:val="auto"/>
              </w:rPr>
            </w:pPr>
          </w:p>
        </w:tc>
        <w:tc>
          <w:tcPr>
            <w:tcW w:w="24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44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260" w:type="dxa"/>
            <w:vAlign w:val="bottom"/>
            <w:shd w:val="clear" w:color="auto" w:fill="D2EEF5"/>
          </w:tcPr>
          <w:p>
            <w:pPr>
              <w:spacing w:after="0"/>
              <w:rPr>
                <w:sz w:val="23"/>
                <w:szCs w:val="23"/>
                <w:color w:val="auto"/>
              </w:rPr>
            </w:pPr>
          </w:p>
        </w:tc>
        <w:tc>
          <w:tcPr>
            <w:tcW w:w="38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940" w:type="dxa"/>
            <w:vAlign w:val="bottom"/>
            <w:shd w:val="clear" w:color="auto" w:fill="D2EEF5"/>
          </w:tcPr>
          <w:p>
            <w:pPr>
              <w:spacing w:after="0"/>
              <w:rPr>
                <w:sz w:val="23"/>
                <w:szCs w:val="23"/>
                <w:color w:val="auto"/>
              </w:rPr>
            </w:pPr>
          </w:p>
        </w:tc>
      </w:tr>
      <w:tr>
        <w:trPr>
          <w:trHeight w:val="278"/>
        </w:trPr>
        <w:tc>
          <w:tcPr>
            <w:tcW w:w="40" w:type="dxa"/>
            <w:vAlign w:val="bottom"/>
          </w:tcPr>
          <w:p>
            <w:pPr>
              <w:spacing w:after="0"/>
              <w:rPr>
                <w:sz w:val="24"/>
                <w:szCs w:val="24"/>
                <w:color w:val="auto"/>
              </w:rPr>
            </w:pPr>
          </w:p>
        </w:tc>
        <w:tc>
          <w:tcPr>
            <w:tcW w:w="5520" w:type="dxa"/>
            <w:vAlign w:val="bottom"/>
            <w:gridSpan w:val="3"/>
          </w:tcPr>
          <w:p>
            <w:pPr>
              <w:ind w:left="480"/>
              <w:spacing w:after="0"/>
              <w:rPr>
                <w:sz w:val="20"/>
                <w:szCs w:val="20"/>
                <w:color w:val="auto"/>
              </w:rPr>
            </w:pPr>
            <w:r>
              <w:rPr>
                <w:rFonts w:ascii="Arial" w:cs="Arial" w:eastAsia="Arial" w:hAnsi="Arial"/>
                <w:sz w:val="20"/>
                <w:szCs w:val="20"/>
                <w:color w:val="auto"/>
              </w:rPr>
              <w:t>Operating leases</w:t>
            </w:r>
          </w:p>
        </w:tc>
        <w:tc>
          <w:tcPr>
            <w:tcW w:w="220" w:type="dxa"/>
            <w:vAlign w:val="bottom"/>
          </w:tcPr>
          <w:p>
            <w:pPr>
              <w:spacing w:after="0"/>
              <w:rPr>
                <w:sz w:val="24"/>
                <w:szCs w:val="24"/>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20"/>
                <w:szCs w:val="20"/>
                <w:b w:val="1"/>
                <w:bCs w:val="1"/>
                <w:color w:val="auto"/>
              </w:rPr>
              <w:t>$</w:t>
            </w:r>
          </w:p>
        </w:tc>
        <w:tc>
          <w:tcPr>
            <w:tcW w:w="860" w:type="dxa"/>
            <w:vAlign w:val="bottom"/>
            <w:gridSpan w:val="4"/>
          </w:tcPr>
          <w:p>
            <w:pPr>
              <w:jc w:val="right"/>
              <w:ind w:right="80"/>
              <w:spacing w:after="0"/>
              <w:rPr>
                <w:sz w:val="20"/>
                <w:szCs w:val="20"/>
                <w:color w:val="auto"/>
              </w:rPr>
            </w:pPr>
            <w:r>
              <w:rPr>
                <w:rFonts w:ascii="Arial" w:cs="Arial" w:eastAsia="Arial" w:hAnsi="Arial"/>
                <w:sz w:val="20"/>
                <w:szCs w:val="20"/>
                <w:b w:val="1"/>
                <w:bCs w:val="1"/>
                <w:color w:val="auto"/>
              </w:rPr>
              <w:t>10,822</w:t>
            </w: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gridSpan w:val="5"/>
          </w:tcPr>
          <w:p>
            <w:pPr>
              <w:jc w:val="right"/>
              <w:ind w:right="20"/>
              <w:spacing w:after="0"/>
              <w:rPr>
                <w:sz w:val="20"/>
                <w:szCs w:val="20"/>
                <w:color w:val="auto"/>
              </w:rPr>
            </w:pPr>
            <w:r>
              <w:rPr>
                <w:rFonts w:ascii="Arial" w:cs="Arial" w:eastAsia="Arial" w:hAnsi="Arial"/>
                <w:sz w:val="20"/>
                <w:szCs w:val="20"/>
                <w:color w:val="auto"/>
              </w:rPr>
              <w:t>10,550</w:t>
            </w:r>
          </w:p>
        </w:tc>
        <w:tc>
          <w:tcPr>
            <w:tcW w:w="28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4,559</w:t>
            </w:r>
          </w:p>
        </w:tc>
      </w:tr>
      <w:tr>
        <w:trPr>
          <w:trHeight w:val="292"/>
        </w:trPr>
        <w:tc>
          <w:tcPr>
            <w:tcW w:w="40" w:type="dxa"/>
            <w:vAlign w:val="bottom"/>
            <w:shd w:val="clear" w:color="auto" w:fill="D2EEF5"/>
          </w:tcPr>
          <w:p>
            <w:pPr>
              <w:spacing w:after="0"/>
              <w:rPr>
                <w:sz w:val="24"/>
                <w:szCs w:val="24"/>
                <w:color w:val="auto"/>
              </w:rPr>
            </w:pPr>
          </w:p>
        </w:tc>
        <w:tc>
          <w:tcPr>
            <w:tcW w:w="552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Finance leases</w:t>
            </w:r>
          </w:p>
        </w:tc>
        <w:tc>
          <w:tcPr>
            <w:tcW w:w="220" w:type="dxa"/>
            <w:vAlign w:val="bottom"/>
            <w:shd w:val="clear" w:color="auto" w:fill="D2EEF5"/>
          </w:tcPr>
          <w:p>
            <w:pPr>
              <w:spacing w:after="0"/>
              <w:rPr>
                <w:sz w:val="24"/>
                <w:szCs w:val="24"/>
                <w:color w:val="auto"/>
              </w:rPr>
            </w:pPr>
          </w:p>
        </w:tc>
        <w:tc>
          <w:tcPr>
            <w:tcW w:w="560" w:type="dxa"/>
            <w:vAlign w:val="bottom"/>
            <w:shd w:val="clear" w:color="auto" w:fill="D2EEF5"/>
          </w:tcPr>
          <w:p>
            <w:pPr>
              <w:spacing w:after="0"/>
              <w:rPr>
                <w:sz w:val="24"/>
                <w:szCs w:val="24"/>
                <w:color w:val="auto"/>
              </w:rPr>
            </w:pPr>
          </w:p>
        </w:tc>
        <w:tc>
          <w:tcPr>
            <w:tcW w:w="44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860" w:type="dxa"/>
            <w:vAlign w:val="bottom"/>
            <w:gridSpan w:val="4"/>
            <w:shd w:val="clear" w:color="auto" w:fill="D2EEF5"/>
          </w:tcPr>
          <w:p>
            <w:pPr>
              <w:jc w:val="right"/>
              <w:ind w:right="80"/>
              <w:spacing w:after="0"/>
              <w:rPr>
                <w:sz w:val="20"/>
                <w:szCs w:val="20"/>
                <w:color w:val="auto"/>
              </w:rPr>
            </w:pPr>
            <w:r>
              <w:rPr>
                <w:rFonts w:ascii="Arial" w:cs="Arial" w:eastAsia="Arial" w:hAnsi="Arial"/>
                <w:sz w:val="20"/>
                <w:szCs w:val="20"/>
                <w:b w:val="1"/>
                <w:bCs w:val="1"/>
                <w:color w:val="auto"/>
              </w:rPr>
              <w:t>431</w:t>
            </w:r>
          </w:p>
        </w:tc>
        <w:tc>
          <w:tcPr>
            <w:tcW w:w="12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780" w:type="dxa"/>
            <w:vAlign w:val="bottom"/>
            <w:gridSpan w:val="5"/>
            <w:shd w:val="clear" w:color="auto" w:fill="D2EEF5"/>
          </w:tcPr>
          <w:p>
            <w:pPr>
              <w:jc w:val="right"/>
              <w:ind w:right="20"/>
              <w:spacing w:after="0"/>
              <w:rPr>
                <w:sz w:val="20"/>
                <w:szCs w:val="20"/>
                <w:color w:val="auto"/>
              </w:rPr>
            </w:pPr>
            <w:r>
              <w:rPr>
                <w:rFonts w:ascii="Arial" w:cs="Arial" w:eastAsia="Arial" w:hAnsi="Arial"/>
                <w:sz w:val="20"/>
                <w:szCs w:val="20"/>
                <w:color w:val="auto"/>
              </w:rPr>
              <w:t>36,016</w:t>
            </w:r>
          </w:p>
        </w:tc>
        <w:tc>
          <w:tcPr>
            <w:tcW w:w="6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color w:val="auto"/>
              </w:rPr>
              <w:t>14,770</w:t>
            </w:r>
          </w:p>
        </w:tc>
      </w:tr>
      <w:tr>
        <w:trPr>
          <w:trHeight w:val="499"/>
        </w:trPr>
        <w:tc>
          <w:tcPr>
            <w:tcW w:w="5560" w:type="dxa"/>
            <w:vAlign w:val="bottom"/>
            <w:gridSpan w:val="4"/>
          </w:tcPr>
          <w:p>
            <w:pPr>
              <w:spacing w:after="0"/>
              <w:rPr>
                <w:sz w:val="20"/>
                <w:szCs w:val="20"/>
                <w:color w:val="auto"/>
              </w:rPr>
            </w:pPr>
            <w:r>
              <w:rPr>
                <w:rFonts w:ascii="Arial" w:cs="Arial" w:eastAsia="Arial" w:hAnsi="Arial"/>
                <w:sz w:val="20"/>
                <w:szCs w:val="20"/>
                <w:color w:val="auto"/>
                <w:w w:val="91"/>
              </w:rPr>
              <w:t>Maturities of lease liabilities as of December 31, 2025 are as follows: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Operating</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w w:val="92"/>
              </w:rPr>
              <w:t>Finance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7"/>
        </w:trPr>
        <w:tc>
          <w:tcPr>
            <w:tcW w:w="40" w:type="dxa"/>
            <w:vAlign w:val="bottom"/>
          </w:tcPr>
          <w:p>
            <w:pPr>
              <w:spacing w:after="0"/>
              <w:rPr>
                <w:sz w:val="15"/>
                <w:szCs w:val="15"/>
                <w:color w:val="auto"/>
              </w:rPr>
            </w:pPr>
          </w:p>
        </w:tc>
        <w:tc>
          <w:tcPr>
            <w:tcW w:w="5520" w:type="dxa"/>
            <w:vAlign w:val="bottom"/>
            <w:gridSpan w:val="3"/>
          </w:tcPr>
          <w:p>
            <w:pPr>
              <w:spacing w:after="0" w:line="178" w:lineRule="exact"/>
              <w:rPr>
                <w:sz w:val="20"/>
                <w:szCs w:val="20"/>
                <w:color w:val="auto"/>
              </w:rPr>
            </w:pPr>
            <w:r>
              <w:rPr>
                <w:rFonts w:ascii="Arial" w:cs="Arial" w:eastAsia="Arial" w:hAnsi="Arial"/>
                <w:sz w:val="16"/>
                <w:szCs w:val="16"/>
                <w:b w:val="1"/>
                <w:bCs w:val="1"/>
                <w:i w:val="1"/>
                <w:iCs w:val="1"/>
                <w:color w:val="auto"/>
              </w:rPr>
              <w:t>(thousands of U.S. dollars)</w:t>
            </w:r>
          </w:p>
        </w:tc>
        <w:tc>
          <w:tcPr>
            <w:tcW w:w="220" w:type="dxa"/>
            <w:vAlign w:val="bottom"/>
          </w:tcPr>
          <w:p>
            <w:pPr>
              <w:spacing w:after="0"/>
              <w:rPr>
                <w:sz w:val="15"/>
                <w:szCs w:val="15"/>
                <w:color w:val="auto"/>
              </w:rPr>
            </w:pPr>
          </w:p>
        </w:tc>
        <w:tc>
          <w:tcPr>
            <w:tcW w:w="1240" w:type="dxa"/>
            <w:vAlign w:val="bottom"/>
            <w:gridSpan w:val="3"/>
          </w:tcPr>
          <w:p>
            <w:pPr>
              <w:jc w:val="right"/>
              <w:ind w:right="540"/>
              <w:spacing w:after="0" w:line="178" w:lineRule="exact"/>
              <w:rPr>
                <w:sz w:val="20"/>
                <w:szCs w:val="20"/>
                <w:color w:val="auto"/>
              </w:rPr>
            </w:pPr>
            <w:r>
              <w:rPr>
                <w:rFonts w:ascii="Arial" w:cs="Arial" w:eastAsia="Arial" w:hAnsi="Arial"/>
                <w:sz w:val="16"/>
                <w:szCs w:val="16"/>
                <w:b w:val="1"/>
                <w:bCs w:val="1"/>
                <w:color w:val="auto"/>
              </w:rPr>
              <w:t>Leases</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4"/>
          </w:tcPr>
          <w:p>
            <w:pPr>
              <w:jc w:val="right"/>
              <w:ind w:right="160"/>
              <w:spacing w:after="0" w:line="178" w:lineRule="exact"/>
              <w:rPr>
                <w:sz w:val="20"/>
                <w:szCs w:val="20"/>
                <w:color w:val="auto"/>
              </w:rPr>
            </w:pPr>
            <w:r>
              <w:rPr>
                <w:rFonts w:ascii="Arial" w:cs="Arial" w:eastAsia="Arial" w:hAnsi="Arial"/>
                <w:sz w:val="16"/>
                <w:szCs w:val="16"/>
                <w:b w:val="1"/>
                <w:bCs w:val="1"/>
                <w:color w:val="auto"/>
                <w:w w:val="92"/>
              </w:rPr>
              <w:t>Leases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481"/>
              <w:spacing w:after="0" w:line="178" w:lineRule="exact"/>
              <w:rPr>
                <w:sz w:val="20"/>
                <w:szCs w:val="20"/>
                <w:color w:val="auto"/>
              </w:rPr>
            </w:pPr>
            <w:r>
              <w:rPr>
                <w:rFonts w:ascii="Arial" w:cs="Arial" w:eastAsia="Arial" w:hAnsi="Arial"/>
                <w:sz w:val="16"/>
                <w:szCs w:val="16"/>
                <w:b w:val="1"/>
                <w:bCs w:val="1"/>
                <w:color w:val="auto"/>
                <w:w w:val="88"/>
              </w:rPr>
              <w:t>Total</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3740" w:type="dxa"/>
            <w:vAlign w:val="bottom"/>
            <w:tcBorders>
              <w:bottom w:val="single" w:sz="8" w:color="D2EEF5"/>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5"/>
        </w:trPr>
        <w:tc>
          <w:tcPr>
            <w:tcW w:w="1780" w:type="dxa"/>
            <w:vAlign w:val="bottom"/>
            <w:gridSpan w:val="2"/>
            <w:shd w:val="clear" w:color="auto" w:fill="D2EEF5"/>
          </w:tcPr>
          <w:p>
            <w:pPr>
              <w:ind w:left="40"/>
              <w:spacing w:after="0"/>
              <w:rPr>
                <w:sz w:val="20"/>
                <w:szCs w:val="20"/>
                <w:color w:val="auto"/>
              </w:rPr>
            </w:pPr>
            <w:r>
              <w:rPr>
                <w:rFonts w:ascii="Arial" w:cs="Arial" w:eastAsia="Arial" w:hAnsi="Arial"/>
                <w:sz w:val="20"/>
                <w:szCs w:val="20"/>
                <w:color w:val="auto"/>
              </w:rPr>
              <w:t>2026</w:t>
            </w:r>
          </w:p>
        </w:tc>
        <w:tc>
          <w:tcPr>
            <w:tcW w:w="374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220" w:type="dxa"/>
            <w:vAlign w:val="bottom"/>
            <w:shd w:val="clear" w:color="auto" w:fill="D2EEF5"/>
          </w:tcPr>
          <w:p>
            <w:pPr>
              <w:jc w:val="right"/>
              <w:ind w:right="20"/>
              <w:spacing w:after="0"/>
              <w:rPr>
                <w:sz w:val="20"/>
                <w:szCs w:val="20"/>
                <w:color w:val="auto"/>
              </w:rPr>
            </w:pPr>
            <w:r>
              <w:rPr>
                <w:rFonts w:ascii="Arial" w:cs="Arial" w:eastAsia="Arial" w:hAnsi="Arial"/>
                <w:sz w:val="20"/>
                <w:szCs w:val="20"/>
                <w:b w:val="1"/>
                <w:bCs w:val="1"/>
                <w:color w:val="auto"/>
                <w:w w:val="71"/>
              </w:rPr>
              <w:t>$</w:t>
            </w:r>
          </w:p>
        </w:tc>
        <w:tc>
          <w:tcPr>
            <w:tcW w:w="1240" w:type="dxa"/>
            <w:vAlign w:val="bottom"/>
            <w:gridSpan w:val="3"/>
            <w:shd w:val="clear" w:color="auto" w:fill="D2EEF5"/>
          </w:tcPr>
          <w:p>
            <w:pPr>
              <w:jc w:val="right"/>
              <w:ind w:right="100"/>
              <w:spacing w:after="0"/>
              <w:rPr>
                <w:sz w:val="20"/>
                <w:szCs w:val="20"/>
                <w:color w:val="auto"/>
              </w:rPr>
            </w:pPr>
            <w:r>
              <w:rPr>
                <w:rFonts w:ascii="Arial" w:cs="Arial" w:eastAsia="Arial" w:hAnsi="Arial"/>
                <w:sz w:val="20"/>
                <w:szCs w:val="20"/>
                <w:b w:val="1"/>
                <w:bCs w:val="1"/>
                <w:color w:val="auto"/>
              </w:rPr>
              <w:t>8,134</w:t>
            </w:r>
          </w:p>
        </w:tc>
        <w:tc>
          <w:tcPr>
            <w:tcW w:w="120" w:type="dxa"/>
            <w:vAlign w:val="bottom"/>
            <w:shd w:val="clear" w:color="auto" w:fill="D2EEF5"/>
          </w:tcPr>
          <w:p>
            <w:pPr>
              <w:spacing w:after="0"/>
              <w:rPr>
                <w:sz w:val="23"/>
                <w:szCs w:val="23"/>
                <w:color w:val="auto"/>
              </w:rPr>
            </w:pPr>
          </w:p>
        </w:tc>
        <w:tc>
          <w:tcPr>
            <w:tcW w:w="440" w:type="dxa"/>
            <w:vAlign w:val="bottom"/>
            <w:shd w:val="clear" w:color="auto" w:fill="D2EEF5"/>
          </w:tcPr>
          <w:p>
            <w:pPr>
              <w:jc w:val="right"/>
              <w:ind w:right="203"/>
              <w:spacing w:after="0"/>
              <w:rPr>
                <w:sz w:val="20"/>
                <w:szCs w:val="20"/>
                <w:color w:val="auto"/>
              </w:rPr>
            </w:pPr>
            <w:r>
              <w:rPr>
                <w:rFonts w:ascii="Arial" w:cs="Arial" w:eastAsia="Arial" w:hAnsi="Arial"/>
                <w:sz w:val="20"/>
                <w:szCs w:val="20"/>
                <w:b w:val="1"/>
                <w:bCs w:val="1"/>
                <w:color w:val="auto"/>
              </w:rPr>
              <w:t>$</w:t>
            </w: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760" w:type="dxa"/>
            <w:vAlign w:val="bottom"/>
            <w:gridSpan w:val="3"/>
            <w:shd w:val="clear" w:color="auto" w:fill="D2EEF5"/>
          </w:tcPr>
          <w:p>
            <w:pPr>
              <w:jc w:val="right"/>
              <w:spacing w:after="0"/>
              <w:rPr>
                <w:sz w:val="20"/>
                <w:szCs w:val="20"/>
                <w:color w:val="auto"/>
              </w:rPr>
            </w:pPr>
            <w:r>
              <w:rPr>
                <w:rFonts w:ascii="Arial" w:cs="Arial" w:eastAsia="Arial" w:hAnsi="Arial"/>
                <w:sz w:val="20"/>
                <w:szCs w:val="20"/>
                <w:b w:val="1"/>
                <w:bCs w:val="1"/>
                <w:color w:val="auto"/>
              </w:rPr>
              <w:t>9,689</w:t>
            </w: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17,823</w:t>
            </w:r>
          </w:p>
        </w:tc>
      </w:tr>
      <w:tr>
        <w:trPr>
          <w:trHeight w:val="278"/>
        </w:trPr>
        <w:tc>
          <w:tcPr>
            <w:tcW w:w="1780" w:type="dxa"/>
            <w:vAlign w:val="bottom"/>
            <w:gridSpan w:val="2"/>
          </w:tcPr>
          <w:p>
            <w:pPr>
              <w:ind w:left="40"/>
              <w:spacing w:after="0"/>
              <w:rPr>
                <w:sz w:val="20"/>
                <w:szCs w:val="20"/>
                <w:color w:val="auto"/>
              </w:rPr>
            </w:pPr>
            <w:r>
              <w:rPr>
                <w:rFonts w:ascii="Arial" w:cs="Arial" w:eastAsia="Arial" w:hAnsi="Arial"/>
                <w:sz w:val="20"/>
                <w:szCs w:val="20"/>
                <w:color w:val="auto"/>
              </w:rPr>
              <w:t>2027</w:t>
            </w:r>
          </w:p>
        </w:tc>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7,187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20"/>
                <w:szCs w:val="20"/>
                <w:b w:val="1"/>
                <w:bCs w:val="1"/>
                <w:color w:val="auto"/>
              </w:rPr>
              <w:t>9,968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b w:val="1"/>
                <w:bCs w:val="1"/>
                <w:color w:val="auto"/>
              </w:rPr>
              <w:t>17,155</w:t>
            </w:r>
          </w:p>
        </w:tc>
      </w:tr>
      <w:tr>
        <w:trPr>
          <w:trHeight w:val="292"/>
        </w:trPr>
        <w:tc>
          <w:tcPr>
            <w:tcW w:w="1780" w:type="dxa"/>
            <w:vAlign w:val="bottom"/>
            <w:gridSpan w:val="2"/>
            <w:shd w:val="clear" w:color="auto" w:fill="D2EEF5"/>
          </w:tcPr>
          <w:p>
            <w:pPr>
              <w:ind w:left="40"/>
              <w:spacing w:after="0"/>
              <w:rPr>
                <w:sz w:val="20"/>
                <w:szCs w:val="20"/>
                <w:color w:val="auto"/>
              </w:rPr>
            </w:pPr>
            <w:r>
              <w:rPr>
                <w:rFonts w:ascii="Arial" w:cs="Arial" w:eastAsia="Arial" w:hAnsi="Arial"/>
                <w:sz w:val="20"/>
                <w:szCs w:val="20"/>
                <w:color w:val="auto"/>
              </w:rPr>
              <w:t>2028</w:t>
            </w:r>
          </w:p>
        </w:tc>
        <w:tc>
          <w:tcPr>
            <w:tcW w:w="37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1240" w:type="dxa"/>
            <w:vAlign w:val="bottom"/>
            <w:gridSpan w:val="3"/>
            <w:shd w:val="clear" w:color="auto" w:fill="D2EEF5"/>
          </w:tcPr>
          <w:p>
            <w:pPr>
              <w:jc w:val="right"/>
              <w:ind w:right="100"/>
              <w:spacing w:after="0"/>
              <w:rPr>
                <w:sz w:val="20"/>
                <w:szCs w:val="20"/>
                <w:color w:val="auto"/>
              </w:rPr>
            </w:pPr>
            <w:r>
              <w:rPr>
                <w:rFonts w:ascii="Arial" w:cs="Arial" w:eastAsia="Arial" w:hAnsi="Arial"/>
                <w:sz w:val="20"/>
                <w:szCs w:val="20"/>
                <w:b w:val="1"/>
                <w:bCs w:val="1"/>
                <w:color w:val="auto"/>
              </w:rPr>
              <w:t>5,760</w:t>
            </w:r>
          </w:p>
        </w:tc>
        <w:tc>
          <w:tcPr>
            <w:tcW w:w="120" w:type="dxa"/>
            <w:vAlign w:val="bottom"/>
            <w:shd w:val="clear" w:color="auto" w:fill="D2EEF5"/>
          </w:tcPr>
          <w:p>
            <w:pPr>
              <w:spacing w:after="0"/>
              <w:rPr>
                <w:sz w:val="24"/>
                <w:szCs w:val="24"/>
                <w:color w:val="auto"/>
              </w:rPr>
            </w:pPr>
          </w:p>
        </w:tc>
        <w:tc>
          <w:tcPr>
            <w:tcW w:w="4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760" w:type="dxa"/>
            <w:vAlign w:val="bottom"/>
            <w:gridSpan w:val="3"/>
            <w:shd w:val="clear" w:color="auto" w:fill="D2EEF5"/>
          </w:tcPr>
          <w:p>
            <w:pPr>
              <w:jc w:val="right"/>
              <w:spacing w:after="0"/>
              <w:rPr>
                <w:sz w:val="20"/>
                <w:szCs w:val="20"/>
                <w:color w:val="auto"/>
              </w:rPr>
            </w:pPr>
            <w:r>
              <w:rPr>
                <w:rFonts w:ascii="Arial" w:cs="Arial" w:eastAsia="Arial" w:hAnsi="Arial"/>
                <w:sz w:val="20"/>
                <w:szCs w:val="20"/>
                <w:b w:val="1"/>
                <w:bCs w:val="1"/>
                <w:color w:val="auto"/>
              </w:rPr>
              <w:t>10,263</w:t>
            </w:r>
          </w:p>
        </w:tc>
        <w:tc>
          <w:tcPr>
            <w:tcW w:w="1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16,023</w:t>
            </w:r>
          </w:p>
        </w:tc>
      </w:tr>
      <w:tr>
        <w:trPr>
          <w:trHeight w:val="278"/>
        </w:trPr>
        <w:tc>
          <w:tcPr>
            <w:tcW w:w="1780" w:type="dxa"/>
            <w:vAlign w:val="bottom"/>
            <w:gridSpan w:val="2"/>
          </w:tcPr>
          <w:p>
            <w:pPr>
              <w:ind w:left="40"/>
              <w:spacing w:after="0"/>
              <w:rPr>
                <w:sz w:val="20"/>
                <w:szCs w:val="20"/>
                <w:color w:val="auto"/>
              </w:rPr>
            </w:pPr>
            <w:r>
              <w:rPr>
                <w:rFonts w:ascii="Arial" w:cs="Arial" w:eastAsia="Arial" w:hAnsi="Arial"/>
                <w:sz w:val="20"/>
                <w:szCs w:val="20"/>
                <w:color w:val="auto"/>
              </w:rPr>
              <w:t>2029</w:t>
            </w:r>
          </w:p>
        </w:tc>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4,717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20"/>
                <w:szCs w:val="20"/>
                <w:b w:val="1"/>
                <w:bCs w:val="1"/>
                <w:color w:val="auto"/>
              </w:rPr>
              <w:t>9,933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b w:val="1"/>
                <w:bCs w:val="1"/>
                <w:color w:val="auto"/>
              </w:rPr>
              <w:t>14,650</w:t>
            </w:r>
          </w:p>
        </w:tc>
      </w:tr>
      <w:tr>
        <w:trPr>
          <w:trHeight w:val="291"/>
        </w:trPr>
        <w:tc>
          <w:tcPr>
            <w:tcW w:w="1780" w:type="dxa"/>
            <w:vAlign w:val="bottom"/>
            <w:gridSpan w:val="2"/>
            <w:shd w:val="clear" w:color="auto" w:fill="D2EEF5"/>
          </w:tcPr>
          <w:p>
            <w:pPr>
              <w:ind w:left="40"/>
              <w:spacing w:after="0"/>
              <w:rPr>
                <w:sz w:val="20"/>
                <w:szCs w:val="20"/>
                <w:color w:val="auto"/>
              </w:rPr>
            </w:pPr>
            <w:r>
              <w:rPr>
                <w:rFonts w:ascii="Arial" w:cs="Arial" w:eastAsia="Arial" w:hAnsi="Arial"/>
                <w:sz w:val="20"/>
                <w:szCs w:val="20"/>
                <w:color w:val="auto"/>
              </w:rPr>
              <w:t>2030</w:t>
            </w:r>
          </w:p>
        </w:tc>
        <w:tc>
          <w:tcPr>
            <w:tcW w:w="374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1240" w:type="dxa"/>
            <w:vAlign w:val="bottom"/>
            <w:gridSpan w:val="3"/>
            <w:shd w:val="clear" w:color="auto" w:fill="D2EEF5"/>
          </w:tcPr>
          <w:p>
            <w:pPr>
              <w:jc w:val="right"/>
              <w:ind w:right="100"/>
              <w:spacing w:after="0"/>
              <w:rPr>
                <w:sz w:val="20"/>
                <w:szCs w:val="20"/>
                <w:color w:val="auto"/>
              </w:rPr>
            </w:pPr>
            <w:r>
              <w:rPr>
                <w:rFonts w:ascii="Arial" w:cs="Arial" w:eastAsia="Arial" w:hAnsi="Arial"/>
                <w:sz w:val="20"/>
                <w:szCs w:val="20"/>
                <w:b w:val="1"/>
                <w:bCs w:val="1"/>
                <w:color w:val="auto"/>
              </w:rPr>
              <w:t>3,767</w:t>
            </w:r>
          </w:p>
        </w:tc>
        <w:tc>
          <w:tcPr>
            <w:tcW w:w="120" w:type="dxa"/>
            <w:vAlign w:val="bottom"/>
            <w:shd w:val="clear" w:color="auto" w:fill="D2EEF5"/>
          </w:tcPr>
          <w:p>
            <w:pPr>
              <w:spacing w:after="0"/>
              <w:rPr>
                <w:sz w:val="24"/>
                <w:szCs w:val="24"/>
                <w:color w:val="auto"/>
              </w:rPr>
            </w:pPr>
          </w:p>
        </w:tc>
        <w:tc>
          <w:tcPr>
            <w:tcW w:w="4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760" w:type="dxa"/>
            <w:vAlign w:val="bottom"/>
            <w:gridSpan w:val="3"/>
            <w:shd w:val="clear" w:color="auto" w:fill="D2EEF5"/>
          </w:tcPr>
          <w:p>
            <w:pPr>
              <w:jc w:val="right"/>
              <w:spacing w:after="0"/>
              <w:rPr>
                <w:sz w:val="20"/>
                <w:szCs w:val="20"/>
                <w:color w:val="auto"/>
              </w:rPr>
            </w:pPr>
            <w:r>
              <w:rPr>
                <w:rFonts w:ascii="Arial" w:cs="Arial" w:eastAsia="Arial" w:hAnsi="Arial"/>
                <w:sz w:val="20"/>
                <w:szCs w:val="20"/>
                <w:b w:val="1"/>
                <w:bCs w:val="1"/>
                <w:color w:val="auto"/>
              </w:rPr>
              <w:t>9,634</w:t>
            </w:r>
          </w:p>
        </w:tc>
        <w:tc>
          <w:tcPr>
            <w:tcW w:w="1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4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13,401</w:t>
            </w:r>
          </w:p>
        </w:tc>
      </w:tr>
      <w:tr>
        <w:trPr>
          <w:trHeight w:val="275"/>
        </w:trPr>
        <w:tc>
          <w:tcPr>
            <w:tcW w:w="40" w:type="dxa"/>
            <w:vAlign w:val="bottom"/>
            <w:tcBorders>
              <w:bottom w:val="single" w:sz="8" w:color="D2EEF5"/>
            </w:tcBorders>
          </w:tcPr>
          <w:p>
            <w:pPr>
              <w:spacing w:after="0"/>
              <w:rPr>
                <w:sz w:val="23"/>
                <w:szCs w:val="23"/>
                <w:color w:val="auto"/>
              </w:rPr>
            </w:pPr>
          </w:p>
        </w:tc>
        <w:tc>
          <w:tcPr>
            <w:tcW w:w="5480" w:type="dxa"/>
            <w:vAlign w:val="bottom"/>
            <w:tcBorders>
              <w:bottom w:val="single" w:sz="8" w:color="D2EEF5"/>
            </w:tcBorders>
            <w:gridSpan w:val="2"/>
          </w:tcPr>
          <w:p>
            <w:pPr>
              <w:spacing w:after="0"/>
              <w:rPr>
                <w:sz w:val="20"/>
                <w:szCs w:val="20"/>
                <w:color w:val="auto"/>
              </w:rPr>
            </w:pPr>
            <w:r>
              <w:rPr>
                <w:rFonts w:ascii="Arial" w:cs="Arial" w:eastAsia="Arial" w:hAnsi="Arial"/>
                <w:sz w:val="20"/>
                <w:szCs w:val="20"/>
                <w:color w:val="auto"/>
              </w:rPr>
              <w:t>2031 and Thereafter</w:t>
            </w: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0"/>
                <w:szCs w:val="20"/>
                <w:b w:val="1"/>
                <w:bCs w:val="1"/>
                <w:color w:val="auto"/>
              </w:rPr>
              <w:t>22,069</w:t>
            </w:r>
          </w:p>
        </w:tc>
        <w:tc>
          <w:tcPr>
            <w:tcW w:w="120" w:type="dxa"/>
            <w:vAlign w:val="bottom"/>
            <w:tcBorders>
              <w:bottom w:val="single" w:sz="8" w:color="D2EEF5"/>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w w:val="88"/>
              </w:rPr>
              <w:t>108,811</w:t>
            </w:r>
          </w:p>
        </w:tc>
        <w:tc>
          <w:tcPr>
            <w:tcW w:w="1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130,880</w:t>
            </w:r>
          </w:p>
        </w:tc>
      </w:tr>
      <w:tr>
        <w:trPr>
          <w:trHeight w:val="275"/>
        </w:trPr>
        <w:tc>
          <w:tcPr>
            <w:tcW w:w="40" w:type="dxa"/>
            <w:vAlign w:val="bottom"/>
            <w:shd w:val="clear" w:color="auto" w:fill="D2EEF5"/>
          </w:tcPr>
          <w:p>
            <w:pPr>
              <w:spacing w:after="0"/>
              <w:rPr>
                <w:sz w:val="23"/>
                <w:szCs w:val="23"/>
                <w:color w:val="auto"/>
              </w:rPr>
            </w:pPr>
          </w:p>
        </w:tc>
        <w:tc>
          <w:tcPr>
            <w:tcW w:w="552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Total lease payments</w:t>
            </w:r>
          </w:p>
        </w:tc>
        <w:tc>
          <w:tcPr>
            <w:tcW w:w="220" w:type="dxa"/>
            <w:vAlign w:val="bottom"/>
            <w:shd w:val="clear" w:color="auto" w:fill="D2EEF5"/>
          </w:tcPr>
          <w:p>
            <w:pPr>
              <w:spacing w:after="0"/>
              <w:rPr>
                <w:sz w:val="23"/>
                <w:szCs w:val="23"/>
                <w:color w:val="auto"/>
              </w:rPr>
            </w:pPr>
          </w:p>
        </w:tc>
        <w:tc>
          <w:tcPr>
            <w:tcW w:w="1240" w:type="dxa"/>
            <w:vAlign w:val="bottom"/>
            <w:gridSpan w:val="3"/>
            <w:shd w:val="clear" w:color="auto" w:fill="D2EEF5"/>
          </w:tcPr>
          <w:p>
            <w:pPr>
              <w:jc w:val="right"/>
              <w:ind w:right="100"/>
              <w:spacing w:after="0"/>
              <w:rPr>
                <w:sz w:val="20"/>
                <w:szCs w:val="20"/>
                <w:color w:val="auto"/>
              </w:rPr>
            </w:pPr>
            <w:r>
              <w:rPr>
                <w:rFonts w:ascii="Arial" w:cs="Arial" w:eastAsia="Arial" w:hAnsi="Arial"/>
                <w:sz w:val="20"/>
                <w:szCs w:val="20"/>
                <w:b w:val="1"/>
                <w:bCs w:val="1"/>
                <w:color w:val="auto"/>
              </w:rPr>
              <w:t>51,634</w:t>
            </w:r>
          </w:p>
        </w:tc>
        <w:tc>
          <w:tcPr>
            <w:tcW w:w="120" w:type="dxa"/>
            <w:vAlign w:val="bottom"/>
            <w:shd w:val="clear" w:color="auto" w:fill="D2EEF5"/>
          </w:tcPr>
          <w:p>
            <w:pPr>
              <w:spacing w:after="0"/>
              <w:rPr>
                <w:sz w:val="23"/>
                <w:szCs w:val="23"/>
                <w:color w:val="auto"/>
              </w:rPr>
            </w:pPr>
          </w:p>
        </w:tc>
        <w:tc>
          <w:tcPr>
            <w:tcW w:w="440" w:type="dxa"/>
            <w:vAlign w:val="bottom"/>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760" w:type="dxa"/>
            <w:vAlign w:val="bottom"/>
            <w:gridSpan w:val="3"/>
            <w:shd w:val="clear" w:color="auto" w:fill="D2EEF5"/>
          </w:tcPr>
          <w:p>
            <w:pPr>
              <w:jc w:val="right"/>
              <w:spacing w:after="0"/>
              <w:rPr>
                <w:sz w:val="20"/>
                <w:szCs w:val="20"/>
                <w:color w:val="auto"/>
              </w:rPr>
            </w:pPr>
            <w:r>
              <w:rPr>
                <w:rFonts w:ascii="Arial" w:cs="Arial" w:eastAsia="Arial" w:hAnsi="Arial"/>
                <w:sz w:val="20"/>
                <w:szCs w:val="20"/>
                <w:b w:val="1"/>
                <w:bCs w:val="1"/>
                <w:color w:val="auto"/>
                <w:w w:val="88"/>
              </w:rPr>
              <w:t>158,298</w:t>
            </w: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209,932</w:t>
            </w:r>
          </w:p>
        </w:tc>
      </w:tr>
      <w:tr>
        <w:trPr>
          <w:trHeight w:val="275"/>
        </w:trPr>
        <w:tc>
          <w:tcPr>
            <w:tcW w:w="40" w:type="dxa"/>
            <w:vAlign w:val="bottom"/>
            <w:tcBorders>
              <w:bottom w:val="single" w:sz="8" w:color="D2EEF5"/>
            </w:tcBorders>
          </w:tcPr>
          <w:p>
            <w:pPr>
              <w:spacing w:after="0"/>
              <w:rPr>
                <w:sz w:val="23"/>
                <w:szCs w:val="23"/>
                <w:color w:val="auto"/>
              </w:rPr>
            </w:pPr>
          </w:p>
        </w:tc>
        <w:tc>
          <w:tcPr>
            <w:tcW w:w="5480" w:type="dxa"/>
            <w:vAlign w:val="bottom"/>
            <w:tcBorders>
              <w:bottom w:val="single" w:sz="8" w:color="D2EEF5"/>
            </w:tcBorders>
            <w:gridSpan w:val="2"/>
          </w:tcPr>
          <w:p>
            <w:pPr>
              <w:ind w:left="960"/>
              <w:spacing w:after="0"/>
              <w:rPr>
                <w:sz w:val="20"/>
                <w:szCs w:val="20"/>
                <w:color w:val="auto"/>
              </w:rPr>
            </w:pPr>
            <w:r>
              <w:rPr>
                <w:rFonts w:ascii="Arial" w:cs="Arial" w:eastAsia="Arial" w:hAnsi="Arial"/>
                <w:sz w:val="20"/>
                <w:szCs w:val="20"/>
                <w:color w:val="auto"/>
              </w:rPr>
              <w:t>Less imputed interest</w:t>
            </w: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(15,978)</w:t>
            </w:r>
          </w:p>
        </w:tc>
        <w:tc>
          <w:tcPr>
            <w:tcW w:w="120" w:type="dxa"/>
            <w:vAlign w:val="bottom"/>
            <w:tcBorders>
              <w:bottom w:val="single" w:sz="8" w:color="D2EEF5"/>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w w:val="96"/>
              </w:rPr>
              <w:t>(60,998)</w:t>
            </w:r>
          </w:p>
        </w:tc>
        <w:tc>
          <w:tcPr>
            <w:tcW w:w="120" w:type="dxa"/>
            <w:vAlign w:val="bottom"/>
            <w:tcBorders>
              <w:bottom w:val="single" w:sz="8" w:color="D2EEF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(76,976)</w:t>
            </w:r>
          </w:p>
        </w:tc>
      </w:tr>
      <w:tr>
        <w:trPr>
          <w:trHeight w:val="265"/>
        </w:trPr>
        <w:tc>
          <w:tcPr>
            <w:tcW w:w="40" w:type="dxa"/>
            <w:vAlign w:val="bottom"/>
            <w:shd w:val="clear" w:color="auto" w:fill="D2EEF5"/>
          </w:tcPr>
          <w:p>
            <w:pPr>
              <w:spacing w:after="0"/>
              <w:rPr>
                <w:sz w:val="23"/>
                <w:szCs w:val="23"/>
                <w:color w:val="auto"/>
              </w:rPr>
            </w:pPr>
          </w:p>
        </w:tc>
        <w:tc>
          <w:tcPr>
            <w:tcW w:w="5520" w:type="dxa"/>
            <w:vAlign w:val="bottom"/>
            <w:gridSpan w:val="3"/>
            <w:shd w:val="clear" w:color="auto" w:fill="D2EEF5"/>
          </w:tcPr>
          <w:p>
            <w:pPr>
              <w:ind w:left="480"/>
              <w:spacing w:after="0"/>
              <w:rPr>
                <w:sz w:val="20"/>
                <w:szCs w:val="20"/>
                <w:color w:val="auto"/>
              </w:rPr>
            </w:pPr>
            <w:r>
              <w:rPr>
                <w:rFonts w:ascii="Arial" w:cs="Arial" w:eastAsia="Arial" w:hAnsi="Arial"/>
                <w:sz w:val="20"/>
                <w:szCs w:val="20"/>
                <w:color w:val="auto"/>
              </w:rPr>
              <w:t>Total lease liabilities</w:t>
            </w:r>
          </w:p>
        </w:tc>
        <w:tc>
          <w:tcPr>
            <w:tcW w:w="220" w:type="dxa"/>
            <w:vAlign w:val="bottom"/>
            <w:shd w:val="clear" w:color="auto" w:fill="D2EEF5"/>
          </w:tcPr>
          <w:p>
            <w:pPr>
              <w:jc w:val="right"/>
              <w:ind w:right="20"/>
              <w:spacing w:after="0"/>
              <w:rPr>
                <w:sz w:val="20"/>
                <w:szCs w:val="20"/>
                <w:color w:val="auto"/>
              </w:rPr>
            </w:pPr>
            <w:r>
              <w:rPr>
                <w:rFonts w:ascii="Arial" w:cs="Arial" w:eastAsia="Arial" w:hAnsi="Arial"/>
                <w:sz w:val="20"/>
                <w:szCs w:val="20"/>
                <w:b w:val="1"/>
                <w:bCs w:val="1"/>
                <w:color w:val="auto"/>
                <w:w w:val="71"/>
              </w:rPr>
              <w:t>$</w:t>
            </w:r>
          </w:p>
        </w:tc>
        <w:tc>
          <w:tcPr>
            <w:tcW w:w="1240" w:type="dxa"/>
            <w:vAlign w:val="bottom"/>
            <w:gridSpan w:val="3"/>
            <w:shd w:val="clear" w:color="auto" w:fill="D2EEF5"/>
          </w:tcPr>
          <w:p>
            <w:pPr>
              <w:jc w:val="right"/>
              <w:ind w:right="100"/>
              <w:spacing w:after="0"/>
              <w:rPr>
                <w:sz w:val="20"/>
                <w:szCs w:val="20"/>
                <w:color w:val="auto"/>
              </w:rPr>
            </w:pPr>
            <w:r>
              <w:rPr>
                <w:rFonts w:ascii="Arial" w:cs="Arial" w:eastAsia="Arial" w:hAnsi="Arial"/>
                <w:sz w:val="20"/>
                <w:szCs w:val="20"/>
                <w:b w:val="1"/>
                <w:bCs w:val="1"/>
                <w:color w:val="auto"/>
              </w:rPr>
              <w:t>35,656</w:t>
            </w:r>
          </w:p>
        </w:tc>
        <w:tc>
          <w:tcPr>
            <w:tcW w:w="120" w:type="dxa"/>
            <w:vAlign w:val="bottom"/>
            <w:shd w:val="clear" w:color="auto" w:fill="D2EEF5"/>
          </w:tcPr>
          <w:p>
            <w:pPr>
              <w:spacing w:after="0"/>
              <w:rPr>
                <w:sz w:val="23"/>
                <w:szCs w:val="23"/>
                <w:color w:val="auto"/>
              </w:rPr>
            </w:pPr>
          </w:p>
        </w:tc>
        <w:tc>
          <w:tcPr>
            <w:tcW w:w="440" w:type="dxa"/>
            <w:vAlign w:val="bottom"/>
            <w:shd w:val="clear" w:color="auto" w:fill="D2EEF5"/>
          </w:tcPr>
          <w:p>
            <w:pPr>
              <w:jc w:val="right"/>
              <w:ind w:right="203"/>
              <w:spacing w:after="0"/>
              <w:rPr>
                <w:sz w:val="20"/>
                <w:szCs w:val="20"/>
                <w:color w:val="auto"/>
              </w:rPr>
            </w:pPr>
            <w:r>
              <w:rPr>
                <w:rFonts w:ascii="Arial" w:cs="Arial" w:eastAsia="Arial" w:hAnsi="Arial"/>
                <w:sz w:val="20"/>
                <w:szCs w:val="20"/>
                <w:b w:val="1"/>
                <w:bCs w:val="1"/>
                <w:color w:val="auto"/>
              </w:rPr>
              <w:t>$</w:t>
            </w: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spacing w:after="0"/>
              <w:rPr>
                <w:sz w:val="23"/>
                <w:szCs w:val="23"/>
                <w:color w:val="auto"/>
              </w:rPr>
            </w:pPr>
          </w:p>
        </w:tc>
        <w:tc>
          <w:tcPr>
            <w:tcW w:w="760" w:type="dxa"/>
            <w:vAlign w:val="bottom"/>
            <w:gridSpan w:val="3"/>
            <w:shd w:val="clear" w:color="auto" w:fill="D2EEF5"/>
          </w:tcPr>
          <w:p>
            <w:pPr>
              <w:jc w:val="right"/>
              <w:spacing w:after="0"/>
              <w:rPr>
                <w:sz w:val="20"/>
                <w:szCs w:val="20"/>
                <w:color w:val="auto"/>
              </w:rPr>
            </w:pPr>
            <w:r>
              <w:rPr>
                <w:rFonts w:ascii="Arial" w:cs="Arial" w:eastAsia="Arial" w:hAnsi="Arial"/>
                <w:sz w:val="20"/>
                <w:szCs w:val="20"/>
                <w:b w:val="1"/>
                <w:bCs w:val="1"/>
                <w:color w:val="auto"/>
              </w:rPr>
              <w:t>97,300</w:t>
            </w:r>
          </w:p>
        </w:tc>
        <w:tc>
          <w:tcPr>
            <w:tcW w:w="120" w:type="dxa"/>
            <w:vAlign w:val="bottom"/>
            <w:shd w:val="clear" w:color="auto" w:fill="D2EEF5"/>
          </w:tcPr>
          <w:p>
            <w:pPr>
              <w:spacing w:after="0"/>
              <w:rPr>
                <w:sz w:val="23"/>
                <w:szCs w:val="23"/>
                <w:color w:val="auto"/>
              </w:rPr>
            </w:pPr>
          </w:p>
        </w:tc>
        <w:tc>
          <w:tcPr>
            <w:tcW w:w="18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shd w:val="clear" w:color="auto" w:fill="D2EEF5"/>
          </w:tcPr>
          <w:p>
            <w:pPr>
              <w:spacing w:after="0"/>
              <w:rPr>
                <w:sz w:val="23"/>
                <w:szCs w:val="23"/>
                <w:color w:val="auto"/>
              </w:rPr>
            </w:pPr>
          </w:p>
        </w:tc>
        <w:tc>
          <w:tcPr>
            <w:tcW w:w="4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160" w:type="dxa"/>
            <w:vAlign w:val="bottom"/>
            <w:shd w:val="clear" w:color="auto" w:fill="D2EEF5"/>
          </w:tcPr>
          <w:p>
            <w:pPr>
              <w:spacing w:after="0"/>
              <w:rPr>
                <w:sz w:val="23"/>
                <w:szCs w:val="23"/>
                <w:color w:val="auto"/>
              </w:rPr>
            </w:pPr>
          </w:p>
        </w:tc>
        <w:tc>
          <w:tcPr>
            <w:tcW w:w="940" w:type="dxa"/>
            <w:vAlign w:val="bottom"/>
            <w:shd w:val="clear" w:color="auto" w:fill="D2EEF5"/>
          </w:tcPr>
          <w:p>
            <w:pPr>
              <w:jc w:val="right"/>
              <w:ind w:right="1"/>
              <w:spacing w:after="0"/>
              <w:rPr>
                <w:sz w:val="20"/>
                <w:szCs w:val="20"/>
                <w:color w:val="auto"/>
              </w:rPr>
            </w:pPr>
            <w:r>
              <w:rPr>
                <w:rFonts w:ascii="Arial" w:cs="Arial" w:eastAsia="Arial" w:hAnsi="Arial"/>
                <w:sz w:val="20"/>
                <w:szCs w:val="20"/>
                <w:b w:val="1"/>
                <w:bCs w:val="1"/>
                <w:color w:val="auto"/>
              </w:rPr>
              <w:t>132,956</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tcBorders>
          </w:tcPr>
          <w:p>
            <w:pPr>
              <w:spacing w:after="0" w:line="20" w:lineRule="exact"/>
              <w:rPr>
                <w:sz w:val="1"/>
                <w:szCs w:val="1"/>
                <w:color w:val="auto"/>
              </w:rPr>
            </w:pPr>
          </w:p>
        </w:tc>
        <w:tc>
          <w:tcPr>
            <w:tcW w:w="3740" w:type="dxa"/>
            <w:vAlign w:val="bottom"/>
            <w:tcBorders>
              <w:top w:val="single" w:sz="8" w:color="D2EEF5"/>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-43815</wp:posOffset>
            </wp:positionV>
            <wp:extent cx="3035300"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7">
                      <a:extLst>
                        <a:ext uri="{28A0092B-C50C-407E-A947-70E740481C1C}"/>
                      </a:extLst>
                    </a:blip>
                    <a:srcRect/>
                    <a:stretch>
                      <a:fillRect/>
                    </a:stretch>
                  </pic:blipFill>
                  <pic:spPr bwMode="auto">
                    <a:xfrm>
                      <a:off x="0" y="0"/>
                      <a:ext cx="3035300" cy="5080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Asset Retirement Obligations (“ARO”)</w:t>
      </w:r>
    </w:p>
    <w:p>
      <w:pPr>
        <w:spacing w:after="0" w:line="137"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Our ARO represent the present value of future remediation costs. The associated asset retirement costs are also capitalized as part of the carrying amounts of the related long-lived assets in property, plant and equipment in the Consolidated Balance Sheets. The capitalized future site remediation costs are depreciated and the ARO are accreted over the life of the related assets. These amounts are included in depreciation and amortization expense, respectively, within cost of revenues in the Consolidated Statements of Operations and Comprehensive Income (Loss).</w:t>
      </w:r>
    </w:p>
    <w:p>
      <w:pPr>
        <w:sectPr>
          <w:pgSz w:w="11880" w:h="15480" w:orient="portrait"/>
          <w:cols w:equalWidth="0" w:num="1">
            <w:col w:w="10260"/>
          </w:cols>
          <w:pgMar w:left="820" w:top="422"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10260"/>
          </w:cols>
          <w:pgMar w:left="820" w:top="422" w:right="800" w:bottom="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The fair value of the ARO is determined based on estimates requiring management judgment.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w:t>
      </w:r>
    </w:p>
    <w:p>
      <w:pPr>
        <w:spacing w:after="0" w:line="149" w:lineRule="exact"/>
        <w:rPr>
          <w:sz w:val="20"/>
          <w:szCs w:val="20"/>
          <w:color w:val="auto"/>
        </w:rPr>
      </w:pPr>
    </w:p>
    <w:p>
      <w:pPr>
        <w:ind w:right="60"/>
        <w:spacing w:after="0" w:line="283" w:lineRule="auto"/>
        <w:rPr>
          <w:sz w:val="20"/>
          <w:szCs w:val="20"/>
          <w:color w:val="auto"/>
        </w:rPr>
      </w:pPr>
      <w:r>
        <w:rPr>
          <w:rFonts w:ascii="Arial" w:cs="Arial" w:eastAsia="Arial" w:hAnsi="Arial"/>
          <w:sz w:val="20"/>
          <w:szCs w:val="20"/>
          <w:color w:val="auto"/>
        </w:rPr>
        <w:t>Each year, we review decommissioning costs and consider changes in marketplace rates. The following table describes changes to our ARO liability during the years presented: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6"/>
                <w:szCs w:val="16"/>
                <w:b w:val="1"/>
                <w:bCs w:val="1"/>
                <w:color w:val="auto"/>
              </w:rPr>
              <w:t>For the years ended December 31,</w:t>
            </w:r>
          </w:p>
        </w:tc>
        <w:tc>
          <w:tcPr>
            <w:tcW w:w="280" w:type="dxa"/>
            <w:vAlign w:val="bottom"/>
          </w:tcPr>
          <w:p>
            <w:pPr>
              <w:spacing w:after="0"/>
              <w:rPr>
                <w:sz w:val="19"/>
                <w:szCs w:val="19"/>
                <w:color w:val="auto"/>
              </w:rPr>
            </w:pPr>
          </w:p>
        </w:tc>
        <w:tc>
          <w:tcPr>
            <w:tcW w:w="920" w:type="dxa"/>
            <w:vAlign w:val="bottom"/>
          </w:tcPr>
          <w:p>
            <w:pPr>
              <w:jc w:val="right"/>
              <w:ind w:right="34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3"/>
              <w:spacing w:after="0"/>
              <w:rPr>
                <w:sz w:val="20"/>
                <w:szCs w:val="20"/>
                <w:color w:val="auto"/>
              </w:rPr>
            </w:pPr>
            <w:r>
              <w:rPr>
                <w:rFonts w:ascii="Arial" w:cs="Arial" w:eastAsia="Arial" w:hAnsi="Arial"/>
                <w:sz w:val="16"/>
                <w:szCs w:val="16"/>
                <w:b w:val="1"/>
                <w:bCs w:val="1"/>
                <w:color w:val="auto"/>
              </w:rPr>
              <w:t>2024</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580" w:type="dxa"/>
            <w:vAlign w:val="bottom"/>
            <w:tcBorders>
              <w:top w:val="single" w:sz="8" w:color="auto"/>
              <w:bottom w:val="single" w:sz="8" w:color="D2EEF5"/>
            </w:tcBorders>
          </w:tcPr>
          <w:p>
            <w:pPr>
              <w:spacing w:after="0" w:line="20" w:lineRule="exact"/>
              <w:rPr>
                <w:sz w:val="1"/>
                <w:szCs w:val="1"/>
                <w:color w:val="auto"/>
              </w:rPr>
            </w:pPr>
          </w:p>
        </w:tc>
        <w:tc>
          <w:tcPr>
            <w:tcW w:w="538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ARO – beginning of period</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49,319</w:t>
            </w:r>
          </w:p>
        </w:tc>
        <w:tc>
          <w:tcPr>
            <w:tcW w:w="400" w:type="dxa"/>
            <w:vAlign w:val="bottom"/>
            <w:gridSpan w:val="2"/>
            <w:shd w:val="clear" w:color="auto" w:fill="D2EEF5"/>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47,944</w:t>
            </w: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Changes in estimates</w:t>
            </w: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Arial" w:cs="Arial" w:eastAsia="Arial" w:hAnsi="Arial"/>
                <w:sz w:val="20"/>
                <w:szCs w:val="20"/>
                <w:b w:val="1"/>
                <w:bCs w:val="1"/>
                <w:color w:val="auto"/>
              </w:rPr>
              <w:t>191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Arial" w:cs="Arial" w:eastAsia="Arial" w:hAnsi="Arial"/>
                <w:sz w:val="20"/>
                <w:szCs w:val="20"/>
                <w:color w:val="auto"/>
              </w:rPr>
              <w:t>1,240</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Accretion expense</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2,321</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2,638</w:t>
            </w:r>
          </w:p>
        </w:tc>
      </w:tr>
      <w:tr>
        <w:trPr>
          <w:trHeight w:val="275"/>
        </w:trPr>
        <w:tc>
          <w:tcPr>
            <w:tcW w:w="40" w:type="dxa"/>
            <w:vAlign w:val="bottom"/>
            <w:tcBorders>
              <w:bottom w:val="single" w:sz="8" w:color="D2EEF5"/>
            </w:tcBorders>
          </w:tcPr>
          <w:p>
            <w:pPr>
              <w:spacing w:after="0"/>
              <w:rPr>
                <w:sz w:val="23"/>
                <w:szCs w:val="23"/>
                <w:color w:val="auto"/>
              </w:rPr>
            </w:pPr>
          </w:p>
        </w:tc>
        <w:tc>
          <w:tcPr>
            <w:tcW w:w="770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Foreign currency exchange and other</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1,665</w:t>
            </w:r>
          </w:p>
        </w:tc>
        <w:tc>
          <w:tcPr>
            <w:tcW w:w="1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(2,503)</w:t>
            </w:r>
          </w:p>
        </w:tc>
      </w:tr>
      <w:tr>
        <w:trPr>
          <w:trHeight w:val="270"/>
        </w:trPr>
        <w:tc>
          <w:tcPr>
            <w:tcW w:w="40" w:type="dxa"/>
            <w:vAlign w:val="bottom"/>
            <w:tcBorders>
              <w:bottom w:val="single" w:sz="8" w:color="D2EEF5"/>
            </w:tcBorders>
            <w:shd w:val="clear" w:color="auto" w:fill="D2EEF5"/>
          </w:tcPr>
          <w:p>
            <w:pPr>
              <w:spacing w:after="0"/>
              <w:rPr>
                <w:sz w:val="23"/>
                <w:szCs w:val="23"/>
                <w:color w:val="auto"/>
              </w:rPr>
            </w:pPr>
          </w:p>
        </w:tc>
        <w:tc>
          <w:tcPr>
            <w:tcW w:w="770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b w:val="1"/>
                <w:bCs w:val="1"/>
                <w:color w:val="auto"/>
              </w:rPr>
              <w:t>ARO – end of period</w:t>
            </w:r>
          </w:p>
        </w:tc>
        <w:tc>
          <w:tcPr>
            <w:tcW w:w="280" w:type="dxa"/>
            <w:vAlign w:val="bottom"/>
            <w:tcBorders>
              <w:bottom w:val="single" w:sz="8" w:color="auto"/>
            </w:tcBorders>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53,496</w:t>
            </w:r>
          </w:p>
        </w:tc>
        <w:tc>
          <w:tcPr>
            <w:tcW w:w="120" w:type="dxa"/>
            <w:vAlign w:val="bottom"/>
            <w:tcBorders>
              <w:bottom w:val="single" w:sz="8" w:color="D2EEF5"/>
            </w:tcBorders>
            <w:shd w:val="clear" w:color="auto" w:fill="D2EEF5"/>
          </w:tcPr>
          <w:p>
            <w:pPr>
              <w:spacing w:after="0"/>
              <w:rPr>
                <w:sz w:val="23"/>
                <w:szCs w:val="23"/>
                <w:color w:val="auto"/>
              </w:rPr>
            </w:pPr>
          </w:p>
        </w:tc>
        <w:tc>
          <w:tcPr>
            <w:tcW w:w="280" w:type="dxa"/>
            <w:vAlign w:val="bottom"/>
            <w:tcBorders>
              <w:bottom w:val="single" w:sz="8" w:color="auto"/>
            </w:tcBorders>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tcBorders>
              <w:bottom w:val="single" w:sz="8" w:color="auto"/>
            </w:tcBorders>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49,319</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tcBorders>
          </w:tcPr>
          <w:p>
            <w:pPr>
              <w:spacing w:after="0" w:line="20" w:lineRule="exact"/>
              <w:rPr>
                <w:sz w:val="1"/>
                <w:szCs w:val="1"/>
                <w:color w:val="auto"/>
              </w:rPr>
            </w:pPr>
          </w:p>
        </w:tc>
        <w:tc>
          <w:tcPr>
            <w:tcW w:w="580" w:type="dxa"/>
            <w:vAlign w:val="bottom"/>
            <w:tcBorders>
              <w:top w:val="single" w:sz="8" w:color="D2EEF5"/>
            </w:tcBorders>
          </w:tcPr>
          <w:p>
            <w:pPr>
              <w:spacing w:after="0" w:line="20" w:lineRule="exact"/>
              <w:rPr>
                <w:sz w:val="1"/>
                <w:szCs w:val="1"/>
                <w:color w:val="auto"/>
              </w:rPr>
            </w:pPr>
          </w:p>
        </w:tc>
        <w:tc>
          <w:tcPr>
            <w:tcW w:w="538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D2EEF5"/>
              <w:bottom w:val="single" w:sz="8" w:color="auto"/>
            </w:tcBorders>
          </w:tcPr>
          <w:p>
            <w:pPr>
              <w:spacing w:after="0" w:line="20" w:lineRule="exact"/>
              <w:rPr>
                <w:sz w:val="1"/>
                <w:szCs w:val="1"/>
                <w:color w:val="auto"/>
              </w:rPr>
            </w:pPr>
          </w:p>
        </w:tc>
        <w:tc>
          <w:tcPr>
            <w:tcW w:w="920" w:type="dxa"/>
            <w:vAlign w:val="bottom"/>
            <w:tcBorders>
              <w:top w:val="single" w:sz="8" w:color="D2EEF5"/>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D2EEF5"/>
              <w:bottom w:val="single" w:sz="8" w:color="auto"/>
            </w:tcBorders>
          </w:tcPr>
          <w:p>
            <w:pPr>
              <w:spacing w:after="0" w:line="20" w:lineRule="exact"/>
              <w:rPr>
                <w:sz w:val="1"/>
                <w:szCs w:val="1"/>
                <w:color w:val="auto"/>
              </w:rPr>
            </w:pPr>
          </w:p>
        </w:tc>
        <w:tc>
          <w:tcPr>
            <w:tcW w:w="920" w:type="dxa"/>
            <w:vAlign w:val="bottom"/>
            <w:tcBorders>
              <w:top w:val="single" w:sz="8" w:color="D2EE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-43815</wp:posOffset>
            </wp:positionV>
            <wp:extent cx="1625600"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8">
                      <a:extLst>
                        <a:ext uri="{28A0092B-C50C-407E-A947-70E740481C1C}"/>
                      </a:extLst>
                    </a:blip>
                    <a:srcRect/>
                    <a:stretch>
                      <a:fillRect/>
                    </a:stretch>
                  </pic:blipFill>
                  <pic:spPr bwMode="auto">
                    <a:xfrm>
                      <a:off x="0" y="0"/>
                      <a:ext cx="1625600" cy="50800"/>
                    </a:xfrm>
                    <a:prstGeom prst="rect">
                      <a:avLst/>
                    </a:prstGeom>
                    <a:noFill/>
                  </pic:spPr>
                </pic:pic>
              </a:graphicData>
            </a:graphic>
          </wp:anchor>
        </w:drawing>
      </w:r>
    </w:p>
    <w:p>
      <w:pPr>
        <w:spacing w:after="0" w:line="187" w:lineRule="exact"/>
        <w:rPr>
          <w:sz w:val="20"/>
          <w:szCs w:val="20"/>
          <w:color w:val="auto"/>
        </w:rPr>
      </w:pPr>
    </w:p>
    <w:p>
      <w:pPr>
        <w:jc w:val="both"/>
        <w:ind w:right="20"/>
        <w:spacing w:after="0" w:line="283" w:lineRule="auto"/>
        <w:rPr>
          <w:sz w:val="20"/>
          <w:szCs w:val="20"/>
          <w:color w:val="auto"/>
        </w:rPr>
      </w:pPr>
      <w:r>
        <w:rPr>
          <w:rFonts w:ascii="Arial" w:cs="Arial" w:eastAsia="Arial" w:hAnsi="Arial"/>
          <w:sz w:val="20"/>
          <w:szCs w:val="20"/>
          <w:color w:val="auto"/>
        </w:rPr>
        <w:t>We recorded depreciation expense on the ARO of $0.6 million, $0.4 million and $0.4 million, for the years ended December 31, 2025, 2024, and 2023 respectively.</w:t>
      </w:r>
    </w:p>
    <w:p>
      <w:pPr>
        <w:spacing w:after="0" w:line="138" w:lineRule="exact"/>
        <w:rPr>
          <w:sz w:val="20"/>
          <w:szCs w:val="20"/>
          <w:color w:val="auto"/>
        </w:rPr>
      </w:pPr>
    </w:p>
    <w:p>
      <w:pPr>
        <w:ind w:right="220"/>
        <w:spacing w:after="0" w:line="299" w:lineRule="auto"/>
        <w:rPr>
          <w:sz w:val="20"/>
          <w:szCs w:val="20"/>
          <w:color w:val="auto"/>
        </w:rPr>
      </w:pPr>
      <w:r>
        <w:rPr>
          <w:rFonts w:ascii="Arial" w:cs="Arial" w:eastAsia="Arial" w:hAnsi="Arial"/>
          <w:sz w:val="18"/>
          <w:szCs w:val="18"/>
          <w:color w:val="auto"/>
        </w:rPr>
        <w:t>We are obligated to provide financial assurance to local and state licensing authorities for possible future decommissioning costs associated with the various facilities that hold Co-60. At December 31, 2025 and 2024, $50.3 million and $49.1 million, respectively, of the standby letters of credit referenced above and surety bonds were outstanding in favor of the various local and state licensing authorities in the event we defaulted on our decommissioning obligation.</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Commitments and Contingencies</w:t>
      </w:r>
    </w:p>
    <w:p>
      <w:pPr>
        <w:spacing w:after="0" w:line="217" w:lineRule="exact"/>
        <w:rPr>
          <w:sz w:val="20"/>
          <w:szCs w:val="20"/>
          <w:color w:val="auto"/>
        </w:rPr>
      </w:pPr>
    </w:p>
    <w:p>
      <w:pPr>
        <w:ind w:right="100"/>
        <w:spacing w:after="0" w:line="268" w:lineRule="auto"/>
        <w:rPr>
          <w:sz w:val="20"/>
          <w:szCs w:val="20"/>
          <w:color w:val="auto"/>
        </w:rPr>
      </w:pPr>
      <w:r>
        <w:rPr>
          <w:rFonts w:ascii="Arial" w:cs="Arial" w:eastAsia="Arial" w:hAnsi="Arial"/>
          <w:sz w:val="19"/>
          <w:szCs w:val="19"/>
          <w:color w:val="auto"/>
        </w:rPr>
        <w:t>We depend on a limited number of suppliers and our agreements with these suppliers account for material portions of our supply and direct material costs. These costs include obligations under various supply agreements in our Nordion segment for Co-60 that are enforceable and legally binding on us. As of December 31, 2025, we had minimum purchase commitments primarily with domestic and international suppliers of raw materials for the Nordion business totaling $2,379.5 million, $53.1 million to $72.9 million in each of the next five years. The terms of these long-term supply or service arrangements range from 1 to 39 years. In addition, our Sterigenics segment has obligations to purchase ethylene oxide (“EO”). Our contract to purchase EO in the U.S. requires us to purchase all of our requirements from one supplier, and our contracts to purchase EO outside the U.S. generally require that we purchase a specified percentage of our requirements for our operations in the countries covered by those contracts. We expect to utilize the Co-60 and EO encompassed by these agreements in the normal course of our business and therefore our commitments under these agreements are not recognized on the consolidated balance sheets as a liability.</w:t>
      </w:r>
    </w:p>
    <w:p>
      <w:pPr>
        <w:spacing w:after="0" w:line="156"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From time to time, we may be or are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w:t>
      </w:r>
    </w:p>
    <w:p>
      <w:pPr>
        <w:spacing w:after="0" w:line="162"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w:t>
      </w:r>
    </w:p>
    <w:p>
      <w:pPr>
        <w:sectPr>
          <w:pgSz w:w="11880" w:h="15480" w:orient="portrait"/>
          <w:cols w:equalWidth="0" w:num="1">
            <w:col w:w="10260"/>
          </w:cols>
          <w:pgMar w:left="820" w:top="422" w:right="80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10260"/>
          </w:cols>
          <w:pgMar w:left="820" w:top="422" w:right="800" w:bottom="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spacing w:after="0" w:line="149" w:lineRule="exact"/>
        <w:rPr>
          <w:sz w:val="20"/>
          <w:szCs w:val="20"/>
          <w:color w:val="auto"/>
        </w:rPr>
      </w:pPr>
    </w:p>
    <w:p>
      <w:pPr>
        <w:ind w:right="200"/>
        <w:spacing w:after="0" w:line="283" w:lineRule="auto"/>
        <w:rPr>
          <w:sz w:val="20"/>
          <w:szCs w:val="20"/>
          <w:color w:val="auto"/>
        </w:rPr>
      </w:pPr>
      <w:r>
        <w:rPr>
          <w:rFonts w:ascii="Arial" w:cs="Arial" w:eastAsia="Arial" w:hAnsi="Arial"/>
          <w:sz w:val="20"/>
          <w:szCs w:val="20"/>
          <w:color w:val="auto"/>
        </w:rPr>
        <w:t>The information regarding those lawsuits set forth below, including the number of claims, is as of December 31, 2025, except as otherwise indicated.</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Ethylene Oxide Tort Litigation</w:t>
      </w:r>
    </w:p>
    <w:p>
      <w:pPr>
        <w:spacing w:after="0" w:line="213" w:lineRule="exact"/>
        <w:rPr>
          <w:sz w:val="20"/>
          <w:szCs w:val="20"/>
          <w:color w:val="auto"/>
        </w:rPr>
      </w:pPr>
    </w:p>
    <w:p>
      <w:pPr>
        <w:jc w:val="both"/>
        <w:ind w:right="340"/>
        <w:spacing w:after="0" w:line="309" w:lineRule="auto"/>
        <w:rPr>
          <w:sz w:val="20"/>
          <w:szCs w:val="20"/>
          <w:color w:val="auto"/>
        </w:rPr>
      </w:pPr>
      <w:r>
        <w:rPr>
          <w:rFonts w:ascii="Arial" w:cs="Arial" w:eastAsia="Arial" w:hAnsi="Arial"/>
          <w:sz w:val="18"/>
          <w:szCs w:val="18"/>
          <w:color w:val="auto"/>
        </w:rPr>
        <w:t>Sterigenics U.S., LLC (“Sterigenics”) and other medical supply sterilization companies have been subjected to tort lawsuits alleging various injuries caused by low-level environmental exposure to EO used at or emitted or released from sterilization facilities. Those lawsuits, as detailed further below, are individual claims, as opposed to class actions.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w:t>
      </w:r>
    </w:p>
    <w:p>
      <w:pPr>
        <w:spacing w:after="0" w:line="213"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As of February 20, 2026, subsidiaries of the Company and other parties are defendants in Los Angeles County Superior Court in which the plaintiffs assert approximately 120 claims for personal injury or wrongful death allegedly resulting from use, emissions and releases of EO from Sterigenics’ Vernon facilities (the “Vernon Cases”). The Vernon Cases have been assigned to one judge, with initial trials scheduled for January and April 2027. Eight individual claims have been selected as the “First Plaintiff Group” and are being prioritized for discovery.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Georgia</w:t>
      </w:r>
    </w:p>
    <w:p>
      <w:pPr>
        <w:spacing w:after="0" w:line="213" w:lineRule="exact"/>
        <w:rPr>
          <w:sz w:val="20"/>
          <w:szCs w:val="20"/>
          <w:color w:val="auto"/>
        </w:rPr>
      </w:pPr>
    </w:p>
    <w:p>
      <w:pPr>
        <w:ind w:right="60"/>
        <w:spacing w:after="0" w:line="266" w:lineRule="auto"/>
        <w:rPr>
          <w:sz w:val="20"/>
          <w:szCs w:val="20"/>
          <w:color w:val="auto"/>
        </w:rPr>
      </w:pPr>
      <w:r>
        <w:rPr>
          <w:rFonts w:ascii="Arial" w:cs="Arial" w:eastAsia="Arial" w:hAnsi="Arial"/>
          <w:sz w:val="20"/>
          <w:szCs w:val="20"/>
          <w:color w:val="auto"/>
        </w:rPr>
        <w:t>Subsidiaries of the Company and other parties are defendants in lawsuits in Georgia in which plaintiffs allege personal injuries, wrongful death and property devaluation resulting from use, emissions and releases of EO from or at Sterigenics’ Atlanta facility.</w:t>
      </w:r>
    </w:p>
    <w:p>
      <w:pPr>
        <w:spacing w:after="0" w:line="155"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As of February 20, 2026, approximately 450 personal injury and wrongful death claims pending in the State Court of Cobb County (the “Georgia Trial Court”) are assigned to a single judge (the “Georgia Personal Injury Cases”). The Georgia Personal Injury Cases are governed by case management orders pursuant to which general causation issues in a pool of eight cases are to be adjudicated in Phase 1 and specific causation issues in those pool cases are to be adjudicated in Phase 2; the remaining Georgia Personal Injury Cases, including 15 cases that include both personal injury and property claims and one personal injury lawsuit that is pending before a different judge, are stayed.</w:t>
      </w:r>
    </w:p>
    <w:p>
      <w:pPr>
        <w:spacing w:after="0" w:line="149"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On November 22, 2024, the Georgia Trial Court issued a Phase 1 ruling on general causation issues granting in part and denying in part defendants’ motions to exclude certain Phase 1 expert testimony and defendants’ motions for summary judgment on Phase 1 issues (the “General Causation Ruling”). Plaintiffs and defendants appealed the General Causation Ruling to the Court of Appeals of Georgia (the “Phase 1 General Causation Appeals”).</w:t>
      </w:r>
    </w:p>
    <w:p>
      <w:pPr>
        <w:spacing w:after="0" w:line="160"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While the Phase 1 General Causation Appeals were pending, three of the pool cases selected by plaintiffs’ counsel proceeded to Phase 2 (the “Phase 2 Cases”). On October 17, 2025, the Georgia Trial Court issued its Phase 2 rulings on specific causation issues granting Sterigenics’ motions to exclude three of plaintiffs’ specific causation expert witnesses and granting Sterigenics’ motions for summary judgment in all three Phase 2 Cases (“the “Specific Causation Ruling”). On October 28, 2025, the Georgia Trial Court entered an order also adopting its Specific Causation Ruling with respect to our subsidiary Sotera Health LLC. Plaintiffs in the Phase 2 Cases appealed the Specific Causation Ruling to the Court of Appeals of Georgia (the “Phase 2 Specific Causation Appeals”).</w:t>
      </w:r>
    </w:p>
    <w:p>
      <w:pPr>
        <w:spacing w:after="0" w:line="153"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auto"/>
        </w:rPr>
        <w:t>On October 31, 2025, the Court of Appeals of Georgia ruled on the Phase 1 General Causation Appeals, finding that, as Sterigenics contended on appeal, the General Causation Ruling failed to apply the proper standard for determining the admissibility of expert testimony on general causation, vacating the General Causation Ruling and remanding the pool cases to the Georgia Trial Court with instructions to apply the proper standard in ruling on general causation issues. The Court of Appeals also instructed the Georgia Trial Court to consider whether plaintiffs can prove general causation through</w:t>
      </w:r>
    </w:p>
    <w:p>
      <w:pPr>
        <w:sectPr>
          <w:pgSz w:w="11880" w:h="15480" w:orient="portrait"/>
          <w:cols w:equalWidth="0" w:num="1">
            <w:col w:w="10240"/>
          </w:cols>
          <w:pgMar w:left="820" w:top="42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880" w:h="15480" w:orient="portrait"/>
          <w:cols w:equalWidth="0" w:num="1">
            <w:col w:w="10240"/>
          </w:cols>
          <w:pgMar w:left="820" w:top="422" w:right="820" w:bottom="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right="160"/>
        <w:spacing w:after="0" w:line="310" w:lineRule="auto"/>
        <w:rPr>
          <w:sz w:val="20"/>
          <w:szCs w:val="20"/>
          <w:color w:val="auto"/>
        </w:rPr>
      </w:pPr>
      <w:r>
        <w:rPr>
          <w:rFonts w:ascii="Arial" w:cs="Arial" w:eastAsia="Arial" w:hAnsi="Arial"/>
          <w:sz w:val="19"/>
          <w:szCs w:val="19"/>
          <w:color w:val="auto"/>
        </w:rPr>
        <w:t>epidemiological evidence and background risks of the diseases at issue. The Georgia Trial Court is conducting further Phase 1 proceedings in the five remanded pool cases that are not involved in the Phase 2 Specific Causation Appeals.</w:t>
      </w:r>
    </w:p>
    <w:p>
      <w:pPr>
        <w:spacing w:after="0" w:line="116"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color w:val="auto"/>
        </w:rPr>
        <w:t>Subsidiaries of the Company and other parties are also defendants in a lawsuit filed in May 2020 in which employees of a sterilization customer of Sterigenics allege they were injured while working at the customer’s distribution facility by exposure to residual EO allegedly emanating from products of the customer that had been sterilized by Sterigenics. The case has been transferred from the Georgia Trial Court to the Superior Court of Cobb County and is proceeding on plaintiffs’ Fifth Amended Complaint. Pursuant to the customer’s contract with Sterigenics, the customer is indemnifying Sterigenics against this lawsuit.</w:t>
      </w:r>
    </w:p>
    <w:p>
      <w:pPr>
        <w:spacing w:after="0" w:line="13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As of February 20, 2026, approximately 305 lawsuits have been filed in the Georgia Trial Court against subsidiaries of the Company and other parties in which plaintiffs allege property devaluation resulting from use, emissions and releases of EO from or at Sterigenics’ Atlanta facility. These cases have been consolidated for pretrial purposes (the “Consolidated Property Cases”). Proceedings in a pool of nine of the Consolidated Property Cases are governed by case management orders pursuant to which the parties completed discovery and defendants filed motions to exclude certain plaintiffs’ expert testimony and motions for summary judgment, which remain pending. The remaining cases are stayed.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Illinois</w:t>
      </w:r>
    </w:p>
    <w:p>
      <w:pPr>
        <w:spacing w:after="0" w:line="213"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color w:val="auto"/>
        </w:rPr>
        <w:t>Lawsuits against subsidiaries of the Company and other parties have been filed in the Circuit Court of Cook County, Illinois, by plaintiffs alleging personal injury or wrongful death resulting from use, emissions and releases of EO from Sterigenics’ former Willowbrook facility (the “Willowbrook Cases”). As of February 20, 2026, subsidiaries of the Company and other parties are defendants in one Willowbrook Case in which two plaintiffs are asserting claims for personal injuries.</w:t>
      </w:r>
    </w:p>
    <w:p>
      <w:pPr>
        <w:spacing w:after="0" w:line="129" w:lineRule="exact"/>
        <w:rPr>
          <w:sz w:val="20"/>
          <w:szCs w:val="20"/>
          <w:color w:val="auto"/>
        </w:rPr>
      </w:pPr>
    </w:p>
    <w:p>
      <w:pPr>
        <w:ind w:right="100"/>
        <w:spacing w:after="0" w:line="266" w:lineRule="auto"/>
        <w:rPr>
          <w:sz w:val="20"/>
          <w:szCs w:val="20"/>
          <w:color w:val="auto"/>
        </w:rPr>
      </w:pPr>
      <w:r>
        <w:rPr>
          <w:rFonts w:ascii="Arial" w:cs="Arial" w:eastAsia="Arial" w:hAnsi="Arial"/>
          <w:sz w:val="20"/>
          <w:szCs w:val="20"/>
          <w:color w:val="auto"/>
        </w:rPr>
        <w:t>In April 2025, Sterigenics entered into a binding term sheet to pay $30.9 million to resolve 97 claims, including claimants with pending lawsuits and claimants who asserted claims but had yet to file lawsuits. The settlement was finalized in September 2025.</w:t>
      </w:r>
    </w:p>
    <w:p>
      <w:pPr>
        <w:spacing w:after="0" w:line="155"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In July 2025, Sterigenics entered into a binding term sheet to pay $34.0 million to resolve 129 additional claims, including claimants with pending lawsuits and claimants who asserted claims but had yet to file. The settlement was finalized in February 2026.</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Mexico</w:t>
      </w:r>
    </w:p>
    <w:p>
      <w:pPr>
        <w:spacing w:after="0" w:line="213"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The Company and certain subsidiaries are defendants in a lawsuit filed in the Third Judicial District Court, Doña Ana County, New Mexico (the “Trial Court”) in which the New Mexico Attorney General (“NMAG”) alleges that use, emissions and releases of EO from Sterigenics’ facility in Santa Teresa have deteriorated the air quality in surrounding communities and materially contributed to increased health risks for residents of those communities and seeks declaratory and permanent injunctive relief and damages. In April 2024, the Court of Appeals of the State of New Mexico denied the NMAG’s petition for leave to file an interlocutory appeal of the Trial Court’s August 2023 order granting Sterigenics’ motion for summary judgment on strict liability, the Unfair Practices Act claim, and the claims for decreased property values, increased healthcare costs and medical monitoring costs, and remanded the case to the District Court of Doña Ana County for further proceedings on the remaining claims. In January 2026, the Trial Court denied NMAG’s May 2025 motion to modify the Trial Court’s August 2023 summary judgment order to reinstate the NMAG’s claim for recovery of healthcare cost damages. The case is set for trial in July 2026.</w:t>
      </w:r>
    </w:p>
    <w:p>
      <w:pPr>
        <w:spacing w:after="0" w:line="173" w:lineRule="exact"/>
        <w:rPr>
          <w:sz w:val="20"/>
          <w:szCs w:val="20"/>
          <w:color w:val="auto"/>
        </w:rPr>
      </w:pPr>
    </w:p>
    <w:p>
      <w:pPr>
        <w:ind w:left="4420"/>
        <w:spacing w:after="0"/>
        <w:tabs>
          <w:tab w:leader="none" w:pos="5060" w:val="left"/>
          <w:tab w:leader="none" w:pos="57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10"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Additional EO lawsuits have been threatened relating to Sterigenics’ current and former EO sterilization facilities in the United States and may be filed in the future. These threats of additional EO lawsuits are comparable to threats that have similarly been made against other companies within our industry. Based on our view of the strength of the science and related evidence that emissions of EO from Sterigenics’ operations have not caused and could not have caused the harms alleged in such lawsuits, we believe that losses in the remaining or future EO cases through trials and any appeals that may prove necessary are not probable. Although the Company is vigorously defending against the EO tort claims, future settlements of EO tort claims are reasonably possible. The previously disclosed settlements of certain cases related to our facilities in Willowbrook and Atlanta were driven by dynamics unique to the claims that were settled and thus should not give rise to presumptions that the Company will settle additional EO tort claims and/or that any such settlements will be for comparable amounts.</w:t>
      </w:r>
    </w:p>
    <w:p>
      <w:pPr>
        <w:sectPr>
          <w:pgSz w:w="11880" w:h="15480" w:orient="portrait"/>
          <w:cols w:equalWidth="0" w:num="1">
            <w:col w:w="10240"/>
          </w:cols>
          <w:pgMar w:left="820" w:top="422" w:right="82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880" w:h="15480" w:orient="portrait"/>
          <w:cols w:equalWidth="0" w:num="1">
            <w:col w:w="10240"/>
          </w:cols>
          <w:pgMar w:left="820" w:top="422" w:right="820" w:bottom="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color w:val="auto"/>
        </w:rPr>
        <w:t>Potential trial and settlement outcomes can vary widely based on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 We are vigorously defending the EO tort lawsuits.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Insurance Coverage for Environmental Liabilities</w:t>
      </w:r>
    </w:p>
    <w:p>
      <w:pPr>
        <w:spacing w:after="0" w:line="213"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An environmental liability insurance policy under which we have received coverage for the EO tort lawsuits in Georgia, Illinois and New Mexico described above had limits of $10.0 million per occurrence and $20.0 million in the aggregate. Those per occurrence and aggregate limits were fully utilized in the defense of the Georgia, Illinois and New Mexico litigation. Our insurance for future alleged environmental liabilities excludes coverage for EO claims.</w:t>
      </w:r>
    </w:p>
    <w:p>
      <w:pPr>
        <w:spacing w:after="0" w:line="144"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We are pursuing additional insurance coverage for our legal expenses related to EO tort lawsuits. On August 27, 2021, Sterigenics filed an insurance coverage lawsuit in the U.S. District Court for the Northern District of Illinois (the “Illinois District Court”) relating to two commercial general liability policies issued in the 1980s (the “Northern District of Illinois Coverage Lawsuit”). The Illinois District Court issued an order declaring that the defendant insurer owes a duty to Sterigenics and another insured party to defend the Willowbrook Cases (the “Duty to Defend Order”) and entered judgment for Sterigenics in January 2024 in the amount of $110.2 million for certain defense costs incurred in the Willowbrook Cases as of August 2022 (the “Defense Costs Judgment”). The defendant insurer appealed the Duty to Defend Order and Defense Costs Judgment to the United States Court of Appeals for the Seventh Circuit. On January 23, 2026 the Illinois Supreme Court issued an opinion answering a question of Illinois law certified to it by the Seventh Circuit Court of Appeals, holding that a permit or regulation authorizing emissions plays no role in assessing the application of a pollution exclusion in a standard form commercial general liability policy. The Seventh Circuit Court of Appeals is conducting further proceedings in light of the Illinois Supreme Court’s opinion.</w:t>
      </w:r>
    </w:p>
    <w:p>
      <w:pPr>
        <w:spacing w:after="0" w:line="163"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Sterigenics is also a party in insurance coverage lawsuits instituted on March 27, 2023 in the Delaware Superior Court, on February 3, 2025 in the Los Angeles County Superior Court and, in January 2023, in the Circuit Court of Cook County, Illinois (after being granted leave to intervene on May 6, 2024), relating to insurance coverage from various historical commercial general liability policies for certain EO litigation settlement amounts and defense costs that the defendant insurer in the Northern District of Illinois Coverage Lawsuit may fail to fund. The Delaware Superior Court case has been stayed pending resolution of the coverage lawsuit in the Circuit Court of Cook County. The coverage lawsuits in the Circuit Court of Cook County lawsuit and the Los Angeles County Superior Court have been stayed pending resolution of the question certified to the Illinois Supreme Court. It is not possible to predict how much, if any, of the insurance proceeds sought will ultimately be recovered.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Sotera Health Company Securities Litigation and Related Matters</w:t>
      </w: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In January 2023, a stockholder class action was filed in the U.S. District Court for the Northern District of Ohio (the “Ohio District Court”) against the Company, certain past and present directors and senior executives, the Company’s private equity stockholders and the underwriters of the Company’s IPO in November 2020 and the Company’s secondary public offering (“SPO”) in March 2021 (the “Michigan Funds Litigation”). In April 2023, the Ohio District Court 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between November 20, 2020 and September 19, 2022 (the “Proposed Class”). The Michigan Funds allege that certain statements made regarding the safety of the Company’s use of EO and/or the EO tort lawsuits and other risks of its EO operations violated Sections 11, 12(a)(2) and 15 of the Securities Act of 1933 (when made in the registration statements for the IPO and SPO) and Sections 10(b), Section 20(a) and Rule 10b-5 of the Exchange Act (when made in subsequent securities filings and other contexts) and seek compensatory, rescissory or statutory damages. On March 19, 2025, the Ohio District Court issued a Memorandum Opinion and Order granting the Company’s motion to dismiss the Amended Complaint and entered judgment dismissing the Michigan Funds</w:t>
      </w:r>
    </w:p>
    <w:p>
      <w:pPr>
        <w:sectPr>
          <w:pgSz w:w="11880" w:h="15480" w:orient="portrait"/>
          <w:cols w:equalWidth="0" w:num="1">
            <w:col w:w="10240"/>
          </w:cols>
          <w:pgMar w:left="820" w:top="422" w:right="82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880" w:h="15480" w:orient="portrait"/>
          <w:cols w:equalWidth="0" w:num="1">
            <w:col w:w="10240"/>
          </w:cols>
          <w:pgMar w:left="820" w:top="422" w:right="820" w:bottom="0" w:gutter="0" w:footer="0" w:header="0"/>
          <w:type w:val="continuous"/>
        </w:sectPr>
      </w:pPr>
    </w:p>
    <w:bookmarkStart w:id="110" w:name="page111"/>
    <w:bookmarkEnd w:id="110"/>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left="10" w:right="260"/>
        <w:spacing w:after="0" w:line="287" w:lineRule="auto"/>
        <w:rPr>
          <w:sz w:val="20"/>
          <w:szCs w:val="20"/>
          <w:color w:val="auto"/>
        </w:rPr>
      </w:pPr>
      <w:r>
        <w:rPr>
          <w:rFonts w:ascii="Arial" w:cs="Arial" w:eastAsia="Arial" w:hAnsi="Arial"/>
          <w:sz w:val="19"/>
          <w:szCs w:val="19"/>
          <w:color w:val="auto"/>
        </w:rPr>
        <w:t>Litigation with prejudice (the “Dismissal Order and Judgment”). The Michigan Funds appealed the Dismissal Order and Judgment to the United States Court of Appeals for the Sixth Circuit (the “Michigan Funds Appeal”). On February 24, 2026, the United States Court of Appeals for the Sixth Circuit affirmed the Dismissal Order and Judgment.</w:t>
      </w:r>
    </w:p>
    <w:p>
      <w:pPr>
        <w:spacing w:after="0" w:line="136" w:lineRule="exact"/>
        <w:rPr>
          <w:sz w:val="20"/>
          <w:szCs w:val="20"/>
          <w:color w:val="auto"/>
        </w:rPr>
      </w:pPr>
    </w:p>
    <w:p>
      <w:pPr>
        <w:ind w:left="10" w:right="40"/>
        <w:spacing w:after="0" w:line="270" w:lineRule="auto"/>
        <w:rPr>
          <w:sz w:val="20"/>
          <w:szCs w:val="20"/>
          <w:color w:val="auto"/>
        </w:rPr>
      </w:pPr>
      <w:r>
        <w:rPr>
          <w:rFonts w:ascii="Arial" w:cs="Arial" w:eastAsia="Arial" w:hAnsi="Arial"/>
          <w:sz w:val="19"/>
          <w:szCs w:val="19"/>
          <w:color w:val="auto"/>
        </w:rPr>
        <w:t>In May 2024, a stockholder derivative lawsuit was filed in the Court of Chancery of the State of Delaware (the “Delaware Chancery Court”) for the benefit of the Company as the nominal defendant (the “May 2024 Derivative Litigation”). The plaintiffs allege breaches of fiduciary duties, insider trading, unjust enrichment and other violations by certain past and present directors and senior executives of the Company and the Company’s private equity stockholders, and seek damages sustained by the Company and other forms of relief including restitution, rescission and disgorgement. On June 25, 2024, the Delaware Chancery Court stayed the May 2024 Derivative Litigation pending a ruling on the merits on the motion to dismiss the Amended Complaint in the Michigan Funds Litigation and that stay has been extended by agreement of the parties until the Sixth Circuit Court of Appeals decides the Michigan Funds Appeal.</w:t>
      </w:r>
    </w:p>
    <w:p>
      <w:pPr>
        <w:spacing w:after="0" w:line="154"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Company plans to vigorously defend the May 2024 Derivative Litigation.</w:t>
      </w:r>
    </w:p>
    <w:p>
      <w:pPr>
        <w:spacing w:after="0" w:line="210" w:lineRule="exact"/>
        <w:rPr>
          <w:sz w:val="20"/>
          <w:szCs w:val="20"/>
          <w:color w:val="auto"/>
        </w:rPr>
      </w:pPr>
    </w:p>
    <w:p>
      <w:pPr>
        <w:ind w:left="10"/>
        <w:spacing w:after="0" w:line="299" w:lineRule="auto"/>
        <w:rPr>
          <w:sz w:val="20"/>
          <w:szCs w:val="20"/>
          <w:color w:val="auto"/>
        </w:rPr>
      </w:pPr>
      <w:r>
        <w:rPr>
          <w:rFonts w:ascii="Arial" w:cs="Arial" w:eastAsia="Arial" w:hAnsi="Arial"/>
          <w:sz w:val="18"/>
          <w:szCs w:val="18"/>
          <w:color w:val="auto"/>
        </w:rPr>
        <w:t>The Company has also received demands pursuant to 8 Del. C. §220 for inspections of its books and records (“220 Demands”) from shareholders purporting to investigate potential wrongdoing by Company fiduciaries and other issues relating to the Company’s statements regarding the safety of its use of EO and/or the EO tort lawsuits and other risks of its EO operations. The Company has produced documents in response to the 220 Demands and may produce additional documents.</w:t>
      </w:r>
    </w:p>
    <w:p>
      <w:pPr>
        <w:spacing w:after="0" w:line="282" w:lineRule="exact"/>
        <w:rPr>
          <w:sz w:val="20"/>
          <w:szCs w:val="20"/>
          <w:color w:val="auto"/>
        </w:rPr>
      </w:pPr>
    </w:p>
    <w:p>
      <w:pPr>
        <w:ind w:left="10" w:right="6340" w:hanging="10"/>
        <w:spacing w:after="0" w:line="412" w:lineRule="auto"/>
        <w:tabs>
          <w:tab w:leader="none" w:pos="37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Financial Instruments and Financial Risk </w:t>
      </w:r>
      <w:r>
        <w:rPr>
          <w:rFonts w:ascii="Arial" w:cs="Arial" w:eastAsia="Arial" w:hAnsi="Arial"/>
          <w:sz w:val="20"/>
          <w:szCs w:val="20"/>
          <w:b w:val="1"/>
          <w:bCs w:val="1"/>
          <w:i w:val="1"/>
          <w:iCs w:val="1"/>
          <w:color w:val="auto"/>
        </w:rPr>
        <w:t>Derivative Instruments</w:t>
      </w:r>
    </w:p>
    <w:p>
      <w:pPr>
        <w:spacing w:after="0" w:line="17" w:lineRule="exact"/>
        <w:rPr>
          <w:sz w:val="20"/>
          <w:szCs w:val="20"/>
          <w:color w:val="auto"/>
        </w:rPr>
      </w:pPr>
    </w:p>
    <w:p>
      <w:pPr>
        <w:ind w:left="10" w:right="1800"/>
        <w:spacing w:after="0" w:line="480" w:lineRule="auto"/>
        <w:rPr>
          <w:sz w:val="20"/>
          <w:szCs w:val="20"/>
          <w:color w:val="auto"/>
        </w:rPr>
      </w:pPr>
      <w:r>
        <w:rPr>
          <w:rFonts w:ascii="Arial" w:cs="Arial" w:eastAsia="Arial" w:hAnsi="Arial"/>
          <w:sz w:val="20"/>
          <w:szCs w:val="20"/>
          <w:color w:val="auto"/>
        </w:rPr>
        <w:t xml:space="preserve">We do not use derivatives for trading or speculative purposes and are not a party to leveraged derivatives. </w:t>
      </w:r>
      <w:r>
        <w:rPr>
          <w:rFonts w:ascii="Arial" w:cs="Arial" w:eastAsia="Arial" w:hAnsi="Arial"/>
          <w:sz w:val="20"/>
          <w:szCs w:val="20"/>
          <w:b w:val="1"/>
          <w:bCs w:val="1"/>
          <w:i w:val="1"/>
          <w:iCs w:val="1"/>
          <w:color w:val="auto"/>
        </w:rPr>
        <w:t>Derivatives Designated in Hedge Relationships</w:t>
      </w:r>
    </w:p>
    <w:p>
      <w:pPr>
        <w:jc w:val="both"/>
        <w:ind w:left="10" w:right="160"/>
        <w:spacing w:after="0" w:line="287" w:lineRule="auto"/>
        <w:rPr>
          <w:sz w:val="20"/>
          <w:szCs w:val="20"/>
          <w:color w:val="auto"/>
        </w:rPr>
      </w:pPr>
      <w:r>
        <w:rPr>
          <w:rFonts w:ascii="Arial" w:cs="Arial" w:eastAsia="Arial" w:hAnsi="Arial"/>
          <w:sz w:val="19"/>
          <w:szCs w:val="19"/>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loss” on our Consolidated Balance Sheets.</w:t>
      </w:r>
    </w:p>
    <w:p>
      <w:pPr>
        <w:spacing w:after="0" w:line="136" w:lineRule="exact"/>
        <w:rPr>
          <w:sz w:val="20"/>
          <w:szCs w:val="20"/>
          <w:color w:val="auto"/>
        </w:rPr>
      </w:pPr>
    </w:p>
    <w:p>
      <w:pPr>
        <w:ind w:left="10" w:right="60"/>
        <w:spacing w:after="0" w:line="258" w:lineRule="auto"/>
        <w:rPr>
          <w:sz w:val="20"/>
          <w:szCs w:val="20"/>
          <w:color w:val="auto"/>
        </w:rPr>
      </w:pPr>
      <w:r>
        <w:rPr>
          <w:rFonts w:ascii="Arial" w:cs="Arial" w:eastAsia="Arial" w:hAnsi="Arial"/>
          <w:sz w:val="20"/>
          <w:szCs w:val="20"/>
          <w:color w:val="auto"/>
        </w:rPr>
        <w:t>In March 2025, we entered into an interest rate swap agreement with a notional amount of $400.0 million. The interest rate swap became effective on August 31, 2025 and expires on August 31, 2027. We have designated the interest swap as a cash flow hedge designed to hedge the variability of cash flows attributable to changes in the SOFR benchmark interest rate of our Term Loan (or any successor thereto). We receive interest at the one-month Term SOFR rate and pay a fixed interest rate under the terms of the swap agreement.</w:t>
      </w:r>
    </w:p>
    <w:p>
      <w:pPr>
        <w:spacing w:after="0" w:line="164" w:lineRule="exact"/>
        <w:rPr>
          <w:sz w:val="20"/>
          <w:szCs w:val="20"/>
          <w:color w:val="auto"/>
        </w:rPr>
      </w:pPr>
    </w:p>
    <w:p>
      <w:pPr>
        <w:ind w:left="10" w:right="80"/>
        <w:spacing w:after="0" w:line="258" w:lineRule="auto"/>
        <w:rPr>
          <w:sz w:val="20"/>
          <w:szCs w:val="20"/>
          <w:color w:val="auto"/>
        </w:rPr>
      </w:pPr>
      <w:r>
        <w:rPr>
          <w:rFonts w:ascii="Arial" w:cs="Arial" w:eastAsia="Arial" w:hAnsi="Arial"/>
          <w:sz w:val="20"/>
          <w:szCs w:val="20"/>
          <w:color w:val="auto"/>
        </w:rPr>
        <w:t>In March 2023, we entered into an interest rate swap agreement with a notional amount of $400.0 million. The interest rate swap was effective on August 23, 2023 and expired on August 23, 2025. We designated the interest rate swap as a cash flow hedge designed to hedge the variability of cash flows attributable to changes in the SOFR benchmark interest rate of our Term Loan (or any successor thereto). We received interest at the one-month Term SOFR rate and paid a fixed interest rate under the terms of the swap agreement.</w:t>
      </w:r>
    </w:p>
    <w:p>
      <w:pPr>
        <w:spacing w:after="0" w:line="201"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Derivatives Not Designated in Hedge Relationships</w:t>
      </w:r>
    </w:p>
    <w:p>
      <w:pPr>
        <w:spacing w:after="0" w:line="213" w:lineRule="exact"/>
        <w:rPr>
          <w:sz w:val="20"/>
          <w:szCs w:val="20"/>
          <w:color w:val="auto"/>
        </w:rPr>
      </w:pPr>
    </w:p>
    <w:p>
      <w:pPr>
        <w:ind w:left="10" w:right="300"/>
        <w:spacing w:after="0" w:line="261" w:lineRule="auto"/>
        <w:rPr>
          <w:sz w:val="20"/>
          <w:szCs w:val="20"/>
          <w:color w:val="auto"/>
        </w:rPr>
      </w:pPr>
      <w:r>
        <w:rPr>
          <w:rFonts w:ascii="Arial" w:cs="Arial" w:eastAsia="Arial" w:hAnsi="Arial"/>
          <w:sz w:val="20"/>
          <w:szCs w:val="20"/>
          <w:color w:val="auto"/>
        </w:rPr>
        <w:t>The Company also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These foreign currency derivatives are not designated in hedge relationships.</w:t>
      </w:r>
    </w:p>
    <w:p>
      <w:pPr>
        <w:spacing w:after="0" w:line="157"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Embedded Derivatives</w:t>
      </w:r>
    </w:p>
    <w:p>
      <w:pPr>
        <w:spacing w:after="0" w:line="213" w:lineRule="exact"/>
        <w:rPr>
          <w:sz w:val="20"/>
          <w:szCs w:val="20"/>
          <w:color w:val="auto"/>
        </w:rPr>
      </w:pPr>
    </w:p>
    <w:p>
      <w:pPr>
        <w:ind w:left="10" w:right="140"/>
        <w:spacing w:after="0" w:line="309"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ectPr>
          <w:pgSz w:w="11880" w:h="15480" w:orient="portrait"/>
          <w:cols w:equalWidth="0" w:num="1">
            <w:col w:w="10250"/>
          </w:cols>
          <w:pgMar w:left="810" w:top="422" w:right="82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103</w:t>
      </w:r>
    </w:p>
    <w:p>
      <w:pPr>
        <w:sectPr>
          <w:pgSz w:w="11880" w:h="15480" w:orient="portrait"/>
          <w:cols w:equalWidth="0" w:num="1">
            <w:col w:w="10250"/>
          </w:cols>
          <w:pgMar w:left="810" w:top="422" w:right="820" w:bottom="0" w:gutter="0" w:footer="0" w:header="0"/>
          <w:type w:val="continuous"/>
        </w:sectPr>
      </w:pPr>
    </w:p>
    <w:bookmarkStart w:id="111" w:name="page112"/>
    <w:bookmarkEnd w:id="111"/>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following table provides a summary of the notional and fair values of our derivative instruments: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8"/>
                <w:szCs w:val="18"/>
                <w:b w:val="1"/>
                <w:bCs w:val="1"/>
                <w:color w:val="auto"/>
              </w:rPr>
              <w:t>December 31, 2025</w:t>
            </w:r>
          </w:p>
        </w:tc>
        <w:tc>
          <w:tcPr>
            <w:tcW w:w="60" w:type="dxa"/>
            <w:vAlign w:val="bottom"/>
          </w:tcPr>
          <w:p>
            <w:pPr>
              <w:spacing w:after="0"/>
              <w:rPr>
                <w:sz w:val="21"/>
                <w:szCs w:val="21"/>
                <w:color w:val="auto"/>
              </w:rPr>
            </w:pPr>
          </w:p>
        </w:tc>
        <w:tc>
          <w:tcPr>
            <w:tcW w:w="300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8"/>
                <w:szCs w:val="18"/>
                <w:b w:val="1"/>
                <w:bCs w:val="1"/>
                <w:color w:val="auto"/>
              </w:rPr>
              <w:t>December 31, 2024</w:t>
            </w:r>
          </w:p>
        </w:tc>
      </w:tr>
      <w:tr>
        <w:trPr>
          <w:trHeight w:val="224"/>
        </w:trPr>
        <w:tc>
          <w:tcPr>
            <w:tcW w:w="4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89"/>
              </w:rPr>
              <w:t>(in U.S. dollars; notional in millions, fair value in thousands)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2"/>
          </w:tcPr>
          <w:p>
            <w:pPr>
              <w:jc w:val="right"/>
              <w:ind w:right="443"/>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423"/>
              <w:spacing w:after="0"/>
              <w:rPr>
                <w:sz w:val="20"/>
                <w:szCs w:val="20"/>
                <w:color w:val="auto"/>
              </w:rPr>
            </w:pPr>
            <w:r>
              <w:rPr>
                <w:rFonts w:ascii="Arial" w:cs="Arial" w:eastAsia="Arial" w:hAnsi="Arial"/>
                <w:sz w:val="18"/>
                <w:szCs w:val="18"/>
                <w:b w:val="1"/>
                <w:bCs w:val="1"/>
                <w:color w:val="auto"/>
              </w:rPr>
              <w:t>Fair Value</w:t>
            </w:r>
          </w:p>
        </w:tc>
      </w:tr>
      <w:tr>
        <w:trPr>
          <w:trHeight w:val="26"/>
        </w:trPr>
        <w:tc>
          <w:tcPr>
            <w:tcW w:w="40" w:type="dxa"/>
            <w:vAlign w:val="bottom"/>
          </w:tcPr>
          <w:p>
            <w:pPr>
              <w:spacing w:after="0"/>
              <w:rPr>
                <w:sz w:val="2"/>
                <w:szCs w:val="2"/>
                <w:color w:val="auto"/>
              </w:rPr>
            </w:pPr>
          </w:p>
        </w:tc>
        <w:tc>
          <w:tcPr>
            <w:tcW w:w="39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1"/>
        </w:trPr>
        <w:tc>
          <w:tcPr>
            <w:tcW w:w="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4"/>
              <w:spacing w:after="0" w:line="201" w:lineRule="exact"/>
              <w:rPr>
                <w:sz w:val="20"/>
                <w:szCs w:val="20"/>
                <w:color w:val="auto"/>
              </w:rPr>
            </w:pPr>
            <w:r>
              <w:rPr>
                <w:rFonts w:ascii="Arial" w:cs="Arial" w:eastAsia="Arial" w:hAnsi="Arial"/>
                <w:sz w:val="18"/>
                <w:szCs w:val="18"/>
                <w:b w:val="1"/>
                <w:bCs w:val="1"/>
                <w:color w:val="auto"/>
              </w:rPr>
              <w:t>Notional</w:t>
            </w:r>
          </w:p>
        </w:tc>
        <w:tc>
          <w:tcPr>
            <w:tcW w:w="2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w w:val="99"/>
              </w:rPr>
              <w:t>Derivative</w:t>
            </w:r>
          </w:p>
        </w:tc>
        <w:tc>
          <w:tcPr>
            <w:tcW w:w="9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w w:val="99"/>
              </w:rPr>
              <w:t>Derivative</w:t>
            </w:r>
          </w:p>
        </w:tc>
        <w:tc>
          <w:tcPr>
            <w:tcW w:w="60" w:type="dxa"/>
            <w:vAlign w:val="bottom"/>
          </w:tcPr>
          <w:p>
            <w:pPr>
              <w:spacing w:after="0"/>
              <w:rPr>
                <w:sz w:val="17"/>
                <w:szCs w:val="17"/>
                <w:color w:val="auto"/>
              </w:rPr>
            </w:pPr>
          </w:p>
        </w:tc>
        <w:tc>
          <w:tcPr>
            <w:tcW w:w="880" w:type="dxa"/>
            <w:vAlign w:val="bottom"/>
          </w:tcPr>
          <w:p>
            <w:pPr>
              <w:jc w:val="right"/>
              <w:ind w:right="8"/>
              <w:spacing w:after="0" w:line="201" w:lineRule="exact"/>
              <w:rPr>
                <w:sz w:val="20"/>
                <w:szCs w:val="20"/>
                <w:color w:val="auto"/>
              </w:rPr>
            </w:pPr>
            <w:r>
              <w:rPr>
                <w:rFonts w:ascii="Arial" w:cs="Arial" w:eastAsia="Arial" w:hAnsi="Arial"/>
                <w:sz w:val="18"/>
                <w:szCs w:val="18"/>
                <w:b w:val="1"/>
                <w:bCs w:val="1"/>
                <w:color w:val="auto"/>
              </w:rPr>
              <w:t>Notional</w:t>
            </w:r>
          </w:p>
        </w:tc>
        <w:tc>
          <w:tcPr>
            <w:tcW w:w="2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w w:val="97"/>
              </w:rPr>
              <w:t>Derivative</w:t>
            </w:r>
          </w:p>
        </w:tc>
        <w:tc>
          <w:tcPr>
            <w:tcW w:w="9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w w:val="97"/>
              </w:rPr>
              <w:t>Derivative</w:t>
            </w:r>
          </w:p>
        </w:tc>
      </w:tr>
      <w:tr>
        <w:trPr>
          <w:trHeight w:val="239"/>
        </w:trPr>
        <w:tc>
          <w:tcPr>
            <w:tcW w:w="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4"/>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b w:val="1"/>
                <w:bCs w:val="1"/>
                <w:color w:val="auto"/>
              </w:rPr>
              <w:t>Liabilities</w:t>
            </w:r>
          </w:p>
        </w:tc>
        <w:tc>
          <w:tcPr>
            <w:tcW w:w="60" w:type="dxa"/>
            <w:vAlign w:val="bottom"/>
            <w:tcBorders>
              <w:bottom w:val="single" w:sz="8" w:color="D2EEF5"/>
            </w:tcBorders>
          </w:tcPr>
          <w:p>
            <w:pPr>
              <w:spacing w:after="0"/>
              <w:rPr>
                <w:sz w:val="20"/>
                <w:szCs w:val="20"/>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b w:val="1"/>
                <w:bCs w:val="1"/>
                <w:color w:val="auto"/>
              </w:rPr>
              <w:t>Amount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44"/>
              <w:spacing w:after="0"/>
              <w:rPr>
                <w:sz w:val="20"/>
                <w:szCs w:val="20"/>
                <w:color w:val="auto"/>
              </w:rPr>
            </w:pPr>
            <w:r>
              <w:rPr>
                <w:rFonts w:ascii="Arial" w:cs="Arial" w:eastAsia="Arial" w:hAnsi="Arial"/>
                <w:sz w:val="18"/>
                <w:szCs w:val="18"/>
                <w:b w:val="1"/>
                <w:bCs w:val="1"/>
                <w:color w:val="auto"/>
              </w:rPr>
              <w:t>Assets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Liabilities</w:t>
            </w:r>
          </w:p>
        </w:tc>
      </w:tr>
      <w:tr>
        <w:trPr>
          <w:trHeight w:val="275"/>
        </w:trPr>
        <w:tc>
          <w:tcPr>
            <w:tcW w:w="40" w:type="dxa"/>
            <w:vAlign w:val="bottom"/>
            <w:shd w:val="clear" w:color="auto" w:fill="D2EEF5"/>
          </w:tcPr>
          <w:p>
            <w:pPr>
              <w:spacing w:after="0"/>
              <w:rPr>
                <w:sz w:val="23"/>
                <w:szCs w:val="23"/>
                <w:color w:val="auto"/>
              </w:rPr>
            </w:pPr>
          </w:p>
        </w:tc>
        <w:tc>
          <w:tcPr>
            <w:tcW w:w="4100" w:type="dxa"/>
            <w:vAlign w:val="bottom"/>
            <w:gridSpan w:val="2"/>
            <w:shd w:val="clear" w:color="auto" w:fill="D2EEF5"/>
          </w:tcPr>
          <w:p>
            <w:pPr>
              <w:spacing w:after="0"/>
              <w:rPr>
                <w:sz w:val="20"/>
                <w:szCs w:val="20"/>
                <w:color w:val="auto"/>
              </w:rPr>
            </w:pPr>
            <w:r>
              <w:rPr>
                <w:rFonts w:ascii="Arial" w:cs="Arial" w:eastAsia="Arial" w:hAnsi="Arial"/>
                <w:sz w:val="20"/>
                <w:szCs w:val="20"/>
                <w:color w:val="auto"/>
                <w:w w:val="98"/>
              </w:rPr>
              <w:t>Derivatives designated as hedging instruments</w:t>
            </w:r>
          </w:p>
        </w:tc>
        <w:tc>
          <w:tcPr>
            <w:tcW w:w="900" w:type="dxa"/>
            <w:vAlign w:val="bottom"/>
            <w:shd w:val="clear" w:color="auto" w:fill="D2EEF5"/>
          </w:tcPr>
          <w:p>
            <w:pPr>
              <w:spacing w:after="0"/>
              <w:rPr>
                <w:sz w:val="23"/>
                <w:szCs w:val="23"/>
                <w:color w:val="auto"/>
              </w:rPr>
            </w:pPr>
          </w:p>
        </w:tc>
        <w:tc>
          <w:tcPr>
            <w:tcW w:w="240" w:type="dxa"/>
            <w:vAlign w:val="bottom"/>
            <w:shd w:val="clear" w:color="auto" w:fill="D2EEF5"/>
          </w:tcPr>
          <w:p>
            <w:pPr>
              <w:spacing w:after="0"/>
              <w:rPr>
                <w:sz w:val="23"/>
                <w:szCs w:val="23"/>
                <w:color w:val="auto"/>
              </w:rPr>
            </w:pPr>
          </w:p>
        </w:tc>
        <w:tc>
          <w:tcPr>
            <w:tcW w:w="940" w:type="dxa"/>
            <w:vAlign w:val="bottom"/>
            <w:shd w:val="clear" w:color="auto" w:fill="D2EEF5"/>
          </w:tcPr>
          <w:p>
            <w:pPr>
              <w:spacing w:after="0"/>
              <w:rPr>
                <w:sz w:val="23"/>
                <w:szCs w:val="23"/>
                <w:color w:val="auto"/>
              </w:rPr>
            </w:pPr>
          </w:p>
        </w:tc>
        <w:tc>
          <w:tcPr>
            <w:tcW w:w="960" w:type="dxa"/>
            <w:vAlign w:val="bottom"/>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880" w:type="dxa"/>
            <w:vAlign w:val="bottom"/>
            <w:shd w:val="clear" w:color="auto" w:fill="D2EEF5"/>
          </w:tcPr>
          <w:p>
            <w:pPr>
              <w:spacing w:after="0"/>
              <w:rPr>
                <w:sz w:val="23"/>
                <w:szCs w:val="23"/>
                <w:color w:val="auto"/>
              </w:rPr>
            </w:pPr>
          </w:p>
        </w:tc>
        <w:tc>
          <w:tcPr>
            <w:tcW w:w="260" w:type="dxa"/>
            <w:vAlign w:val="bottom"/>
            <w:shd w:val="clear" w:color="auto" w:fill="D2EEF5"/>
          </w:tcPr>
          <w:p>
            <w:pPr>
              <w:spacing w:after="0"/>
              <w:rPr>
                <w:sz w:val="23"/>
                <w:szCs w:val="23"/>
                <w:color w:val="auto"/>
              </w:rPr>
            </w:pPr>
          </w:p>
        </w:tc>
        <w:tc>
          <w:tcPr>
            <w:tcW w:w="940" w:type="dxa"/>
            <w:vAlign w:val="bottom"/>
            <w:shd w:val="clear" w:color="auto" w:fill="D2EEF5"/>
          </w:tcPr>
          <w:p>
            <w:pPr>
              <w:spacing w:after="0"/>
              <w:rPr>
                <w:sz w:val="23"/>
                <w:szCs w:val="23"/>
                <w:color w:val="auto"/>
              </w:rPr>
            </w:pPr>
          </w:p>
        </w:tc>
        <w:tc>
          <w:tcPr>
            <w:tcW w:w="920" w:type="dxa"/>
            <w:vAlign w:val="bottom"/>
            <w:shd w:val="clear" w:color="auto" w:fill="D2EEF5"/>
          </w:tcPr>
          <w:p>
            <w:pPr>
              <w:spacing w:after="0"/>
              <w:rPr>
                <w:sz w:val="23"/>
                <w:szCs w:val="23"/>
                <w:color w:val="auto"/>
              </w:rPr>
            </w:pPr>
          </w:p>
        </w:tc>
      </w:tr>
      <w:tr>
        <w:trPr>
          <w:trHeight w:val="278"/>
        </w:trPr>
        <w:tc>
          <w:tcPr>
            <w:tcW w:w="40" w:type="dxa"/>
            <w:vAlign w:val="bottom"/>
          </w:tcPr>
          <w:p>
            <w:pPr>
              <w:spacing w:after="0"/>
              <w:rPr>
                <w:sz w:val="24"/>
                <w:szCs w:val="24"/>
                <w:color w:val="auto"/>
              </w:rPr>
            </w:pPr>
          </w:p>
        </w:tc>
        <w:tc>
          <w:tcPr>
            <w:tcW w:w="4100" w:type="dxa"/>
            <w:vAlign w:val="bottom"/>
            <w:gridSpan w:val="2"/>
          </w:tcPr>
          <w:p>
            <w:pPr>
              <w:ind w:left="240"/>
              <w:spacing w:after="0"/>
              <w:rPr>
                <w:sz w:val="20"/>
                <w:szCs w:val="20"/>
                <w:color w:val="auto"/>
              </w:rPr>
            </w:pPr>
            <w:r>
              <w:rPr>
                <w:rFonts w:ascii="Arial" w:cs="Arial" w:eastAsia="Arial" w:hAnsi="Arial"/>
                <w:sz w:val="20"/>
                <w:szCs w:val="20"/>
                <w:color w:val="auto"/>
              </w:rPr>
              <w:t>Interest rate swaps</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400.0</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2,346</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400.0</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459</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2"/>
        </w:trPr>
        <w:tc>
          <w:tcPr>
            <w:tcW w:w="40" w:type="dxa"/>
            <w:vAlign w:val="bottom"/>
            <w:shd w:val="clear" w:color="auto" w:fill="D2EEF5"/>
          </w:tcPr>
          <w:p>
            <w:pPr>
              <w:spacing w:after="0"/>
              <w:rPr>
                <w:sz w:val="24"/>
                <w:szCs w:val="24"/>
                <w:color w:val="auto"/>
              </w:rPr>
            </w:pPr>
          </w:p>
        </w:tc>
        <w:tc>
          <w:tcPr>
            <w:tcW w:w="4100" w:type="dxa"/>
            <w:vAlign w:val="bottom"/>
            <w:gridSpan w:val="2"/>
            <w:shd w:val="clear" w:color="auto" w:fill="D2EEF5"/>
          </w:tcPr>
          <w:p>
            <w:pPr>
              <w:spacing w:after="0"/>
              <w:rPr>
                <w:sz w:val="20"/>
                <w:szCs w:val="20"/>
                <w:color w:val="auto"/>
              </w:rPr>
            </w:pPr>
            <w:r>
              <w:rPr>
                <w:rFonts w:ascii="Arial" w:cs="Arial" w:eastAsia="Arial" w:hAnsi="Arial"/>
                <w:sz w:val="20"/>
                <w:szCs w:val="20"/>
                <w:color w:val="auto"/>
                <w:w w:val="91"/>
              </w:rPr>
              <w:t>Derivatives not designated as hedging instruments</w:t>
            </w:r>
          </w:p>
        </w:tc>
        <w:tc>
          <w:tcPr>
            <w:tcW w:w="90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940" w:type="dxa"/>
            <w:vAlign w:val="bottom"/>
            <w:shd w:val="clear" w:color="auto" w:fill="D2EEF5"/>
          </w:tcPr>
          <w:p>
            <w:pPr>
              <w:spacing w:after="0"/>
              <w:rPr>
                <w:sz w:val="24"/>
                <w:szCs w:val="24"/>
                <w:color w:val="auto"/>
              </w:rPr>
            </w:pPr>
          </w:p>
        </w:tc>
        <w:tc>
          <w:tcPr>
            <w:tcW w:w="960" w:type="dxa"/>
            <w:vAlign w:val="bottom"/>
            <w:shd w:val="clear" w:color="auto" w:fill="D2EEF5"/>
          </w:tcPr>
          <w:p>
            <w:pPr>
              <w:spacing w:after="0"/>
              <w:rPr>
                <w:sz w:val="24"/>
                <w:szCs w:val="24"/>
                <w:color w:val="auto"/>
              </w:rPr>
            </w:pPr>
          </w:p>
        </w:tc>
        <w:tc>
          <w:tcPr>
            <w:tcW w:w="60" w:type="dxa"/>
            <w:vAlign w:val="bottom"/>
            <w:shd w:val="clear" w:color="auto" w:fill="D2EEF5"/>
          </w:tcPr>
          <w:p>
            <w:pPr>
              <w:spacing w:after="0"/>
              <w:rPr>
                <w:sz w:val="24"/>
                <w:szCs w:val="24"/>
                <w:color w:val="auto"/>
              </w:rPr>
            </w:pPr>
          </w:p>
        </w:tc>
        <w:tc>
          <w:tcPr>
            <w:tcW w:w="880" w:type="dxa"/>
            <w:vAlign w:val="bottom"/>
            <w:shd w:val="clear" w:color="auto" w:fill="D2EEF5"/>
          </w:tcPr>
          <w:p>
            <w:pPr>
              <w:spacing w:after="0"/>
              <w:rPr>
                <w:sz w:val="24"/>
                <w:szCs w:val="24"/>
                <w:color w:val="auto"/>
              </w:rPr>
            </w:pPr>
          </w:p>
        </w:tc>
        <w:tc>
          <w:tcPr>
            <w:tcW w:w="260" w:type="dxa"/>
            <w:vAlign w:val="bottom"/>
            <w:shd w:val="clear" w:color="auto" w:fill="D2EEF5"/>
          </w:tcPr>
          <w:p>
            <w:pPr>
              <w:spacing w:after="0"/>
              <w:rPr>
                <w:sz w:val="24"/>
                <w:szCs w:val="24"/>
                <w:color w:val="auto"/>
              </w:rPr>
            </w:pPr>
          </w:p>
        </w:tc>
        <w:tc>
          <w:tcPr>
            <w:tcW w:w="940" w:type="dxa"/>
            <w:vAlign w:val="bottom"/>
            <w:shd w:val="clear" w:color="auto" w:fill="D2EEF5"/>
          </w:tcPr>
          <w:p>
            <w:pPr>
              <w:spacing w:after="0"/>
              <w:rPr>
                <w:sz w:val="24"/>
                <w:szCs w:val="24"/>
                <w:color w:val="auto"/>
              </w:rPr>
            </w:pPr>
          </w:p>
        </w:tc>
        <w:tc>
          <w:tcPr>
            <w:tcW w:w="920" w:type="dxa"/>
            <w:vAlign w:val="bottom"/>
            <w:shd w:val="clear" w:color="auto" w:fill="D2EEF5"/>
          </w:tcPr>
          <w:p>
            <w:pPr>
              <w:spacing w:after="0"/>
              <w:rPr>
                <w:sz w:val="24"/>
                <w:szCs w:val="24"/>
                <w:color w:val="auto"/>
              </w:rPr>
            </w:pPr>
          </w:p>
        </w:tc>
      </w:tr>
      <w:tr>
        <w:trPr>
          <w:trHeight w:val="278"/>
        </w:trPr>
        <w:tc>
          <w:tcPr>
            <w:tcW w:w="40" w:type="dxa"/>
            <w:vAlign w:val="bottom"/>
          </w:tcPr>
          <w:p>
            <w:pPr>
              <w:spacing w:after="0"/>
              <w:rPr>
                <w:sz w:val="24"/>
                <w:szCs w:val="24"/>
                <w:color w:val="auto"/>
              </w:rPr>
            </w:pPr>
          </w:p>
        </w:tc>
        <w:tc>
          <w:tcPr>
            <w:tcW w:w="4100" w:type="dxa"/>
            <w:vAlign w:val="bottom"/>
            <w:gridSpan w:val="2"/>
          </w:tcPr>
          <w:p>
            <w:pPr>
              <w:ind w:left="240"/>
              <w:spacing w:after="0"/>
              <w:rPr>
                <w:sz w:val="20"/>
                <w:szCs w:val="20"/>
                <w:color w:val="auto"/>
              </w:rPr>
            </w:pPr>
            <w:r>
              <w:rPr>
                <w:rFonts w:ascii="Arial" w:cs="Arial" w:eastAsia="Arial" w:hAnsi="Arial"/>
                <w:sz w:val="20"/>
                <w:szCs w:val="20"/>
                <w:color w:val="auto"/>
              </w:rPr>
              <w:t>Foreign currency forward contracts</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263.7</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88</w:t>
            </w:r>
          </w:p>
        </w:tc>
        <w:tc>
          <w:tcPr>
            <w:tcW w:w="920" w:type="dxa"/>
            <w:vAlign w:val="bottom"/>
          </w:tcPr>
          <w:p>
            <w:pPr>
              <w:jc w:val="right"/>
              <w:spacing w:after="0"/>
              <w:rPr>
                <w:sz w:val="20"/>
                <w:szCs w:val="20"/>
                <w:color w:val="auto"/>
              </w:rPr>
            </w:pPr>
            <w:r>
              <w:rPr>
                <w:rFonts w:ascii="Arial" w:cs="Arial" w:eastAsia="Arial" w:hAnsi="Arial"/>
                <w:sz w:val="20"/>
                <w:szCs w:val="20"/>
                <w:color w:val="auto"/>
              </w:rPr>
              <w:t>198</w:t>
            </w:r>
          </w:p>
        </w:tc>
      </w:tr>
      <w:tr>
        <w:trPr>
          <w:trHeight w:val="282"/>
        </w:trPr>
        <w:tc>
          <w:tcPr>
            <w:tcW w:w="40" w:type="dxa"/>
            <w:vAlign w:val="bottom"/>
            <w:tcBorders>
              <w:bottom w:val="single" w:sz="8" w:color="D2EEF5"/>
            </w:tcBorders>
            <w:shd w:val="clear" w:color="auto" w:fill="D2EEF5"/>
          </w:tcPr>
          <w:p>
            <w:pPr>
              <w:spacing w:after="0"/>
              <w:rPr>
                <w:sz w:val="24"/>
                <w:szCs w:val="24"/>
                <w:color w:val="auto"/>
              </w:rPr>
            </w:pPr>
          </w:p>
        </w:tc>
        <w:tc>
          <w:tcPr>
            <w:tcW w:w="4100" w:type="dxa"/>
            <w:vAlign w:val="bottom"/>
            <w:tcBorders>
              <w:bottom w:val="single" w:sz="8" w:color="D2EEF5"/>
            </w:tcBorders>
            <w:gridSpan w:val="2"/>
            <w:shd w:val="clear" w:color="auto" w:fill="D2EEF5"/>
          </w:tcPr>
          <w:p>
            <w:pPr>
              <w:ind w:left="240"/>
              <w:spacing w:after="0"/>
              <w:rPr>
                <w:sz w:val="20"/>
                <w:szCs w:val="20"/>
                <w:color w:val="auto"/>
              </w:rPr>
            </w:pPr>
            <w:r>
              <w:rPr>
                <w:rFonts w:ascii="Arial" w:cs="Arial" w:eastAsia="Arial" w:hAnsi="Arial"/>
                <w:sz w:val="20"/>
                <w:szCs w:val="20"/>
                <w:color w:val="auto"/>
              </w:rPr>
              <w:t>Embedded derivatives</w:t>
            </w:r>
          </w:p>
        </w:tc>
        <w:tc>
          <w:tcPr>
            <w:tcW w:w="9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264.4</w:t>
            </w:r>
          </w:p>
        </w:tc>
        <w:tc>
          <w:tcPr>
            <w:tcW w:w="240" w:type="dxa"/>
            <w:vAlign w:val="bottom"/>
            <w:tcBorders>
              <w:bottom w:val="single" w:sz="8" w:color="auto"/>
            </w:tcBorders>
            <w:shd w:val="clear" w:color="auto" w:fill="D2EEF5"/>
          </w:tcPr>
          <w:p>
            <w:pPr>
              <w:ind w:left="60"/>
              <w:spacing w:after="0"/>
              <w:rPr>
                <w:sz w:val="20"/>
                <w:szCs w:val="20"/>
                <w:color w:val="auto"/>
              </w:rPr>
            </w:pPr>
            <w:r>
              <w:rPr>
                <w:rFonts w:ascii="Arial" w:cs="Arial" w:eastAsia="Arial" w:hAnsi="Arial"/>
                <w:sz w:val="12"/>
                <w:szCs w:val="12"/>
                <w:color w:val="auto"/>
              </w:rPr>
              <w:t>(a)</w:t>
            </w:r>
          </w:p>
        </w:tc>
        <w:tc>
          <w:tcPr>
            <w:tcW w:w="9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1,162</w:t>
            </w:r>
          </w:p>
        </w:tc>
        <w:tc>
          <w:tcPr>
            <w:tcW w:w="9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1,872</w:t>
            </w:r>
          </w:p>
        </w:tc>
        <w:tc>
          <w:tcPr>
            <w:tcW w:w="60" w:type="dxa"/>
            <w:vAlign w:val="bottom"/>
            <w:tcBorders>
              <w:bottom w:val="single" w:sz="8" w:color="D2EEF5"/>
            </w:tcBorders>
            <w:shd w:val="clear" w:color="auto" w:fill="D2EEF5"/>
          </w:tcPr>
          <w:p>
            <w:pPr>
              <w:spacing w:after="0"/>
              <w:rPr>
                <w:sz w:val="24"/>
                <w:szCs w:val="24"/>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230.8</w:t>
            </w:r>
          </w:p>
        </w:tc>
        <w:tc>
          <w:tcPr>
            <w:tcW w:w="260" w:type="dxa"/>
            <w:vAlign w:val="bottom"/>
            <w:tcBorders>
              <w:bottom w:val="single" w:sz="8" w:color="auto"/>
            </w:tcBorders>
            <w:shd w:val="clear" w:color="auto" w:fill="D2EEF5"/>
          </w:tcPr>
          <w:p>
            <w:pPr>
              <w:ind w:left="60"/>
              <w:spacing w:after="0"/>
              <w:rPr>
                <w:sz w:val="20"/>
                <w:szCs w:val="20"/>
                <w:color w:val="auto"/>
              </w:rPr>
            </w:pPr>
            <w:r>
              <w:rPr>
                <w:rFonts w:ascii="Arial" w:cs="Arial" w:eastAsia="Arial" w:hAnsi="Arial"/>
                <w:sz w:val="12"/>
                <w:szCs w:val="12"/>
                <w:color w:val="auto"/>
              </w:rPr>
              <w:t>(a)</w:t>
            </w:r>
          </w:p>
        </w:tc>
        <w:tc>
          <w:tcPr>
            <w:tcW w:w="9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2,689</w:t>
            </w: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4,098</w:t>
            </w:r>
          </w:p>
        </w:tc>
      </w:tr>
      <w:tr>
        <w:trPr>
          <w:trHeight w:val="275"/>
        </w:trPr>
        <w:tc>
          <w:tcPr>
            <w:tcW w:w="40" w:type="dxa"/>
            <w:vAlign w:val="bottom"/>
          </w:tcPr>
          <w:p>
            <w:pPr>
              <w:spacing w:after="0"/>
              <w:rPr>
                <w:sz w:val="23"/>
                <w:szCs w:val="23"/>
                <w:color w:val="auto"/>
              </w:rPr>
            </w:pPr>
          </w:p>
        </w:tc>
        <w:tc>
          <w:tcPr>
            <w:tcW w:w="4100" w:type="dxa"/>
            <w:vAlign w:val="bottom"/>
            <w:gridSpan w:val="2"/>
          </w:tcPr>
          <w:p>
            <w:pPr>
              <w:ind w:left="360"/>
              <w:spacing w:after="0"/>
              <w:rPr>
                <w:sz w:val="20"/>
                <w:szCs w:val="20"/>
                <w:color w:val="auto"/>
              </w:rPr>
            </w:pPr>
            <w:r>
              <w:rPr>
                <w:rFonts w:ascii="Arial" w:cs="Arial" w:eastAsia="Arial" w:hAnsi="Arial"/>
                <w:sz w:val="20"/>
                <w:szCs w:val="20"/>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  664.4</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   1,162</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   4,218</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  894.5</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   3,236</w:t>
            </w:r>
          </w:p>
        </w:tc>
        <w:tc>
          <w:tcPr>
            <w:tcW w:w="920" w:type="dxa"/>
            <w:vAlign w:val="bottom"/>
          </w:tcPr>
          <w:p>
            <w:pPr>
              <w:jc w:val="right"/>
              <w:spacing w:after="0"/>
              <w:rPr>
                <w:sz w:val="20"/>
                <w:szCs w:val="20"/>
                <w:color w:val="auto"/>
              </w:rPr>
            </w:pPr>
            <w:r>
              <w:rPr>
                <w:rFonts w:ascii="Arial" w:cs="Arial" w:eastAsia="Arial" w:hAnsi="Arial"/>
                <w:sz w:val="20"/>
                <w:szCs w:val="20"/>
                <w:color w:val="auto"/>
              </w:rPr>
              <w:t>$   4,296</w:t>
            </w: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2625725</wp:posOffset>
            </wp:positionH>
            <wp:positionV relativeFrom="paragraph">
              <wp:posOffset>-43815</wp:posOffset>
            </wp:positionV>
            <wp:extent cx="3892550"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9">
                      <a:extLst>
                        <a:ext uri="{28A0092B-C50C-407E-A947-70E740481C1C}"/>
                      </a:extLst>
                    </a:blip>
                    <a:srcRect/>
                    <a:stretch>
                      <a:fillRect/>
                    </a:stretch>
                  </pic:blipFill>
                  <pic:spPr bwMode="auto">
                    <a:xfrm>
                      <a:off x="0" y="0"/>
                      <a:ext cx="3892550" cy="50800"/>
                    </a:xfrm>
                    <a:prstGeom prst="rect">
                      <a:avLst/>
                    </a:prstGeom>
                    <a:noFill/>
                  </pic:spPr>
                </pic:pic>
              </a:graphicData>
            </a:graphic>
          </wp:anchor>
        </w:drawing>
      </w:r>
    </w:p>
    <w:p>
      <w:pPr>
        <w:ind w:left="370" w:right="180" w:hanging="370"/>
        <w:spacing w:after="0" w:line="283" w:lineRule="auto"/>
        <w:tabs>
          <w:tab w:leader="none" w:pos="370" w:val="left"/>
        </w:tabs>
        <w:numPr>
          <w:ilvl w:val="0"/>
          <w:numId w:val="52"/>
        </w:numPr>
        <w:rPr>
          <w:rFonts w:ascii="Arial" w:cs="Arial" w:eastAsia="Arial" w:hAnsi="Arial"/>
          <w:sz w:val="18"/>
          <w:szCs w:val="18"/>
          <w:color w:val="auto"/>
        </w:rPr>
      </w:pPr>
      <w:r>
        <w:rPr>
          <w:rFonts w:ascii="Arial" w:cs="Arial" w:eastAsia="Arial" w:hAnsi="Arial"/>
          <w:sz w:val="20"/>
          <w:szCs w:val="20"/>
          <w:color w:val="auto"/>
        </w:rPr>
        <w:t>Represents the total notional amounts for certain of the Company’s supply and sales contracts accounted for as embedded derivatives.</w:t>
      </w:r>
    </w:p>
    <w:p>
      <w:pPr>
        <w:spacing w:after="0" w:line="138" w:lineRule="exact"/>
        <w:rPr>
          <w:sz w:val="20"/>
          <w:szCs w:val="20"/>
          <w:color w:val="auto"/>
        </w:rPr>
      </w:pPr>
    </w:p>
    <w:p>
      <w:pPr>
        <w:ind w:left="10" w:right="280"/>
        <w:spacing w:after="0" w:line="261" w:lineRule="auto"/>
        <w:rPr>
          <w:sz w:val="20"/>
          <w:szCs w:val="20"/>
          <w:color w:val="auto"/>
        </w:rPr>
      </w:pPr>
      <w:r>
        <w:rPr>
          <w:rFonts w:ascii="Arial" w:cs="Arial" w:eastAsia="Arial" w:hAnsi="Arial"/>
          <w:sz w:val="20"/>
          <w:szCs w:val="20"/>
          <w:color w:val="auto"/>
        </w:rPr>
        <w:t>Embedded derivatives assets/liabilities and foreign currency forward contracts are included in “Prepaid expenses and other current assets” and “Accrued Liabilities” on our Consolidated Balance Sheets depending upon their position at period end. Interest rate swaps are included in “Other assets” and “Noncurrent liabilities” on the Consolidated Balance Sheets depending upon their position at period end.</w:t>
      </w:r>
    </w:p>
    <w:p>
      <w:pPr>
        <w:spacing w:after="0" w:line="160" w:lineRule="exact"/>
        <w:rPr>
          <w:sz w:val="20"/>
          <w:szCs w:val="20"/>
          <w:color w:val="auto"/>
        </w:rPr>
      </w:pPr>
    </w:p>
    <w:p>
      <w:pPr>
        <w:ind w:left="10" w:right="100"/>
        <w:spacing w:after="0" w:line="283" w:lineRule="auto"/>
        <w:rPr>
          <w:sz w:val="20"/>
          <w:szCs w:val="20"/>
          <w:color w:val="auto"/>
        </w:rPr>
      </w:pPr>
      <w:r>
        <w:rPr>
          <w:rFonts w:ascii="Arial" w:cs="Arial" w:eastAsia="Arial" w:hAnsi="Arial"/>
          <w:sz w:val="20"/>
          <w:szCs w:val="20"/>
          <w:color w:val="auto"/>
        </w:rPr>
        <w:t>The following table summarizes the activities of our derivative instruments for the periods presented, and the line item they are recorded in the Consolidated Statements of Operations and Comprehensive Income (Loss):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10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8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20"/>
                <w:szCs w:val="20"/>
                <w:color w:val="auto"/>
              </w:rPr>
            </w:pPr>
          </w:p>
        </w:tc>
        <w:tc>
          <w:tcPr>
            <w:tcW w:w="800" w:type="dxa"/>
            <w:vAlign w:val="bottom"/>
          </w:tcPr>
          <w:p>
            <w:pPr>
              <w:jc w:val="right"/>
              <w:ind w:right="284"/>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6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8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60" w:type="dxa"/>
            <w:vAlign w:val="bottom"/>
            <w:tcBorders>
              <w:top w:val="single" w:sz="8" w:color="auto"/>
              <w:bottom w:val="single" w:sz="8" w:color="D2EEF5"/>
            </w:tcBorders>
          </w:tcPr>
          <w:p>
            <w:pPr>
              <w:spacing w:after="0" w:line="20" w:lineRule="exact"/>
              <w:rPr>
                <w:sz w:val="1"/>
                <w:szCs w:val="1"/>
                <w:color w:val="auto"/>
              </w:rPr>
            </w:pPr>
          </w:p>
        </w:tc>
        <w:tc>
          <w:tcPr>
            <w:tcW w:w="5040" w:type="dxa"/>
            <w:vAlign w:val="bottom"/>
            <w:tcBorders>
              <w:bottom w:val="single" w:sz="8" w:color="D2EE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EE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684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Realized gain on interest rate derivatives recorded in interest expense, net</w:t>
            </w:r>
            <w:r>
              <w:rPr>
                <w:rFonts w:ascii="Arial" w:cs="Arial" w:eastAsia="Arial" w:hAnsi="Arial"/>
                <w:sz w:val="13"/>
                <w:szCs w:val="13"/>
                <w:color w:val="auto"/>
              </w:rPr>
              <w:t>(a)</w:t>
            </w:r>
          </w:p>
        </w:tc>
        <w:tc>
          <w:tcPr>
            <w:tcW w:w="260" w:type="dxa"/>
            <w:vAlign w:val="bottom"/>
            <w:shd w:val="clear" w:color="auto" w:fill="D2EEF5"/>
          </w:tcPr>
          <w:p>
            <w:pPr>
              <w:jc w:val="right"/>
              <w:ind w:right="20"/>
              <w:spacing w:after="0"/>
              <w:rPr>
                <w:sz w:val="20"/>
                <w:szCs w:val="20"/>
                <w:color w:val="auto"/>
              </w:rPr>
            </w:pPr>
            <w:r>
              <w:rPr>
                <w:rFonts w:ascii="Arial" w:cs="Arial" w:eastAsia="Arial" w:hAnsi="Arial"/>
                <w:sz w:val="20"/>
                <w:szCs w:val="20"/>
                <w:b w:val="1"/>
                <w:bCs w:val="1"/>
                <w:color w:val="auto"/>
              </w:rPr>
              <w:t>$</w:t>
            </w:r>
          </w:p>
        </w:tc>
        <w:tc>
          <w:tcPr>
            <w:tcW w:w="8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(1,505)</w:t>
            </w:r>
          </w:p>
        </w:tc>
        <w:tc>
          <w:tcPr>
            <w:tcW w:w="380" w:type="dxa"/>
            <w:vAlign w:val="bottom"/>
            <w:gridSpan w:val="2"/>
            <w:shd w:val="clear" w:color="auto" w:fill="D2EEF5"/>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(13,233)</w:t>
            </w:r>
          </w:p>
        </w:tc>
        <w:tc>
          <w:tcPr>
            <w:tcW w:w="320" w:type="dxa"/>
            <w:vAlign w:val="bottom"/>
            <w:gridSpan w:val="2"/>
            <w:shd w:val="clear" w:color="auto" w:fill="D2EEF5"/>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(33,094)</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840" w:type="dxa"/>
            <w:vAlign w:val="bottom"/>
            <w:gridSpan w:val="3"/>
          </w:tcPr>
          <w:p>
            <w:pPr>
              <w:spacing w:after="0"/>
              <w:rPr>
                <w:sz w:val="20"/>
                <w:szCs w:val="20"/>
                <w:color w:val="auto"/>
              </w:rPr>
            </w:pPr>
            <w:r>
              <w:rPr>
                <w:rFonts w:ascii="Arial" w:cs="Arial" w:eastAsia="Arial" w:hAnsi="Arial"/>
                <w:sz w:val="20"/>
                <w:szCs w:val="20"/>
                <w:color w:val="auto"/>
                <w:w w:val="99"/>
              </w:rPr>
              <w:t>Unrealized (gain) loss on embedded derivatives recorded in other income, net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(863)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2,213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(1,637)</w:t>
            </w:r>
          </w:p>
        </w:tc>
        <w:tc>
          <w:tcPr>
            <w:tcW w:w="0" w:type="dxa"/>
            <w:vAlign w:val="bottom"/>
          </w:tcPr>
          <w:p>
            <w:pPr>
              <w:spacing w:after="0"/>
              <w:rPr>
                <w:sz w:val="1"/>
                <w:szCs w:val="1"/>
                <w:color w:val="auto"/>
              </w:rPr>
            </w:pPr>
          </w:p>
        </w:tc>
      </w:tr>
      <w:tr>
        <w:trPr>
          <w:trHeight w:val="228"/>
        </w:trPr>
        <w:tc>
          <w:tcPr>
            <w:tcW w:w="40" w:type="dxa"/>
            <w:vAlign w:val="bottom"/>
            <w:shd w:val="clear" w:color="auto" w:fill="D2EEF5"/>
          </w:tcPr>
          <w:p>
            <w:pPr>
              <w:spacing w:after="0"/>
              <w:rPr>
                <w:sz w:val="19"/>
                <w:szCs w:val="19"/>
                <w:color w:val="auto"/>
              </w:rPr>
            </w:pPr>
          </w:p>
        </w:tc>
        <w:tc>
          <w:tcPr>
            <w:tcW w:w="6840" w:type="dxa"/>
            <w:vAlign w:val="bottom"/>
            <w:gridSpan w:val="3"/>
            <w:shd w:val="clear" w:color="auto" w:fill="D2EEF5"/>
          </w:tcPr>
          <w:p>
            <w:pPr>
              <w:spacing w:after="0" w:line="229" w:lineRule="exact"/>
              <w:rPr>
                <w:sz w:val="20"/>
                <w:szCs w:val="20"/>
                <w:color w:val="auto"/>
              </w:rPr>
            </w:pPr>
            <w:r>
              <w:rPr>
                <w:rFonts w:ascii="Arial" w:cs="Arial" w:eastAsia="Arial" w:hAnsi="Arial"/>
                <w:sz w:val="20"/>
                <w:szCs w:val="20"/>
                <w:color w:val="auto"/>
                <w:w w:val="99"/>
              </w:rPr>
              <w:t>Realized (gain) loss on foreign currency forward contracts recorded in foreign</w:t>
            </w:r>
          </w:p>
        </w:tc>
        <w:tc>
          <w:tcPr>
            <w:tcW w:w="260" w:type="dxa"/>
            <w:vAlign w:val="bottom"/>
            <w:shd w:val="clear" w:color="auto" w:fill="D2EEF5"/>
          </w:tcPr>
          <w:p>
            <w:pPr>
              <w:spacing w:after="0"/>
              <w:rPr>
                <w:sz w:val="19"/>
                <w:szCs w:val="19"/>
                <w:color w:val="auto"/>
              </w:rPr>
            </w:pPr>
          </w:p>
        </w:tc>
        <w:tc>
          <w:tcPr>
            <w:tcW w:w="800" w:type="dxa"/>
            <w:vAlign w:val="bottom"/>
            <w:vMerge w:val="restart"/>
            <w:shd w:val="clear" w:color="auto" w:fill="D2EEF5"/>
          </w:tcPr>
          <w:p>
            <w:pPr>
              <w:jc w:val="right"/>
              <w:spacing w:after="0"/>
              <w:rPr>
                <w:sz w:val="20"/>
                <w:szCs w:val="20"/>
                <w:color w:val="auto"/>
              </w:rPr>
            </w:pPr>
            <w:r>
              <w:rPr>
                <w:rFonts w:ascii="Arial" w:cs="Arial" w:eastAsia="Arial" w:hAnsi="Arial"/>
                <w:sz w:val="20"/>
                <w:szCs w:val="20"/>
                <w:b w:val="1"/>
                <w:bCs w:val="1"/>
                <w:color w:val="auto"/>
              </w:rPr>
              <w:t>(6,033)</w:t>
            </w:r>
          </w:p>
        </w:tc>
        <w:tc>
          <w:tcPr>
            <w:tcW w:w="120" w:type="dxa"/>
            <w:vAlign w:val="bottom"/>
            <w:shd w:val="clear" w:color="auto" w:fill="D2EEF5"/>
          </w:tcPr>
          <w:p>
            <w:pPr>
              <w:spacing w:after="0"/>
              <w:rPr>
                <w:sz w:val="19"/>
                <w:szCs w:val="19"/>
                <w:color w:val="auto"/>
              </w:rPr>
            </w:pPr>
          </w:p>
        </w:tc>
        <w:tc>
          <w:tcPr>
            <w:tcW w:w="260" w:type="dxa"/>
            <w:vAlign w:val="bottom"/>
            <w:shd w:val="clear" w:color="auto" w:fill="D2EEF5"/>
          </w:tcPr>
          <w:p>
            <w:pPr>
              <w:spacing w:after="0"/>
              <w:rPr>
                <w:sz w:val="19"/>
                <w:szCs w:val="19"/>
                <w:color w:val="auto"/>
              </w:rPr>
            </w:pPr>
          </w:p>
        </w:tc>
        <w:tc>
          <w:tcPr>
            <w:tcW w:w="800" w:type="dxa"/>
            <w:vAlign w:val="bottom"/>
            <w:vMerge w:val="restart"/>
            <w:shd w:val="clear" w:color="auto" w:fill="D2EEF5"/>
          </w:tcPr>
          <w:p>
            <w:pPr>
              <w:jc w:val="right"/>
              <w:spacing w:after="0"/>
              <w:rPr>
                <w:sz w:val="20"/>
                <w:szCs w:val="20"/>
                <w:color w:val="auto"/>
              </w:rPr>
            </w:pPr>
            <w:r>
              <w:rPr>
                <w:rFonts w:ascii="Arial" w:cs="Arial" w:eastAsia="Arial" w:hAnsi="Arial"/>
                <w:sz w:val="20"/>
                <w:szCs w:val="20"/>
                <w:color w:val="auto"/>
              </w:rPr>
              <w:t>18,055</w:t>
            </w:r>
          </w:p>
        </w:tc>
        <w:tc>
          <w:tcPr>
            <w:tcW w:w="60" w:type="dxa"/>
            <w:vAlign w:val="bottom"/>
            <w:shd w:val="clear" w:color="auto" w:fill="D2EEF5"/>
          </w:tcPr>
          <w:p>
            <w:pPr>
              <w:spacing w:after="0"/>
              <w:rPr>
                <w:sz w:val="19"/>
                <w:szCs w:val="19"/>
                <w:color w:val="auto"/>
              </w:rPr>
            </w:pPr>
          </w:p>
        </w:tc>
        <w:tc>
          <w:tcPr>
            <w:tcW w:w="260" w:type="dxa"/>
            <w:vAlign w:val="bottom"/>
            <w:shd w:val="clear" w:color="auto" w:fill="D2EEF5"/>
          </w:tcPr>
          <w:p>
            <w:pPr>
              <w:spacing w:after="0"/>
              <w:rPr>
                <w:sz w:val="19"/>
                <w:szCs w:val="19"/>
                <w:color w:val="auto"/>
              </w:rPr>
            </w:pPr>
          </w:p>
        </w:tc>
        <w:tc>
          <w:tcPr>
            <w:tcW w:w="820" w:type="dxa"/>
            <w:vAlign w:val="bottom"/>
            <w:vMerge w:val="restart"/>
            <w:shd w:val="clear" w:color="auto" w:fill="D2EEF5"/>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73"/>
        </w:trPr>
        <w:tc>
          <w:tcPr>
            <w:tcW w:w="40" w:type="dxa"/>
            <w:vAlign w:val="bottom"/>
            <w:shd w:val="clear" w:color="auto" w:fill="D2EEF5"/>
          </w:tcPr>
          <w:p>
            <w:pPr>
              <w:spacing w:after="0"/>
              <w:rPr>
                <w:sz w:val="23"/>
                <w:szCs w:val="23"/>
                <w:color w:val="auto"/>
              </w:rPr>
            </w:pPr>
          </w:p>
        </w:tc>
        <w:tc>
          <w:tcPr>
            <w:tcW w:w="6840" w:type="dxa"/>
            <w:vAlign w:val="bottom"/>
            <w:gridSpan w:val="3"/>
            <w:shd w:val="clear" w:color="auto" w:fill="D2EEF5"/>
          </w:tcPr>
          <w:p>
            <w:pPr>
              <w:ind w:left="360"/>
              <w:spacing w:after="0"/>
              <w:rPr>
                <w:sz w:val="20"/>
                <w:szCs w:val="20"/>
                <w:color w:val="auto"/>
              </w:rPr>
            </w:pPr>
            <w:r>
              <w:rPr>
                <w:rFonts w:ascii="Arial" w:cs="Arial" w:eastAsia="Arial" w:hAnsi="Arial"/>
                <w:sz w:val="20"/>
                <w:szCs w:val="20"/>
                <w:color w:val="auto"/>
              </w:rPr>
              <w:t>exchange loss</w:t>
            </w:r>
          </w:p>
        </w:tc>
        <w:tc>
          <w:tcPr>
            <w:tcW w:w="260" w:type="dxa"/>
            <w:vAlign w:val="bottom"/>
            <w:shd w:val="clear" w:color="auto" w:fill="D2EEF5"/>
          </w:tcPr>
          <w:p>
            <w:pPr>
              <w:spacing w:after="0"/>
              <w:rPr>
                <w:sz w:val="23"/>
                <w:szCs w:val="23"/>
                <w:color w:val="auto"/>
              </w:rPr>
            </w:pPr>
          </w:p>
        </w:tc>
        <w:tc>
          <w:tcPr>
            <w:tcW w:w="800" w:type="dxa"/>
            <w:vAlign w:val="bottom"/>
            <w:vMerge w:val="continue"/>
            <w:shd w:val="clear" w:color="auto" w:fill="D2EEF5"/>
          </w:tcPr>
          <w:p>
            <w:pPr>
              <w:spacing w:after="0"/>
              <w:rPr>
                <w:sz w:val="23"/>
                <w:szCs w:val="23"/>
                <w:color w:val="auto"/>
              </w:rPr>
            </w:pPr>
          </w:p>
        </w:tc>
        <w:tc>
          <w:tcPr>
            <w:tcW w:w="120" w:type="dxa"/>
            <w:vAlign w:val="bottom"/>
            <w:shd w:val="clear" w:color="auto" w:fill="D2EEF5"/>
          </w:tcPr>
          <w:p>
            <w:pPr>
              <w:spacing w:after="0"/>
              <w:rPr>
                <w:sz w:val="23"/>
                <w:szCs w:val="23"/>
                <w:color w:val="auto"/>
              </w:rPr>
            </w:pPr>
          </w:p>
        </w:tc>
        <w:tc>
          <w:tcPr>
            <w:tcW w:w="260" w:type="dxa"/>
            <w:vAlign w:val="bottom"/>
            <w:shd w:val="clear" w:color="auto" w:fill="D2EEF5"/>
          </w:tcPr>
          <w:p>
            <w:pPr>
              <w:spacing w:after="0"/>
              <w:rPr>
                <w:sz w:val="23"/>
                <w:szCs w:val="23"/>
                <w:color w:val="auto"/>
              </w:rPr>
            </w:pPr>
          </w:p>
        </w:tc>
        <w:tc>
          <w:tcPr>
            <w:tcW w:w="800" w:type="dxa"/>
            <w:vAlign w:val="bottom"/>
            <w:vMerge w:val="continue"/>
            <w:shd w:val="clear" w:color="auto" w:fill="D2EEF5"/>
          </w:tcPr>
          <w:p>
            <w:pPr>
              <w:spacing w:after="0"/>
              <w:rPr>
                <w:sz w:val="23"/>
                <w:szCs w:val="23"/>
                <w:color w:val="auto"/>
              </w:rPr>
            </w:pPr>
          </w:p>
        </w:tc>
        <w:tc>
          <w:tcPr>
            <w:tcW w:w="60" w:type="dxa"/>
            <w:vAlign w:val="bottom"/>
            <w:shd w:val="clear" w:color="auto" w:fill="D2EEF5"/>
          </w:tcPr>
          <w:p>
            <w:pPr>
              <w:spacing w:after="0"/>
              <w:rPr>
                <w:sz w:val="23"/>
                <w:szCs w:val="23"/>
                <w:color w:val="auto"/>
              </w:rPr>
            </w:pPr>
          </w:p>
        </w:tc>
        <w:tc>
          <w:tcPr>
            <w:tcW w:w="260" w:type="dxa"/>
            <w:vAlign w:val="bottom"/>
            <w:shd w:val="clear" w:color="auto" w:fill="D2EEF5"/>
          </w:tcPr>
          <w:p>
            <w:pPr>
              <w:spacing w:after="0"/>
              <w:rPr>
                <w:sz w:val="23"/>
                <w:szCs w:val="23"/>
                <w:color w:val="auto"/>
              </w:rPr>
            </w:pPr>
          </w:p>
        </w:tc>
        <w:tc>
          <w:tcPr>
            <w:tcW w:w="820" w:type="dxa"/>
            <w:vAlign w:val="bottom"/>
            <w:vMerge w:val="continue"/>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840" w:type="dxa"/>
            <w:vAlign w:val="bottom"/>
            <w:gridSpan w:val="3"/>
          </w:tcPr>
          <w:p>
            <w:pPr>
              <w:spacing w:after="0" w:line="192" w:lineRule="exact"/>
              <w:rPr>
                <w:sz w:val="20"/>
                <w:szCs w:val="20"/>
                <w:color w:val="auto"/>
              </w:rPr>
            </w:pPr>
            <w:r>
              <w:rPr>
                <w:rFonts w:ascii="Arial" w:cs="Arial" w:eastAsia="Arial" w:hAnsi="Arial"/>
                <w:sz w:val="20"/>
                <w:szCs w:val="20"/>
                <w:color w:val="auto"/>
                <w:w w:val="97"/>
              </w:rPr>
              <w:t>Unrealized (gain) loss on foreign currency forward contracts recorded in foreign</w:t>
            </w:r>
          </w:p>
        </w:tc>
        <w:tc>
          <w:tcPr>
            <w:tcW w:w="2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249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(412)</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6840" w:type="dxa"/>
            <w:vAlign w:val="bottom"/>
            <w:gridSpan w:val="3"/>
          </w:tcPr>
          <w:p>
            <w:pPr>
              <w:ind w:left="360"/>
              <w:spacing w:after="0"/>
              <w:rPr>
                <w:sz w:val="20"/>
                <w:szCs w:val="20"/>
                <w:color w:val="auto"/>
              </w:rPr>
            </w:pPr>
            <w:r>
              <w:rPr>
                <w:rFonts w:ascii="Arial" w:cs="Arial" w:eastAsia="Arial" w:hAnsi="Arial"/>
                <w:sz w:val="20"/>
                <w:szCs w:val="20"/>
                <w:color w:val="auto"/>
              </w:rPr>
              <w:t>exchange loss</w:t>
            </w:r>
          </w:p>
        </w:tc>
        <w:tc>
          <w:tcPr>
            <w:tcW w:w="2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630" w:hanging="630"/>
        <w:spacing w:after="0"/>
        <w:tabs>
          <w:tab w:leader="none" w:pos="630" w:val="left"/>
        </w:tabs>
        <w:numPr>
          <w:ilvl w:val="0"/>
          <w:numId w:val="53"/>
        </w:numPr>
        <w:rPr>
          <w:rFonts w:ascii="Arial" w:cs="Arial" w:eastAsia="Arial" w:hAnsi="Arial"/>
          <w:sz w:val="19"/>
          <w:szCs w:val="19"/>
          <w:color w:val="auto"/>
        </w:rPr>
      </w:pPr>
      <w:r>
        <w:rPr>
          <w:rFonts w:ascii="Arial" w:cs="Arial" w:eastAsia="Arial" w:hAnsi="Arial"/>
          <w:sz w:val="19"/>
          <w:szCs w:val="19"/>
          <w:color w:val="auto"/>
        </w:rPr>
        <w:t>A</w:t>
      </w:r>
      <w:r>
        <w:rPr>
          <w:rFonts w:ascii="Arial" w:cs="Arial" w:eastAsia="Arial" w:hAnsi="Arial"/>
          <w:sz w:val="18"/>
          <w:szCs w:val="18"/>
          <w:color w:val="auto"/>
        </w:rPr>
        <w:t>mounts represent periodic settlement of interest rate caps and swaps.</w:t>
      </w:r>
    </w:p>
    <w:p>
      <w:pPr>
        <w:spacing w:after="0" w:line="126" w:lineRule="exact"/>
        <w:rPr>
          <w:sz w:val="20"/>
          <w:szCs w:val="20"/>
          <w:color w:val="auto"/>
        </w:rPr>
      </w:pPr>
    </w:p>
    <w:p>
      <w:pPr>
        <w:ind w:left="10" w:right="140"/>
        <w:spacing w:after="0" w:line="275" w:lineRule="auto"/>
        <w:rPr>
          <w:sz w:val="20"/>
          <w:szCs w:val="20"/>
          <w:color w:val="auto"/>
        </w:rPr>
      </w:pPr>
      <w:r>
        <w:rPr>
          <w:rFonts w:ascii="Arial" w:cs="Arial" w:eastAsia="Arial" w:hAnsi="Arial"/>
          <w:sz w:val="19"/>
          <w:szCs w:val="19"/>
          <w:color w:val="auto"/>
        </w:rPr>
        <w:t>We expect to reclassify approximately $1.0 million of after-tax net losses on derivative instruments from accumulated other comprehensive income (loss) to income during the next 12 months associated with our cash flow hedges. Refer to Note 13, “Other Comprehensive Income (Loss)” for unrealized gains on interest rate derivatives, net of applicable tax, recorded in other comprehensive income (loss) and amounts reclassified from accumulated other comprehensive income to interest expense, net of applicable tax, during the years ended December 31, 2025 and December 31, 2024.</w:t>
      </w:r>
    </w:p>
    <w:p>
      <w:pPr>
        <w:spacing w:after="0" w:line="140"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Credit Risk</w:t>
      </w:r>
    </w:p>
    <w:p>
      <w:pPr>
        <w:spacing w:after="0" w:line="218" w:lineRule="exact"/>
        <w:rPr>
          <w:sz w:val="20"/>
          <w:szCs w:val="20"/>
          <w:color w:val="auto"/>
        </w:rPr>
      </w:pPr>
    </w:p>
    <w:p>
      <w:pPr>
        <w:ind w:left="10"/>
        <w:spacing w:after="0"/>
        <w:rPr>
          <w:sz w:val="20"/>
          <w:szCs w:val="20"/>
          <w:color w:val="auto"/>
        </w:rPr>
      </w:pPr>
      <w:r>
        <w:rPr>
          <w:rFonts w:ascii="Arial" w:cs="Arial" w:eastAsia="Arial" w:hAnsi="Arial"/>
          <w:sz w:val="20"/>
          <w:szCs w:val="20"/>
          <w:color w:val="auto"/>
        </w:rPr>
        <w:t>Certain of our financial assets, including cash and cash equivalents, are exposed to credit risk.</w:t>
      </w:r>
    </w:p>
    <w:p>
      <w:pPr>
        <w:spacing w:after="0" w:line="210" w:lineRule="exact"/>
        <w:rPr>
          <w:sz w:val="20"/>
          <w:szCs w:val="20"/>
          <w:color w:val="auto"/>
        </w:rPr>
      </w:pPr>
    </w:p>
    <w:p>
      <w:pPr>
        <w:ind w:left="10" w:right="200"/>
        <w:spacing w:after="0" w:line="341" w:lineRule="auto"/>
        <w:rPr>
          <w:sz w:val="20"/>
          <w:szCs w:val="20"/>
          <w:color w:val="auto"/>
        </w:rPr>
      </w:pPr>
      <w:r>
        <w:rPr>
          <w:rFonts w:ascii="Arial" w:cs="Arial" w:eastAsia="Arial" w:hAnsi="Arial"/>
          <w:sz w:val="18"/>
          <w:szCs w:val="18"/>
          <w:color w:val="auto"/>
        </w:rPr>
        <w:t>We are also exposed, in our normal course of business, to credit risk from our customers. As of December 31, 2025 and 2024, accounts receivable was net of an allowance for uncollectible accounts of $3.0 million and $2.5 million, respectively.</w:t>
      </w:r>
    </w:p>
    <w:p>
      <w:pPr>
        <w:spacing w:after="0" w:line="92" w:lineRule="exact"/>
        <w:rPr>
          <w:sz w:val="20"/>
          <w:szCs w:val="20"/>
          <w:color w:val="auto"/>
        </w:rPr>
      </w:pPr>
    </w:p>
    <w:p>
      <w:pPr>
        <w:ind w:left="10" w:right="20"/>
        <w:spacing w:after="0" w:line="258" w:lineRule="auto"/>
        <w:rPr>
          <w:sz w:val="20"/>
          <w:szCs w:val="20"/>
          <w:color w:val="auto"/>
        </w:rPr>
      </w:pPr>
      <w:r>
        <w:rPr>
          <w:rFonts w:ascii="Arial" w:cs="Arial" w:eastAsia="Arial" w:hAnsi="Arial"/>
          <w:sz w:val="20"/>
          <w:szCs w:val="20"/>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64" w:lineRule="exact"/>
        <w:rPr>
          <w:sz w:val="20"/>
          <w:szCs w:val="20"/>
          <w:color w:val="auto"/>
        </w:rPr>
      </w:pPr>
    </w:p>
    <w:p>
      <w:pPr>
        <w:ind w:left="10" w:right="220"/>
        <w:spacing w:after="0" w:line="341" w:lineRule="auto"/>
        <w:rPr>
          <w:sz w:val="20"/>
          <w:szCs w:val="20"/>
          <w:color w:val="auto"/>
        </w:rPr>
      </w:pPr>
      <w:r>
        <w:rPr>
          <w:rFonts w:ascii="Arial" w:cs="Arial" w:eastAsia="Arial" w:hAnsi="Arial"/>
          <w:sz w:val="18"/>
          <w:szCs w:val="18"/>
          <w:color w:val="auto"/>
        </w:rPr>
        <w:t>Our credit team evaluates and regularly monitors changes in the credit risk of our customers. We routinely assess the collectability of accounts receivable and maintain an adequate allowance for uncollectible accounts to address potential credit</w:t>
      </w:r>
    </w:p>
    <w:p>
      <w:pPr>
        <w:sectPr>
          <w:pgSz w:w="11880" w:h="15480" w:orient="portrait"/>
          <w:cols w:equalWidth="0" w:num="1">
            <w:col w:w="10270"/>
          </w:cols>
          <w:pgMar w:left="810" w:top="422" w:right="8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104</w:t>
      </w:r>
    </w:p>
    <w:p>
      <w:pPr>
        <w:sectPr>
          <w:pgSz w:w="11880" w:h="15480" w:orient="portrait"/>
          <w:cols w:equalWidth="0" w:num="1">
            <w:col w:w="10270"/>
          </w:cols>
          <w:pgMar w:left="810" w:top="422" w:right="800" w:bottom="0" w:gutter="0" w:footer="0" w:header="0"/>
          <w:type w:val="continuous"/>
        </w:sectPr>
      </w:pPr>
    </w:p>
    <w:bookmarkStart w:id="112" w:name="page113"/>
    <w:bookmarkEnd w:id="112"/>
    <w:p>
      <w:pPr>
        <w:jc w:val="center"/>
        <w:ind w:right="10"/>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10"/>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left="10" w:right="120"/>
        <w:spacing w:after="0" w:line="258" w:lineRule="auto"/>
        <w:rPr>
          <w:sz w:val="20"/>
          <w:szCs w:val="20"/>
          <w:color w:val="auto"/>
        </w:rPr>
      </w:pPr>
      <w:r>
        <w:rPr>
          <w:rFonts w:ascii="Arial" w:cs="Arial" w:eastAsia="Arial" w:hAnsi="Arial"/>
          <w:sz w:val="20"/>
          <w:szCs w:val="20"/>
          <w:color w:val="auto"/>
        </w:rPr>
        <w:t>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156"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Fair Value Hierarchy</w:t>
      </w:r>
    </w:p>
    <w:p>
      <w:pPr>
        <w:spacing w:after="0" w:line="218" w:lineRule="exact"/>
        <w:rPr>
          <w:sz w:val="20"/>
          <w:szCs w:val="20"/>
          <w:color w:val="auto"/>
        </w:rPr>
      </w:pPr>
    </w:p>
    <w:p>
      <w:pPr>
        <w:ind w:left="10" w:right="20"/>
        <w:spacing w:after="0" w:line="288" w:lineRule="auto"/>
        <w:rPr>
          <w:sz w:val="20"/>
          <w:szCs w:val="20"/>
          <w:color w:val="auto"/>
        </w:rPr>
      </w:pPr>
      <w:r>
        <w:rPr>
          <w:rFonts w:ascii="Arial" w:cs="Arial" w:eastAsia="Arial" w:hAnsi="Arial"/>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41"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following table discloses the fair value our financial assets and liabilities:</w:t>
      </w:r>
    </w:p>
    <w:p>
      <w:pPr>
        <w:sectPr>
          <w:pgSz w:w="11880" w:h="15480" w:orient="portrait"/>
          <w:cols w:equalWidth="0" w:num="1">
            <w:col w:w="10270"/>
          </w:cols>
          <w:pgMar w:left="810" w:top="422" w:right="800" w:bottom="0" w:gutter="0" w:footer="0" w:header="0"/>
        </w:sectPr>
      </w:pPr>
    </w:p>
    <w:p>
      <w:pPr>
        <w:spacing w:after="0" w:line="204" w:lineRule="exact"/>
        <w:rPr>
          <w:sz w:val="20"/>
          <w:szCs w:val="20"/>
          <w:color w:val="auto"/>
        </w:rPr>
      </w:pPr>
    </w:p>
    <w:p>
      <w:pPr>
        <w:ind w:left="50"/>
        <w:spacing w:after="0"/>
        <w:rPr>
          <w:sz w:val="20"/>
          <w:szCs w:val="20"/>
          <w:color w:val="auto"/>
        </w:rPr>
      </w:pPr>
      <w:r>
        <w:rPr>
          <w:rFonts w:ascii="Arial" w:cs="Arial" w:eastAsia="Arial" w:hAnsi="Arial"/>
          <w:sz w:val="16"/>
          <w:szCs w:val="16"/>
          <w:b w:val="1"/>
          <w:bCs w:val="1"/>
          <w:u w:val="single" w:color="auto"/>
          <w:color w:val="auto"/>
        </w:rPr>
        <w:t>As of December 31, 2025</w:t>
      </w:r>
    </w:p>
    <w:p>
      <w:pPr>
        <w:spacing w:after="0" w:line="236" w:lineRule="exact"/>
        <w:rPr>
          <w:sz w:val="20"/>
          <w:szCs w:val="20"/>
          <w:color w:val="auto"/>
        </w:rPr>
      </w:pPr>
    </w:p>
    <w:p>
      <w:pPr>
        <w:ind w:left="50"/>
        <w:spacing w:after="0"/>
        <w:rPr>
          <w:sz w:val="20"/>
          <w:szCs w:val="20"/>
          <w:color w:val="auto"/>
        </w:rPr>
      </w:pPr>
      <w:r>
        <w:rPr>
          <w:rFonts w:ascii="Arial" w:cs="Arial" w:eastAsia="Arial" w:hAnsi="Arial"/>
          <w:sz w:val="16"/>
          <w:szCs w:val="16"/>
          <w:b w:val="1"/>
          <w:bCs w:val="1"/>
          <w:i w:val="1"/>
          <w:iCs w:val="1"/>
          <w:u w:val="single" w:color="auto"/>
          <w:color w:val="auto"/>
        </w:rPr>
        <w:t>(thousands of U.S. dollars)</w:t>
      </w:r>
    </w:p>
    <w:p>
      <w:pPr>
        <w:spacing w:after="0" w:line="34" w:lineRule="exact"/>
        <w:rPr>
          <w:sz w:val="20"/>
          <w:szCs w:val="20"/>
          <w:color w:val="auto"/>
        </w:rPr>
      </w:pPr>
    </w:p>
    <w:p>
      <w:pPr>
        <w:ind w:left="50"/>
        <w:spacing w:after="0"/>
        <w:rPr>
          <w:sz w:val="20"/>
          <w:szCs w:val="20"/>
          <w:color w:val="auto"/>
        </w:rPr>
      </w:pPr>
      <w:r>
        <w:rPr>
          <w:rFonts w:ascii="Arial" w:cs="Arial" w:eastAsia="Arial" w:hAnsi="Arial"/>
          <w:sz w:val="19"/>
          <w:szCs w:val="19"/>
          <w:color w:val="auto"/>
        </w:rPr>
        <w:t>Derivatives designated as hedging instruments</w:t>
      </w:r>
      <w:r>
        <w:rPr>
          <w:rFonts w:ascii="Arial" w:cs="Arial" w:eastAsia="Arial" w:hAnsi="Arial"/>
          <w:sz w:val="12"/>
          <w:szCs w:val="12"/>
          <w:color w:val="auto"/>
        </w:rPr>
        <w:t>(a)</w:t>
      </w:r>
    </w:p>
    <w:p>
      <w:pPr>
        <w:spacing w:after="0" w:line="67" w:lineRule="exact"/>
        <w:rPr>
          <w:sz w:val="20"/>
          <w:szCs w:val="20"/>
          <w:color w:val="auto"/>
        </w:rPr>
      </w:pPr>
    </w:p>
    <w:p>
      <w:pPr>
        <w:ind w:left="290"/>
        <w:spacing w:after="0"/>
        <w:rPr>
          <w:sz w:val="20"/>
          <w:szCs w:val="20"/>
          <w:color w:val="auto"/>
        </w:rPr>
      </w:pPr>
      <w:r>
        <w:rPr>
          <w:rFonts w:ascii="Arial" w:cs="Arial" w:eastAsia="Arial" w:hAnsi="Arial"/>
          <w:sz w:val="20"/>
          <w:szCs w:val="20"/>
          <w:color w:val="auto"/>
        </w:rPr>
        <w:t>Interest rate swap liability</w:t>
      </w:r>
    </w:p>
    <w:p>
      <w:pPr>
        <w:spacing w:after="0" w:line="55" w:lineRule="exact"/>
        <w:rPr>
          <w:sz w:val="20"/>
          <w:szCs w:val="20"/>
          <w:color w:val="auto"/>
        </w:rPr>
      </w:pPr>
    </w:p>
    <w:p>
      <w:pPr>
        <w:ind w:left="50"/>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12"/>
          <w:szCs w:val="12"/>
          <w:color w:val="auto"/>
        </w:rPr>
        <w:t>(b)</w:t>
      </w:r>
    </w:p>
    <w:p>
      <w:pPr>
        <w:spacing w:after="0" w:line="78" w:lineRule="exact"/>
        <w:rPr>
          <w:sz w:val="20"/>
          <w:szCs w:val="20"/>
          <w:color w:val="auto"/>
        </w:rPr>
      </w:pPr>
    </w:p>
    <w:p>
      <w:pPr>
        <w:ind w:left="290"/>
        <w:spacing w:after="0"/>
        <w:rPr>
          <w:sz w:val="20"/>
          <w:szCs w:val="20"/>
          <w:color w:val="auto"/>
        </w:rPr>
      </w:pPr>
      <w:r>
        <w:rPr>
          <w:rFonts w:ascii="Arial" w:cs="Arial" w:eastAsia="Arial" w:hAnsi="Arial"/>
          <w:sz w:val="20"/>
          <w:szCs w:val="20"/>
          <w:color w:val="auto"/>
        </w:rPr>
        <w:t>Embedded derivative assets</w:t>
      </w:r>
    </w:p>
    <w:p>
      <w:pPr>
        <w:spacing w:after="0" w:line="55" w:lineRule="exact"/>
        <w:rPr>
          <w:sz w:val="20"/>
          <w:szCs w:val="20"/>
          <w:color w:val="auto"/>
        </w:rPr>
      </w:pPr>
    </w:p>
    <w:p>
      <w:pPr>
        <w:ind w:left="290"/>
        <w:spacing w:after="0"/>
        <w:rPr>
          <w:sz w:val="20"/>
          <w:szCs w:val="20"/>
          <w:color w:val="auto"/>
        </w:rPr>
      </w:pPr>
      <w:r>
        <w:rPr>
          <w:rFonts w:ascii="Arial" w:cs="Arial" w:eastAsia="Arial" w:hAnsi="Arial"/>
          <w:sz w:val="20"/>
          <w:szCs w:val="20"/>
          <w:color w:val="auto"/>
        </w:rPr>
        <w:t>Embedded derivative liabilities</w:t>
      </w:r>
    </w:p>
    <w:p>
      <w:pPr>
        <w:spacing w:after="0" w:line="55" w:lineRule="exact"/>
        <w:rPr>
          <w:sz w:val="20"/>
          <w:szCs w:val="20"/>
          <w:color w:val="auto"/>
        </w:rPr>
      </w:pPr>
    </w:p>
    <w:p>
      <w:pPr>
        <w:ind w:left="50"/>
        <w:spacing w:after="0"/>
        <w:rPr>
          <w:sz w:val="20"/>
          <w:szCs w:val="20"/>
          <w:color w:val="auto"/>
        </w:rPr>
      </w:pPr>
      <w:r>
        <w:rPr>
          <w:rFonts w:ascii="Arial" w:cs="Arial" w:eastAsia="Arial" w:hAnsi="Arial"/>
          <w:sz w:val="20"/>
          <w:szCs w:val="20"/>
          <w:color w:val="auto"/>
        </w:rPr>
        <w:t>Current portion of long-term debt</w:t>
      </w: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86"/>
        </w:trPr>
        <w:tc>
          <w:tcPr>
            <w:tcW w:w="1160" w:type="dxa"/>
            <w:vAlign w:val="bottom"/>
            <w:gridSpan w:val="2"/>
          </w:tcPr>
          <w:p>
            <w:pPr>
              <w:ind w:left="220"/>
              <w:spacing w:after="0"/>
              <w:rPr>
                <w:sz w:val="20"/>
                <w:szCs w:val="20"/>
                <w:color w:val="auto"/>
              </w:rPr>
            </w:pPr>
            <w:r>
              <w:rPr>
                <w:rFonts w:ascii="Arial" w:cs="Arial" w:eastAsia="Arial" w:hAnsi="Arial"/>
                <w:sz w:val="16"/>
                <w:szCs w:val="16"/>
                <w:b w:val="1"/>
                <w:bCs w:val="1"/>
                <w:color w:val="auto"/>
              </w:rPr>
              <w:t>Carrying</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9"/>
        </w:trPr>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9"/>
                <w:szCs w:val="19"/>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9"/>
                <w:szCs w:val="19"/>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Level 3</w:t>
            </w:r>
          </w:p>
        </w:tc>
      </w:tr>
      <w:tr>
        <w:trPr>
          <w:trHeight w:val="547"/>
        </w:trPr>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2,346</w:t>
            </w:r>
          </w:p>
        </w:tc>
        <w:tc>
          <w:tcPr>
            <w:tcW w:w="100" w:type="dxa"/>
            <w:vAlign w:val="bottom"/>
          </w:tcPr>
          <w:p>
            <w:pPr>
              <w:spacing w:after="0"/>
              <w:rPr>
                <w:sz w:val="24"/>
                <w:szCs w:val="24"/>
                <w:color w:val="auto"/>
              </w:rPr>
            </w:pPr>
          </w:p>
        </w:tc>
        <w:tc>
          <w:tcPr>
            <w:tcW w:w="1080" w:type="dxa"/>
            <w:vAlign w:val="bottom"/>
          </w:tcPr>
          <w:p>
            <w:pPr>
              <w:ind w:left="780"/>
              <w:spacing w:after="0"/>
              <w:rPr>
                <w:sz w:val="20"/>
                <w:szCs w:val="20"/>
                <w:color w:val="auto"/>
              </w:rPr>
            </w:pPr>
            <w:r>
              <w:rPr>
                <w:rFonts w:ascii="Arial" w:cs="Arial" w:eastAsia="Arial" w:hAnsi="Arial"/>
                <w:sz w:val="20"/>
                <w:szCs w:val="20"/>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20"/>
                <w:szCs w:val="20"/>
                <w:b w:val="1"/>
                <w:bCs w:val="1"/>
                <w:color w:val="auto"/>
              </w:rPr>
              <w:t>2,346</w:t>
            </w:r>
          </w:p>
        </w:tc>
        <w:tc>
          <w:tcPr>
            <w:tcW w:w="100" w:type="dxa"/>
            <w:vAlign w:val="bottom"/>
          </w:tcPr>
          <w:p>
            <w:pPr>
              <w:spacing w:after="0"/>
              <w:rPr>
                <w:sz w:val="24"/>
                <w:szCs w:val="24"/>
                <w:color w:val="auto"/>
              </w:rPr>
            </w:pPr>
          </w:p>
        </w:tc>
        <w:tc>
          <w:tcPr>
            <w:tcW w:w="1080" w:type="dxa"/>
            <w:vAlign w:val="bottom"/>
          </w:tcPr>
          <w:p>
            <w:pPr>
              <w:ind w:left="780"/>
              <w:spacing w:after="0"/>
              <w:rPr>
                <w:sz w:val="20"/>
                <w:szCs w:val="20"/>
                <w:color w:val="auto"/>
              </w:rPr>
            </w:pPr>
            <w:r>
              <w:rPr>
                <w:rFonts w:ascii="Arial" w:cs="Arial" w:eastAsia="Arial" w:hAnsi="Arial"/>
                <w:sz w:val="20"/>
                <w:szCs w:val="20"/>
                <w:b w:val="1"/>
                <w:bCs w:val="1"/>
                <w:color w:val="auto"/>
              </w:rPr>
              <w:t>—</w:t>
            </w:r>
          </w:p>
        </w:tc>
      </w:tr>
      <w:tr>
        <w:trPr>
          <w:trHeight w:val="570"/>
        </w:trPr>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1,162</w:t>
            </w:r>
          </w:p>
        </w:tc>
        <w:tc>
          <w:tcPr>
            <w:tcW w:w="100" w:type="dxa"/>
            <w:vAlign w:val="bottom"/>
          </w:tcPr>
          <w:p>
            <w:pPr>
              <w:spacing w:after="0"/>
              <w:rPr>
                <w:sz w:val="24"/>
                <w:szCs w:val="24"/>
                <w:color w:val="auto"/>
              </w:rPr>
            </w:pPr>
          </w:p>
        </w:tc>
        <w:tc>
          <w:tcPr>
            <w:tcW w:w="1080" w:type="dxa"/>
            <w:vAlign w:val="bottom"/>
          </w:tcPr>
          <w:p>
            <w:pPr>
              <w:ind w:left="780"/>
              <w:spacing w:after="0"/>
              <w:rPr>
                <w:sz w:val="20"/>
                <w:szCs w:val="20"/>
                <w:color w:val="auto"/>
              </w:rPr>
            </w:pPr>
            <w:r>
              <w:rPr>
                <w:rFonts w:ascii="Arial" w:cs="Arial" w:eastAsia="Arial" w:hAnsi="Arial"/>
                <w:sz w:val="20"/>
                <w:szCs w:val="20"/>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20"/>
                <w:szCs w:val="20"/>
                <w:b w:val="1"/>
                <w:bCs w:val="1"/>
                <w:color w:val="auto"/>
              </w:rPr>
              <w:t>1,162</w:t>
            </w:r>
          </w:p>
        </w:tc>
        <w:tc>
          <w:tcPr>
            <w:tcW w:w="100" w:type="dxa"/>
            <w:vAlign w:val="bottom"/>
          </w:tcPr>
          <w:p>
            <w:pPr>
              <w:spacing w:after="0"/>
              <w:rPr>
                <w:sz w:val="24"/>
                <w:szCs w:val="24"/>
                <w:color w:val="auto"/>
              </w:rPr>
            </w:pPr>
          </w:p>
        </w:tc>
        <w:tc>
          <w:tcPr>
            <w:tcW w:w="1080" w:type="dxa"/>
            <w:vAlign w:val="bottom"/>
          </w:tcPr>
          <w:p>
            <w:pPr>
              <w:ind w:left="780"/>
              <w:spacing w:after="0"/>
              <w:rPr>
                <w:sz w:val="20"/>
                <w:szCs w:val="20"/>
                <w:color w:val="auto"/>
              </w:rPr>
            </w:pPr>
            <w:r>
              <w:rPr>
                <w:rFonts w:ascii="Arial" w:cs="Arial" w:eastAsia="Arial" w:hAnsi="Arial"/>
                <w:sz w:val="20"/>
                <w:szCs w:val="20"/>
                <w:b w:val="1"/>
                <w:bCs w:val="1"/>
                <w:color w:val="auto"/>
              </w:rPr>
              <w:t>—</w:t>
            </w:r>
          </w:p>
        </w:tc>
      </w:tr>
      <w:tr>
        <w:trPr>
          <w:trHeight w:val="285"/>
        </w:trPr>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1,872</w:t>
            </w:r>
          </w:p>
        </w:tc>
        <w:tc>
          <w:tcPr>
            <w:tcW w:w="100" w:type="dxa"/>
            <w:vAlign w:val="bottom"/>
          </w:tcPr>
          <w:p>
            <w:pPr>
              <w:spacing w:after="0"/>
              <w:rPr>
                <w:sz w:val="24"/>
                <w:szCs w:val="24"/>
                <w:color w:val="auto"/>
              </w:rPr>
            </w:pPr>
          </w:p>
        </w:tc>
        <w:tc>
          <w:tcPr>
            <w:tcW w:w="1080" w:type="dxa"/>
            <w:vAlign w:val="bottom"/>
          </w:tcPr>
          <w:p>
            <w:pPr>
              <w:ind w:left="780"/>
              <w:spacing w:after="0"/>
              <w:rPr>
                <w:sz w:val="20"/>
                <w:szCs w:val="20"/>
                <w:color w:val="auto"/>
              </w:rPr>
            </w:pPr>
            <w:r>
              <w:rPr>
                <w:rFonts w:ascii="Arial" w:cs="Arial" w:eastAsia="Arial" w:hAnsi="Arial"/>
                <w:sz w:val="20"/>
                <w:szCs w:val="20"/>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20"/>
                <w:szCs w:val="20"/>
                <w:b w:val="1"/>
                <w:bCs w:val="1"/>
                <w:color w:val="auto"/>
              </w:rPr>
              <w:t>1,872</w:t>
            </w:r>
          </w:p>
        </w:tc>
        <w:tc>
          <w:tcPr>
            <w:tcW w:w="100" w:type="dxa"/>
            <w:vAlign w:val="bottom"/>
          </w:tcPr>
          <w:p>
            <w:pPr>
              <w:spacing w:after="0"/>
              <w:rPr>
                <w:sz w:val="24"/>
                <w:szCs w:val="24"/>
                <w:color w:val="auto"/>
              </w:rPr>
            </w:pPr>
          </w:p>
        </w:tc>
        <w:tc>
          <w:tcPr>
            <w:tcW w:w="1080" w:type="dxa"/>
            <w:vAlign w:val="bottom"/>
          </w:tcPr>
          <w:p>
            <w:pPr>
              <w:ind w:left="780"/>
              <w:spacing w:after="0"/>
              <w:rPr>
                <w:sz w:val="20"/>
                <w:szCs w:val="20"/>
                <w:color w:val="auto"/>
              </w:rPr>
            </w:pPr>
            <w:r>
              <w:rPr>
                <w:rFonts w:ascii="Arial" w:cs="Arial" w:eastAsia="Arial" w:hAnsi="Arial"/>
                <w:sz w:val="20"/>
                <w:szCs w:val="20"/>
                <w:b w:val="1"/>
                <w:bCs w:val="1"/>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-3612515</wp:posOffset>
                </wp:positionH>
                <wp:positionV relativeFrom="paragraph">
                  <wp:posOffset>-895985</wp:posOffset>
                </wp:positionV>
                <wp:extent cx="6514465" cy="18097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D2EEF5"/>
                        </a:solidFill>
                      </wps:spPr>
                      <wps:bodyPr/>
                    </wps:wsp>
                  </a:graphicData>
                </a:graphic>
              </wp:anchor>
            </w:drawing>
          </mc:Choice>
          <mc:Fallback>
            <w:pict>
              <v:rect id="Shape 87" o:spid="_x0000_s1112" style="position:absolute;margin-left:-284.4499pt;margin-top:-70.5499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-3612515</wp:posOffset>
                </wp:positionH>
                <wp:positionV relativeFrom="paragraph">
                  <wp:posOffset>-534035</wp:posOffset>
                </wp:positionV>
                <wp:extent cx="6514465" cy="18097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D2EEF5"/>
                        </a:solidFill>
                      </wps:spPr>
                      <wps:bodyPr/>
                    </wps:wsp>
                  </a:graphicData>
                </a:graphic>
              </wp:anchor>
            </w:drawing>
          </mc:Choice>
          <mc:Fallback>
            <w:pict>
              <v:rect id="Shape 88" o:spid="_x0000_s1113" style="position:absolute;margin-left:-284.4499pt;margin-top:-42.0499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-3612515</wp:posOffset>
                </wp:positionH>
                <wp:positionV relativeFrom="paragraph">
                  <wp:posOffset>-172085</wp:posOffset>
                </wp:positionV>
                <wp:extent cx="6514465" cy="18034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2EEF5"/>
                        </a:solidFill>
                      </wps:spPr>
                      <wps:bodyPr/>
                    </wps:wsp>
                  </a:graphicData>
                </a:graphic>
              </wp:anchor>
            </w:drawing>
          </mc:Choice>
          <mc:Fallback>
            <w:pict>
              <v:rect id="Shape 89" o:spid="_x0000_s1114" style="position:absolute;margin-left:-284.4499pt;margin-top:-13.5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97" w:lineRule="exact"/>
        <w:rPr>
          <w:sz w:val="20"/>
          <w:szCs w:val="20"/>
          <w:color w:val="auto"/>
        </w:rPr>
      </w:pPr>
    </w:p>
    <w:p>
      <w:pPr>
        <w:sectPr>
          <w:pgSz w:w="11880" w:h="15480" w:orient="portrait"/>
          <w:cols w:equalWidth="0" w:num="2">
            <w:col w:w="4970" w:space="720"/>
            <w:col w:w="4580"/>
          </w:cols>
          <w:pgMar w:left="810" w:top="422" w:right="800" w:bottom="0" w:gutter="0" w:footer="0" w:header="0"/>
          <w:type w:val="continuous"/>
        </w:sectPr>
      </w:pPr>
    </w:p>
    <w:tbl>
      <w:tblPr>
        <w:tblLayout w:type="fixed"/>
        <w:tblInd w:w="10" w:type="dxa"/>
        <w:tblCellMar>
          <w:top w:w="0" w:type="dxa"/>
          <w:left w:w="0" w:type="dxa"/>
          <w:bottom w:w="0" w:type="dxa"/>
          <w:right w:w="0" w:type="dxa"/>
        </w:tblCellMar>
      </w:tblPr>
      <w:tr>
        <w:trPr>
          <w:trHeight w:val="285"/>
        </w:trPr>
        <w:tc>
          <w:tcPr>
            <w:tcW w:w="40" w:type="dxa"/>
            <w:vAlign w:val="bottom"/>
            <w:shd w:val="clear" w:color="auto" w:fill="D2EEF5"/>
          </w:tcPr>
          <w:p>
            <w:pPr>
              <w:spacing w:after="0"/>
              <w:rPr>
                <w:sz w:val="24"/>
                <w:szCs w:val="24"/>
                <w:color w:val="auto"/>
              </w:rPr>
            </w:pPr>
          </w:p>
        </w:tc>
        <w:tc>
          <w:tcPr>
            <w:tcW w:w="5640" w:type="dxa"/>
            <w:vAlign w:val="bottom"/>
            <w:gridSpan w:val="3"/>
            <w:shd w:val="clear" w:color="auto" w:fill="D2EEF5"/>
          </w:tcPr>
          <w:p>
            <w:pPr>
              <w:ind w:left="240"/>
              <w:spacing w:after="0"/>
              <w:rPr>
                <w:sz w:val="20"/>
                <w:szCs w:val="20"/>
                <w:color w:val="auto"/>
              </w:rPr>
            </w:pPr>
            <w:r>
              <w:rPr>
                <w:rFonts w:ascii="Arial" w:cs="Arial" w:eastAsia="Arial" w:hAnsi="Arial"/>
                <w:sz w:val="20"/>
                <w:szCs w:val="20"/>
                <w:color w:val="auto"/>
              </w:rPr>
              <w:t>Term Loan, due 2031</w:t>
            </w: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13,973</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b w:val="1"/>
                <w:bCs w:val="1"/>
                <w:color w:val="auto"/>
              </w:rPr>
              <w:t>—</w:t>
            </w:r>
          </w:p>
        </w:tc>
        <w:tc>
          <w:tcPr>
            <w:tcW w:w="10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14,327</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20"/>
                <w:szCs w:val="20"/>
                <w:color w:val="auto"/>
              </w:rPr>
              <w:t>Long-Term Debt</w:t>
            </w:r>
            <w:r>
              <w:rPr>
                <w:rFonts w:ascii="Arial" w:cs="Arial" w:eastAsia="Arial" w:hAnsi="Arial"/>
                <w:sz w:val="13"/>
                <w:szCs w:val="13"/>
                <w:color w:val="auto"/>
              </w:rPr>
              <w:t>(c)</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5640" w:type="dxa"/>
            <w:vAlign w:val="bottom"/>
            <w:gridSpan w:val="3"/>
            <w:shd w:val="clear" w:color="auto" w:fill="D2EEF5"/>
          </w:tcPr>
          <w:p>
            <w:pPr>
              <w:ind w:left="240"/>
              <w:spacing w:after="0"/>
              <w:rPr>
                <w:sz w:val="20"/>
                <w:szCs w:val="20"/>
                <w:color w:val="auto"/>
              </w:rPr>
            </w:pPr>
            <w:r>
              <w:rPr>
                <w:rFonts w:ascii="Arial" w:cs="Arial" w:eastAsia="Arial" w:hAnsi="Arial"/>
                <w:sz w:val="20"/>
                <w:szCs w:val="20"/>
                <w:color w:val="auto"/>
              </w:rPr>
              <w:t>Senior secured Notes, due 2031</w:t>
            </w: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746,871</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b w:val="1"/>
                <w:bCs w:val="1"/>
                <w:color w:val="auto"/>
              </w:rPr>
              <w:t>—</w:t>
            </w:r>
          </w:p>
        </w:tc>
        <w:tc>
          <w:tcPr>
            <w:tcW w:w="10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789,375</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640" w:type="dxa"/>
            <w:vAlign w:val="bottom"/>
            <w:gridSpan w:val="3"/>
          </w:tcPr>
          <w:p>
            <w:pPr>
              <w:ind w:left="240"/>
              <w:spacing w:after="0"/>
              <w:rPr>
                <w:sz w:val="20"/>
                <w:szCs w:val="20"/>
                <w:color w:val="auto"/>
              </w:rPr>
            </w:pPr>
            <w:r>
              <w:rPr>
                <w:rFonts w:ascii="Arial" w:cs="Arial" w:eastAsia="Arial" w:hAnsi="Arial"/>
                <w:sz w:val="20"/>
                <w:szCs w:val="20"/>
                <w:color w:val="auto"/>
              </w:rPr>
              <w:t>Term loan, due 2031</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w w:val="89"/>
              </w:rPr>
              <w:t>1,379,853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w w:val="89"/>
              </w:rPr>
              <w:t>1,410,539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564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Finance Lease Obligations (with current portion)</w:t>
            </w:r>
            <w:r>
              <w:rPr>
                <w:rFonts w:ascii="Arial" w:cs="Arial" w:eastAsia="Arial" w:hAnsi="Arial"/>
                <w:sz w:val="13"/>
                <w:szCs w:val="13"/>
                <w:color w:val="auto"/>
              </w:rPr>
              <w:t>(d)</w:t>
            </w: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97,300</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b w:val="1"/>
                <w:bCs w:val="1"/>
                <w:color w:val="auto"/>
              </w:rPr>
              <w:t>—</w:t>
            </w:r>
          </w:p>
        </w:tc>
        <w:tc>
          <w:tcPr>
            <w:tcW w:w="10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97,300</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 2024</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w w:val="94"/>
              </w:rPr>
              <w:t>Fair Value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Carrying</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640" w:type="dxa"/>
            <w:vAlign w:val="bottom"/>
            <w:gridSpan w:val="3"/>
          </w:tcPr>
          <w:p>
            <w:pPr>
              <w:spacing w:after="0" w:line="178" w:lineRule="exact"/>
              <w:rPr>
                <w:sz w:val="20"/>
                <w:szCs w:val="20"/>
                <w:color w:val="auto"/>
              </w:rPr>
            </w:pPr>
            <w:r>
              <w:rPr>
                <w:rFonts w:ascii="Arial" w:cs="Arial" w:eastAsia="Arial" w:hAnsi="Arial"/>
                <w:sz w:val="16"/>
                <w:szCs w:val="16"/>
                <w:b w:val="1"/>
                <w:bCs w:val="1"/>
                <w:i w:val="1"/>
                <w:iCs w:val="1"/>
                <w:color w:val="auto"/>
              </w:rPr>
              <w:t>(thousands of U.S. dollars)</w:t>
            </w:r>
          </w:p>
        </w:tc>
        <w:tc>
          <w:tcPr>
            <w:tcW w:w="160" w:type="dxa"/>
            <w:vAlign w:val="bottom"/>
          </w:tcPr>
          <w:p>
            <w:pPr>
              <w:spacing w:after="0"/>
              <w:rPr>
                <w:sz w:val="15"/>
                <w:szCs w:val="15"/>
                <w:color w:val="auto"/>
              </w:rPr>
            </w:pPr>
          </w:p>
        </w:tc>
        <w:tc>
          <w:tcPr>
            <w:tcW w:w="1000" w:type="dxa"/>
            <w:vAlign w:val="bottom"/>
            <w:gridSpan w:val="2"/>
          </w:tcPr>
          <w:p>
            <w:pPr>
              <w:jc w:val="center"/>
              <w:ind w:right="280"/>
              <w:spacing w:after="0" w:line="178" w:lineRule="exact"/>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5"/>
                <w:szCs w:val="15"/>
                <w:color w:val="auto"/>
              </w:rPr>
            </w:pPr>
          </w:p>
        </w:tc>
        <w:tc>
          <w:tcPr>
            <w:tcW w:w="860" w:type="dxa"/>
            <w:vAlign w:val="bottom"/>
          </w:tcPr>
          <w:p>
            <w:pPr>
              <w:ind w:left="80"/>
              <w:spacing w:after="0" w:line="178" w:lineRule="exact"/>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83"/>
              <w:spacing w:after="0" w:line="178" w:lineRule="exact"/>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ind w:left="80"/>
              <w:spacing w:after="0" w:line="178" w:lineRule="exact"/>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680" w:type="dxa"/>
            <w:vAlign w:val="bottom"/>
            <w:tcBorders>
              <w:top w:val="single" w:sz="8" w:color="auto"/>
              <w:bottom w:val="single" w:sz="8" w:color="D2EEF5"/>
            </w:tcBorders>
          </w:tcPr>
          <w:p>
            <w:pPr>
              <w:spacing w:after="0" w:line="20" w:lineRule="exact"/>
              <w:rPr>
                <w:sz w:val="1"/>
                <w:szCs w:val="1"/>
                <w:color w:val="auto"/>
              </w:rPr>
            </w:pPr>
          </w:p>
        </w:tc>
        <w:tc>
          <w:tcPr>
            <w:tcW w:w="60" w:type="dxa"/>
            <w:vAlign w:val="bottom"/>
            <w:tcBorders>
              <w:top w:val="single" w:sz="8" w:color="auto"/>
              <w:bottom w:val="single" w:sz="8" w:color="D2EEF5"/>
            </w:tcBorders>
          </w:tcPr>
          <w:p>
            <w:pPr>
              <w:spacing w:after="0" w:line="20" w:lineRule="exact"/>
              <w:rPr>
                <w:sz w:val="1"/>
                <w:szCs w:val="1"/>
                <w:color w:val="auto"/>
              </w:rPr>
            </w:pPr>
          </w:p>
        </w:tc>
        <w:tc>
          <w:tcPr>
            <w:tcW w:w="390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D2EEF5"/>
            </w:tcBorders>
            <w:shd w:val="clear" w:color="auto" w:fill="D2EEF5"/>
          </w:tcPr>
          <w:p>
            <w:pPr>
              <w:spacing w:after="0"/>
              <w:rPr>
                <w:sz w:val="22"/>
                <w:szCs w:val="22"/>
                <w:color w:val="auto"/>
              </w:rPr>
            </w:pPr>
          </w:p>
        </w:tc>
        <w:tc>
          <w:tcPr>
            <w:tcW w:w="564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Derivatives designated as hedging instruments</w:t>
            </w:r>
            <w:r>
              <w:rPr>
                <w:rFonts w:ascii="Arial" w:cs="Arial" w:eastAsia="Arial" w:hAnsi="Arial"/>
                <w:sz w:val="13"/>
                <w:szCs w:val="13"/>
                <w:color w:val="auto"/>
              </w:rPr>
              <w:t>(a)</w:t>
            </w:r>
          </w:p>
        </w:tc>
        <w:tc>
          <w:tcPr>
            <w:tcW w:w="160" w:type="dxa"/>
            <w:vAlign w:val="bottom"/>
            <w:tcBorders>
              <w:bottom w:val="single" w:sz="8" w:color="D2EEF5"/>
            </w:tcBorders>
            <w:shd w:val="clear" w:color="auto" w:fill="D2EEF5"/>
          </w:tcPr>
          <w:p>
            <w:pPr>
              <w:spacing w:after="0"/>
              <w:rPr>
                <w:sz w:val="22"/>
                <w:szCs w:val="22"/>
                <w:color w:val="auto"/>
              </w:rPr>
            </w:pPr>
          </w:p>
        </w:tc>
        <w:tc>
          <w:tcPr>
            <w:tcW w:w="900" w:type="dxa"/>
            <w:vAlign w:val="bottom"/>
            <w:tcBorders>
              <w:bottom w:val="single" w:sz="8" w:color="D2EEF5"/>
            </w:tcBorders>
            <w:shd w:val="clear" w:color="auto" w:fill="D2EEF5"/>
          </w:tcPr>
          <w:p>
            <w:pPr>
              <w:spacing w:after="0"/>
              <w:rPr>
                <w:sz w:val="22"/>
                <w:szCs w:val="22"/>
                <w:color w:val="auto"/>
              </w:rPr>
            </w:pPr>
          </w:p>
        </w:tc>
        <w:tc>
          <w:tcPr>
            <w:tcW w:w="100" w:type="dxa"/>
            <w:vAlign w:val="bottom"/>
            <w:tcBorders>
              <w:bottom w:val="single" w:sz="8" w:color="D2EEF5"/>
            </w:tcBorders>
            <w:shd w:val="clear" w:color="auto" w:fill="D2EEF5"/>
          </w:tcPr>
          <w:p>
            <w:pPr>
              <w:spacing w:after="0"/>
              <w:rPr>
                <w:sz w:val="22"/>
                <w:szCs w:val="22"/>
                <w:color w:val="auto"/>
              </w:rPr>
            </w:pPr>
          </w:p>
        </w:tc>
        <w:tc>
          <w:tcPr>
            <w:tcW w:w="220" w:type="dxa"/>
            <w:vAlign w:val="bottom"/>
            <w:tcBorders>
              <w:bottom w:val="single" w:sz="8" w:color="D2EEF5"/>
            </w:tcBorders>
            <w:shd w:val="clear" w:color="auto" w:fill="D2EEF5"/>
          </w:tcPr>
          <w:p>
            <w:pPr>
              <w:spacing w:after="0"/>
              <w:rPr>
                <w:sz w:val="22"/>
                <w:szCs w:val="22"/>
                <w:color w:val="auto"/>
              </w:rPr>
            </w:pPr>
          </w:p>
        </w:tc>
        <w:tc>
          <w:tcPr>
            <w:tcW w:w="860" w:type="dxa"/>
            <w:vAlign w:val="bottom"/>
            <w:tcBorders>
              <w:bottom w:val="single" w:sz="8" w:color="D2EEF5"/>
            </w:tcBorders>
            <w:shd w:val="clear" w:color="auto" w:fill="D2EEF5"/>
          </w:tcPr>
          <w:p>
            <w:pPr>
              <w:spacing w:after="0"/>
              <w:rPr>
                <w:sz w:val="22"/>
                <w:szCs w:val="22"/>
                <w:color w:val="auto"/>
              </w:rPr>
            </w:pPr>
          </w:p>
        </w:tc>
        <w:tc>
          <w:tcPr>
            <w:tcW w:w="100" w:type="dxa"/>
            <w:vAlign w:val="bottom"/>
            <w:tcBorders>
              <w:bottom w:val="single" w:sz="8" w:color="D2EEF5"/>
            </w:tcBorders>
            <w:shd w:val="clear" w:color="auto" w:fill="D2EEF5"/>
          </w:tcPr>
          <w:p>
            <w:pPr>
              <w:spacing w:after="0"/>
              <w:rPr>
                <w:sz w:val="22"/>
                <w:szCs w:val="22"/>
                <w:color w:val="auto"/>
              </w:rPr>
            </w:pPr>
          </w:p>
        </w:tc>
        <w:tc>
          <w:tcPr>
            <w:tcW w:w="160" w:type="dxa"/>
            <w:vAlign w:val="bottom"/>
            <w:tcBorders>
              <w:bottom w:val="single" w:sz="8" w:color="D2EEF5"/>
            </w:tcBorders>
            <w:shd w:val="clear" w:color="auto" w:fill="D2EEF5"/>
          </w:tcPr>
          <w:p>
            <w:pPr>
              <w:spacing w:after="0"/>
              <w:rPr>
                <w:sz w:val="22"/>
                <w:szCs w:val="22"/>
                <w:color w:val="auto"/>
              </w:rPr>
            </w:pPr>
          </w:p>
        </w:tc>
        <w:tc>
          <w:tcPr>
            <w:tcW w:w="900" w:type="dxa"/>
            <w:vAlign w:val="bottom"/>
            <w:tcBorders>
              <w:bottom w:val="single" w:sz="8" w:color="D2EEF5"/>
            </w:tcBorders>
            <w:shd w:val="clear" w:color="auto" w:fill="D2EEF5"/>
          </w:tcPr>
          <w:p>
            <w:pPr>
              <w:spacing w:after="0"/>
              <w:rPr>
                <w:sz w:val="22"/>
                <w:szCs w:val="22"/>
                <w:color w:val="auto"/>
              </w:rPr>
            </w:pPr>
          </w:p>
        </w:tc>
        <w:tc>
          <w:tcPr>
            <w:tcW w:w="100" w:type="dxa"/>
            <w:vAlign w:val="bottom"/>
            <w:tcBorders>
              <w:bottom w:val="single" w:sz="8" w:color="D2EEF5"/>
            </w:tcBorders>
            <w:shd w:val="clear" w:color="auto" w:fill="D2EEF5"/>
          </w:tcPr>
          <w:p>
            <w:pPr>
              <w:spacing w:after="0"/>
              <w:rPr>
                <w:sz w:val="22"/>
                <w:szCs w:val="22"/>
                <w:color w:val="auto"/>
              </w:rPr>
            </w:pPr>
          </w:p>
        </w:tc>
        <w:tc>
          <w:tcPr>
            <w:tcW w:w="220" w:type="dxa"/>
            <w:vAlign w:val="bottom"/>
            <w:tcBorders>
              <w:bottom w:val="single" w:sz="8" w:color="D2EEF5"/>
            </w:tcBorders>
            <w:shd w:val="clear" w:color="auto" w:fill="D2EEF5"/>
          </w:tcPr>
          <w:p>
            <w:pPr>
              <w:spacing w:after="0"/>
              <w:rPr>
                <w:sz w:val="22"/>
                <w:szCs w:val="22"/>
                <w:color w:val="auto"/>
              </w:rPr>
            </w:pPr>
          </w:p>
        </w:tc>
        <w:tc>
          <w:tcPr>
            <w:tcW w:w="860" w:type="dxa"/>
            <w:vAlign w:val="bottom"/>
            <w:tcBorders>
              <w:bottom w:val="single" w:sz="8" w:color="D2EEF5"/>
            </w:tcBorders>
            <w:shd w:val="clear" w:color="auto" w:fill="D2EEF5"/>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640" w:type="dxa"/>
            <w:vAlign w:val="bottom"/>
            <w:gridSpan w:val="3"/>
          </w:tcPr>
          <w:p>
            <w:pPr>
              <w:ind w:left="240"/>
              <w:spacing w:after="0"/>
              <w:rPr>
                <w:sz w:val="20"/>
                <w:szCs w:val="20"/>
                <w:color w:val="auto"/>
              </w:rPr>
            </w:pPr>
            <w:r>
              <w:rPr>
                <w:rFonts w:ascii="Arial" w:cs="Arial" w:eastAsia="Arial" w:hAnsi="Arial"/>
                <w:sz w:val="20"/>
                <w:szCs w:val="20"/>
                <w:color w:val="auto"/>
              </w:rPr>
              <w:t>Interest rate swap</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459</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ind w:left="560"/>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459</w:t>
            </w:r>
          </w:p>
        </w:tc>
        <w:tc>
          <w:tcPr>
            <w:tcW w:w="3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tcPr>
          <w:p>
            <w:pPr>
              <w:ind w:left="5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1"/>
        </w:trPr>
        <w:tc>
          <w:tcPr>
            <w:tcW w:w="40" w:type="dxa"/>
            <w:vAlign w:val="bottom"/>
            <w:tcBorders>
              <w:bottom w:val="single" w:sz="8" w:color="D2EEF5"/>
            </w:tcBorders>
            <w:shd w:val="clear" w:color="auto" w:fill="D2EEF5"/>
          </w:tcPr>
          <w:p>
            <w:pPr>
              <w:spacing w:after="0"/>
              <w:rPr>
                <w:sz w:val="23"/>
                <w:szCs w:val="23"/>
                <w:color w:val="auto"/>
              </w:rPr>
            </w:pPr>
          </w:p>
        </w:tc>
        <w:tc>
          <w:tcPr>
            <w:tcW w:w="5640" w:type="dxa"/>
            <w:vAlign w:val="bottom"/>
            <w:tcBorders>
              <w:bottom w:val="single" w:sz="8" w:color="D2EEF5"/>
            </w:tcBorders>
            <w:gridSpan w:val="3"/>
            <w:shd w:val="clear" w:color="auto" w:fill="D2EEF5"/>
          </w:tcPr>
          <w:p>
            <w:pPr>
              <w:spacing w:after="0"/>
              <w:rPr>
                <w:sz w:val="20"/>
                <w:szCs w:val="20"/>
                <w:color w:val="auto"/>
              </w:rPr>
            </w:pPr>
            <w:r>
              <w:rPr>
                <w:rFonts w:ascii="Arial" w:cs="Arial" w:eastAsia="Arial" w:hAnsi="Arial"/>
                <w:sz w:val="20"/>
                <w:szCs w:val="20"/>
                <w:color w:val="auto"/>
              </w:rPr>
              <w:t>Derivatives not designated as hedging instruments</w:t>
            </w:r>
            <w:r>
              <w:rPr>
                <w:rFonts w:ascii="Arial" w:cs="Arial" w:eastAsia="Arial" w:hAnsi="Arial"/>
                <w:sz w:val="13"/>
                <w:szCs w:val="13"/>
                <w:color w:val="auto"/>
              </w:rPr>
              <w:t>(b)</w:t>
            </w:r>
          </w:p>
        </w:tc>
        <w:tc>
          <w:tcPr>
            <w:tcW w:w="160" w:type="dxa"/>
            <w:vAlign w:val="bottom"/>
            <w:tcBorders>
              <w:bottom w:val="single" w:sz="8" w:color="D2EEF5"/>
            </w:tcBorders>
            <w:shd w:val="clear" w:color="auto" w:fill="D2EEF5"/>
          </w:tcPr>
          <w:p>
            <w:pPr>
              <w:spacing w:after="0"/>
              <w:rPr>
                <w:sz w:val="23"/>
                <w:szCs w:val="23"/>
                <w:color w:val="auto"/>
              </w:rPr>
            </w:pPr>
          </w:p>
        </w:tc>
        <w:tc>
          <w:tcPr>
            <w:tcW w:w="900" w:type="dxa"/>
            <w:vAlign w:val="bottom"/>
            <w:tcBorders>
              <w:bottom w:val="single" w:sz="8" w:color="D2EEF5"/>
            </w:tcBorders>
            <w:shd w:val="clear" w:color="auto" w:fill="D2EEF5"/>
          </w:tcPr>
          <w:p>
            <w:pPr>
              <w:spacing w:after="0"/>
              <w:rPr>
                <w:sz w:val="23"/>
                <w:szCs w:val="23"/>
                <w:color w:val="auto"/>
              </w:rPr>
            </w:pPr>
          </w:p>
        </w:tc>
        <w:tc>
          <w:tcPr>
            <w:tcW w:w="10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D2EEF5"/>
            </w:tcBorders>
            <w:shd w:val="clear" w:color="auto" w:fill="D2EEF5"/>
          </w:tcPr>
          <w:p>
            <w:pPr>
              <w:spacing w:after="0"/>
              <w:rPr>
                <w:sz w:val="23"/>
                <w:szCs w:val="23"/>
                <w:color w:val="auto"/>
              </w:rPr>
            </w:pPr>
          </w:p>
        </w:tc>
        <w:tc>
          <w:tcPr>
            <w:tcW w:w="860" w:type="dxa"/>
            <w:vAlign w:val="bottom"/>
            <w:tcBorders>
              <w:bottom w:val="single" w:sz="8" w:color="D2EEF5"/>
            </w:tcBorders>
            <w:shd w:val="clear" w:color="auto" w:fill="D2EEF5"/>
          </w:tcPr>
          <w:p>
            <w:pPr>
              <w:spacing w:after="0"/>
              <w:rPr>
                <w:sz w:val="23"/>
                <w:szCs w:val="23"/>
                <w:color w:val="auto"/>
              </w:rPr>
            </w:pPr>
          </w:p>
        </w:tc>
        <w:tc>
          <w:tcPr>
            <w:tcW w:w="100" w:type="dxa"/>
            <w:vAlign w:val="bottom"/>
            <w:tcBorders>
              <w:bottom w:val="single" w:sz="8" w:color="D2EEF5"/>
            </w:tcBorders>
            <w:shd w:val="clear" w:color="auto" w:fill="D2EEF5"/>
          </w:tcPr>
          <w:p>
            <w:pPr>
              <w:spacing w:after="0"/>
              <w:rPr>
                <w:sz w:val="23"/>
                <w:szCs w:val="23"/>
                <w:color w:val="auto"/>
              </w:rPr>
            </w:pPr>
          </w:p>
        </w:tc>
        <w:tc>
          <w:tcPr>
            <w:tcW w:w="160" w:type="dxa"/>
            <w:vAlign w:val="bottom"/>
            <w:tcBorders>
              <w:bottom w:val="single" w:sz="8" w:color="D2EEF5"/>
            </w:tcBorders>
            <w:shd w:val="clear" w:color="auto" w:fill="D2EEF5"/>
          </w:tcPr>
          <w:p>
            <w:pPr>
              <w:spacing w:after="0"/>
              <w:rPr>
                <w:sz w:val="23"/>
                <w:szCs w:val="23"/>
                <w:color w:val="auto"/>
              </w:rPr>
            </w:pPr>
          </w:p>
        </w:tc>
        <w:tc>
          <w:tcPr>
            <w:tcW w:w="900" w:type="dxa"/>
            <w:vAlign w:val="bottom"/>
            <w:tcBorders>
              <w:bottom w:val="single" w:sz="8" w:color="D2EEF5"/>
            </w:tcBorders>
            <w:shd w:val="clear" w:color="auto" w:fill="D2EEF5"/>
          </w:tcPr>
          <w:p>
            <w:pPr>
              <w:spacing w:after="0"/>
              <w:rPr>
                <w:sz w:val="23"/>
                <w:szCs w:val="23"/>
                <w:color w:val="auto"/>
              </w:rPr>
            </w:pPr>
          </w:p>
        </w:tc>
        <w:tc>
          <w:tcPr>
            <w:tcW w:w="100" w:type="dxa"/>
            <w:vAlign w:val="bottom"/>
            <w:tcBorders>
              <w:bottom w:val="single" w:sz="8" w:color="D2EEF5"/>
            </w:tcBorders>
            <w:shd w:val="clear" w:color="auto" w:fill="D2EEF5"/>
          </w:tcPr>
          <w:p>
            <w:pPr>
              <w:spacing w:after="0"/>
              <w:rPr>
                <w:sz w:val="23"/>
                <w:szCs w:val="23"/>
                <w:color w:val="auto"/>
              </w:rPr>
            </w:pPr>
          </w:p>
        </w:tc>
        <w:tc>
          <w:tcPr>
            <w:tcW w:w="220" w:type="dxa"/>
            <w:vAlign w:val="bottom"/>
            <w:tcBorders>
              <w:bottom w:val="single" w:sz="8" w:color="D2EEF5"/>
            </w:tcBorders>
            <w:shd w:val="clear" w:color="auto" w:fill="D2EEF5"/>
          </w:tcPr>
          <w:p>
            <w:pPr>
              <w:spacing w:after="0"/>
              <w:rPr>
                <w:sz w:val="23"/>
                <w:szCs w:val="23"/>
                <w:color w:val="auto"/>
              </w:rPr>
            </w:pPr>
          </w:p>
        </w:tc>
        <w:tc>
          <w:tcPr>
            <w:tcW w:w="860" w:type="dxa"/>
            <w:vAlign w:val="bottom"/>
            <w:tcBorders>
              <w:bottom w:val="single" w:sz="8" w:color="D2EEF5"/>
            </w:tcBorders>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640" w:type="dxa"/>
            <w:vAlign w:val="bottom"/>
            <w:gridSpan w:val="3"/>
          </w:tcPr>
          <w:p>
            <w:pPr>
              <w:ind w:left="240"/>
              <w:spacing w:after="0"/>
              <w:rPr>
                <w:sz w:val="20"/>
                <w:szCs w:val="20"/>
                <w:color w:val="auto"/>
              </w:rPr>
            </w:pPr>
            <w:r>
              <w:rPr>
                <w:rFonts w:ascii="Arial" w:cs="Arial" w:eastAsia="Arial" w:hAnsi="Arial"/>
                <w:sz w:val="20"/>
                <w:szCs w:val="20"/>
                <w:color w:val="auto"/>
              </w:rPr>
              <w:t>Foreign currency forward contracts assets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ind w:left="56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ind w:left="5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1"/>
        </w:trPr>
        <w:tc>
          <w:tcPr>
            <w:tcW w:w="40" w:type="dxa"/>
            <w:vAlign w:val="bottom"/>
            <w:shd w:val="clear" w:color="auto" w:fill="D2EEF5"/>
          </w:tcPr>
          <w:p>
            <w:pPr>
              <w:spacing w:after="0"/>
              <w:rPr>
                <w:sz w:val="24"/>
                <w:szCs w:val="24"/>
                <w:color w:val="auto"/>
              </w:rPr>
            </w:pPr>
          </w:p>
        </w:tc>
        <w:tc>
          <w:tcPr>
            <w:tcW w:w="5640" w:type="dxa"/>
            <w:vAlign w:val="bottom"/>
            <w:gridSpan w:val="3"/>
            <w:shd w:val="clear" w:color="auto" w:fill="D2EEF5"/>
          </w:tcPr>
          <w:p>
            <w:pPr>
              <w:ind w:left="240"/>
              <w:spacing w:after="0"/>
              <w:rPr>
                <w:sz w:val="20"/>
                <w:szCs w:val="20"/>
                <w:color w:val="auto"/>
              </w:rPr>
            </w:pPr>
            <w:r>
              <w:rPr>
                <w:rFonts w:ascii="Arial" w:cs="Arial" w:eastAsia="Arial" w:hAnsi="Arial"/>
                <w:sz w:val="20"/>
                <w:szCs w:val="20"/>
                <w:color w:val="auto"/>
              </w:rPr>
              <w:t>Foreign currency forward contracts liabilities</w:t>
            </w: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198</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color w:val="auto"/>
              </w:rPr>
              <w:t>—</w:t>
            </w:r>
          </w:p>
        </w:tc>
        <w:tc>
          <w:tcPr>
            <w:tcW w:w="260" w:type="dxa"/>
            <w:vAlign w:val="bottom"/>
            <w:gridSpan w:val="2"/>
            <w:shd w:val="clear" w:color="auto" w:fill="D2EEF5"/>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198</w:t>
            </w:r>
          </w:p>
        </w:tc>
        <w:tc>
          <w:tcPr>
            <w:tcW w:w="320" w:type="dxa"/>
            <w:vAlign w:val="bottom"/>
            <w:gridSpan w:val="2"/>
            <w:shd w:val="clear" w:color="auto" w:fill="D2EEF5"/>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640" w:type="dxa"/>
            <w:vAlign w:val="bottom"/>
            <w:gridSpan w:val="3"/>
          </w:tcPr>
          <w:p>
            <w:pPr>
              <w:ind w:left="240"/>
              <w:spacing w:after="0"/>
              <w:rPr>
                <w:sz w:val="20"/>
                <w:szCs w:val="20"/>
                <w:color w:val="auto"/>
              </w:rPr>
            </w:pPr>
            <w:r>
              <w:rPr>
                <w:rFonts w:ascii="Arial" w:cs="Arial" w:eastAsia="Arial" w:hAnsi="Arial"/>
                <w:sz w:val="20"/>
                <w:szCs w:val="20"/>
                <w:color w:val="auto"/>
              </w:rPr>
              <w:t>Embedded derivative assets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2,689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ind w:left="56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2,689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ind w:left="5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1"/>
        </w:trPr>
        <w:tc>
          <w:tcPr>
            <w:tcW w:w="40" w:type="dxa"/>
            <w:vAlign w:val="bottom"/>
            <w:shd w:val="clear" w:color="auto" w:fill="D2EEF5"/>
          </w:tcPr>
          <w:p>
            <w:pPr>
              <w:spacing w:after="0"/>
              <w:rPr>
                <w:sz w:val="24"/>
                <w:szCs w:val="24"/>
                <w:color w:val="auto"/>
              </w:rPr>
            </w:pPr>
          </w:p>
        </w:tc>
        <w:tc>
          <w:tcPr>
            <w:tcW w:w="5640" w:type="dxa"/>
            <w:vAlign w:val="bottom"/>
            <w:gridSpan w:val="3"/>
            <w:shd w:val="clear" w:color="auto" w:fill="D2EEF5"/>
          </w:tcPr>
          <w:p>
            <w:pPr>
              <w:ind w:left="240"/>
              <w:spacing w:after="0"/>
              <w:rPr>
                <w:sz w:val="20"/>
                <w:szCs w:val="20"/>
                <w:color w:val="auto"/>
              </w:rPr>
            </w:pPr>
            <w:r>
              <w:rPr>
                <w:rFonts w:ascii="Arial" w:cs="Arial" w:eastAsia="Arial" w:hAnsi="Arial"/>
                <w:sz w:val="20"/>
                <w:szCs w:val="20"/>
                <w:color w:val="auto"/>
              </w:rPr>
              <w:t>Embedded derivative liabilities</w:t>
            </w: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4,098</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color w:val="auto"/>
              </w:rPr>
              <w:t>—</w:t>
            </w:r>
          </w:p>
        </w:tc>
        <w:tc>
          <w:tcPr>
            <w:tcW w:w="10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4,098</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20"/>
                <w:szCs w:val="20"/>
                <w:color w:val="auto"/>
              </w:rPr>
              <w:t>Current portion of long-term debt</w:t>
            </w:r>
            <w:r>
              <w:rPr>
                <w:rFonts w:ascii="Arial" w:cs="Arial" w:eastAsia="Arial" w:hAnsi="Arial"/>
                <w:sz w:val="13"/>
                <w:szCs w:val="13"/>
                <w:color w:val="auto"/>
              </w:rPr>
              <w:t>(c)</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D2EEF5"/>
          </w:tcPr>
          <w:p>
            <w:pPr>
              <w:spacing w:after="0"/>
              <w:rPr>
                <w:sz w:val="24"/>
                <w:szCs w:val="24"/>
                <w:color w:val="auto"/>
              </w:rPr>
            </w:pPr>
          </w:p>
        </w:tc>
        <w:tc>
          <w:tcPr>
            <w:tcW w:w="5640" w:type="dxa"/>
            <w:vAlign w:val="bottom"/>
            <w:gridSpan w:val="3"/>
            <w:shd w:val="clear" w:color="auto" w:fill="D2EEF5"/>
          </w:tcPr>
          <w:p>
            <w:pPr>
              <w:ind w:left="240"/>
              <w:spacing w:after="0"/>
              <w:rPr>
                <w:sz w:val="20"/>
                <w:szCs w:val="20"/>
                <w:color w:val="auto"/>
              </w:rPr>
            </w:pPr>
            <w:r>
              <w:rPr>
                <w:rFonts w:ascii="Arial" w:cs="Arial" w:eastAsia="Arial" w:hAnsi="Arial"/>
                <w:sz w:val="20"/>
                <w:szCs w:val="20"/>
                <w:color w:val="auto"/>
              </w:rPr>
              <w:t>Term loan, due 2031</w:t>
            </w: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14,803</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color w:val="auto"/>
              </w:rPr>
              <w:t>—</w:t>
            </w:r>
          </w:p>
        </w:tc>
        <w:tc>
          <w:tcPr>
            <w:tcW w:w="10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15,123</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20"/>
                <w:szCs w:val="20"/>
                <w:color w:val="auto"/>
              </w:rPr>
              <w:t>Long-Term Debt</w:t>
            </w:r>
            <w:r>
              <w:rPr>
                <w:rFonts w:ascii="Arial" w:cs="Arial" w:eastAsia="Arial" w:hAnsi="Arial"/>
                <w:sz w:val="13"/>
                <w:szCs w:val="13"/>
                <w:color w:val="auto"/>
              </w:rPr>
              <w:t>(c)</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5640" w:type="dxa"/>
            <w:vAlign w:val="bottom"/>
            <w:gridSpan w:val="3"/>
            <w:shd w:val="clear" w:color="auto" w:fill="D2EEF5"/>
          </w:tcPr>
          <w:p>
            <w:pPr>
              <w:ind w:left="240"/>
              <w:spacing w:after="0"/>
              <w:rPr>
                <w:sz w:val="20"/>
                <w:szCs w:val="20"/>
                <w:color w:val="auto"/>
              </w:rPr>
            </w:pPr>
            <w:r>
              <w:rPr>
                <w:rFonts w:ascii="Arial" w:cs="Arial" w:eastAsia="Arial" w:hAnsi="Arial"/>
                <w:sz w:val="20"/>
                <w:szCs w:val="20"/>
                <w:color w:val="auto"/>
              </w:rPr>
              <w:t>Secured Notes, due 2031</w:t>
            </w: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746,293</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color w:val="auto"/>
              </w:rPr>
              <w:t>—</w:t>
            </w:r>
          </w:p>
        </w:tc>
        <w:tc>
          <w:tcPr>
            <w:tcW w:w="10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759,375</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5640" w:type="dxa"/>
            <w:vAlign w:val="bottom"/>
            <w:gridSpan w:val="3"/>
          </w:tcPr>
          <w:p>
            <w:pPr>
              <w:ind w:left="240"/>
              <w:spacing w:after="0"/>
              <w:rPr>
                <w:sz w:val="20"/>
                <w:szCs w:val="20"/>
                <w:color w:val="auto"/>
              </w:rPr>
            </w:pPr>
            <w:r>
              <w:rPr>
                <w:rFonts w:ascii="Arial" w:cs="Arial" w:eastAsia="Arial" w:hAnsi="Arial"/>
                <w:sz w:val="20"/>
                <w:szCs w:val="20"/>
                <w:color w:val="auto"/>
              </w:rPr>
              <w:t>Term loan, due 2031</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9"/>
              </w:rPr>
              <w:t>1,461,807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ind w:left="56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9"/>
              </w:rPr>
              <w:t>1,493,314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ind w:left="5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2"/>
        </w:trPr>
        <w:tc>
          <w:tcPr>
            <w:tcW w:w="40" w:type="dxa"/>
            <w:vAlign w:val="bottom"/>
            <w:shd w:val="clear" w:color="auto" w:fill="D2EEF5"/>
          </w:tcPr>
          <w:p>
            <w:pPr>
              <w:spacing w:after="0"/>
              <w:rPr>
                <w:sz w:val="24"/>
                <w:szCs w:val="24"/>
                <w:color w:val="auto"/>
              </w:rPr>
            </w:pPr>
          </w:p>
        </w:tc>
        <w:tc>
          <w:tcPr>
            <w:tcW w:w="564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Finance Lease Obligations (with current portion)</w:t>
            </w:r>
            <w:r>
              <w:rPr>
                <w:rFonts w:ascii="Arial" w:cs="Arial" w:eastAsia="Arial" w:hAnsi="Arial"/>
                <w:sz w:val="13"/>
                <w:szCs w:val="13"/>
                <w:color w:val="auto"/>
              </w:rPr>
              <w:t>(d)</w:t>
            </w: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98,209</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color w:val="auto"/>
              </w:rPr>
              <w:t>—</w:t>
            </w:r>
          </w:p>
        </w:tc>
        <w:tc>
          <w:tcPr>
            <w:tcW w:w="10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98,209</w:t>
            </w:r>
          </w:p>
        </w:tc>
        <w:tc>
          <w:tcPr>
            <w:tcW w:w="10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860" w:type="dxa"/>
            <w:vAlign w:val="bottom"/>
            <w:shd w:val="clear" w:color="auto" w:fill="D2EEF5"/>
          </w:tcPr>
          <w:p>
            <w:pPr>
              <w:ind w:left="5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50" w:right="180" w:hanging="550"/>
        <w:spacing w:after="0" w:line="375" w:lineRule="auto"/>
        <w:tabs>
          <w:tab w:leader="none" w:pos="55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Derivatives designated as hedging instruments are measured at fair value with changes in fair value recorded as a component of accumulated other comprehensive income (loss). Interest rate swaps are valued using pricing models that</w:t>
      </w:r>
    </w:p>
    <w:p>
      <w:pPr>
        <w:sectPr>
          <w:pgSz w:w="11880" w:h="15480" w:orient="portrait"/>
          <w:cols w:equalWidth="0" w:num="1">
            <w:col w:w="10270"/>
          </w:cols>
          <w:pgMar w:left="810" w:top="422" w:right="800" w:bottom="0" w:gutter="0" w:footer="0" w:header="0"/>
          <w:type w:val="continuous"/>
        </w:sectPr>
      </w:pPr>
    </w:p>
    <w:p>
      <w:pPr>
        <w:spacing w:after="0" w:line="298"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105</w:t>
      </w:r>
    </w:p>
    <w:p>
      <w:pPr>
        <w:sectPr>
          <w:pgSz w:w="11880" w:h="15480" w:orient="portrait"/>
          <w:cols w:equalWidth="0" w:num="1">
            <w:col w:w="10270"/>
          </w:cols>
          <w:pgMar w:left="810" w:top="422" w:right="800" w:bottom="0" w:gutter="0" w:footer="0" w:header="0"/>
          <w:type w:val="continuous"/>
        </w:sectPr>
      </w:pPr>
    </w:p>
    <w:bookmarkStart w:id="113" w:name="page114"/>
    <w:bookmarkEnd w:id="113"/>
    <w:p>
      <w:pPr>
        <w:jc w:val="center"/>
        <w:ind w:right="-4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49"/>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left="550" w:right="80"/>
        <w:spacing w:after="0" w:line="250" w:lineRule="auto"/>
        <w:rPr>
          <w:sz w:val="20"/>
          <w:szCs w:val="20"/>
          <w:color w:val="auto"/>
        </w:rPr>
      </w:pPr>
      <w:r>
        <w:rPr>
          <w:rFonts w:ascii="Arial" w:cs="Arial" w:eastAsia="Arial" w:hAnsi="Arial"/>
          <w:sz w:val="20"/>
          <w:szCs w:val="20"/>
          <w:color w:val="auto"/>
        </w:rPr>
        <w:t>incorporate observable market inputs including interest rate curves and yield curves. Additional information is provided in Note 1, “Significant Accounting Policies.”</w:t>
      </w:r>
    </w:p>
    <w:p>
      <w:pPr>
        <w:spacing w:after="0" w:line="1" w:lineRule="exact"/>
        <w:rPr>
          <w:sz w:val="20"/>
          <w:szCs w:val="20"/>
          <w:color w:val="auto"/>
        </w:rPr>
      </w:pPr>
    </w:p>
    <w:p>
      <w:pPr>
        <w:ind w:left="550" w:right="120" w:hanging="550"/>
        <w:spacing w:after="0" w:line="259" w:lineRule="auto"/>
        <w:tabs>
          <w:tab w:leader="none" w:pos="5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Derivatives that are not designated as hedging instruments are measured at fair value with gains or losses recognized immediately in the Consolidated Statements of Operations and Comprehensive Income (Loss). Refer also to Note 1, “Significant Accounting Policies.” Embedded derivatives are valued using internally developed models that rely on observable market inputs, including foreign currency forward curves. Foreign currency forward contracts are valued by reference to changes in foreign currency exchange rate over the life of the contract.</w:t>
      </w:r>
    </w:p>
    <w:p>
      <w:pPr>
        <w:spacing w:after="0" w:line="3" w:lineRule="exact"/>
        <w:rPr>
          <w:rFonts w:ascii="Arial" w:cs="Arial" w:eastAsia="Arial" w:hAnsi="Arial"/>
          <w:sz w:val="18"/>
          <w:szCs w:val="18"/>
          <w:color w:val="auto"/>
        </w:rPr>
      </w:pPr>
    </w:p>
    <w:p>
      <w:pPr>
        <w:ind w:left="550" w:right="100" w:hanging="550"/>
        <w:spacing w:after="0" w:line="278" w:lineRule="auto"/>
        <w:tabs>
          <w:tab w:leader="none" w:pos="5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Carrying amounts of current portion of long-term debt and long-term debt instruments are reported net of discounts and debt issuance costs. The estimated fair value of these instruments are based upon quoted prices for the Term Loan and the Secured Notes in inactive markets as provided by an independent fixed income security pricing service.</w:t>
      </w:r>
    </w:p>
    <w:p>
      <w:pPr>
        <w:ind w:left="550" w:hanging="550"/>
        <w:spacing w:after="0"/>
        <w:tabs>
          <w:tab w:leader="none" w:pos="550" w:val="left"/>
        </w:tabs>
        <w:numPr>
          <w:ilvl w:val="0"/>
          <w:numId w:val="55"/>
        </w:numPr>
        <w:rPr>
          <w:rFonts w:ascii="Arial" w:cs="Arial" w:eastAsia="Arial" w:hAnsi="Arial"/>
          <w:sz w:val="20"/>
          <w:szCs w:val="20"/>
          <w:color w:val="auto"/>
        </w:rPr>
      </w:pPr>
      <w:r>
        <w:rPr>
          <w:rFonts w:ascii="Arial" w:cs="Arial" w:eastAsia="Arial" w:hAnsi="Arial"/>
          <w:sz w:val="20"/>
          <w:szCs w:val="20"/>
          <w:color w:val="auto"/>
        </w:rPr>
        <w:t>Refer to Note 17, “Leases.” Fair value approximates carrying value.</w:t>
      </w:r>
    </w:p>
    <w:p>
      <w:pPr>
        <w:spacing w:after="0" w:line="36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21. Segment and Geographic Information</w:t>
      </w:r>
    </w:p>
    <w:p>
      <w:pPr>
        <w:spacing w:after="0" w:line="137" w:lineRule="exact"/>
        <w:rPr>
          <w:sz w:val="20"/>
          <w:szCs w:val="20"/>
          <w:color w:val="auto"/>
        </w:rPr>
      </w:pPr>
    </w:p>
    <w:p>
      <w:pPr>
        <w:ind w:left="10"/>
        <w:spacing w:after="0" w:line="306" w:lineRule="auto"/>
        <w:rPr>
          <w:sz w:val="20"/>
          <w:szCs w:val="20"/>
          <w:color w:val="auto"/>
        </w:rPr>
      </w:pPr>
      <w:r>
        <w:rPr>
          <w:rFonts w:ascii="Arial" w:cs="Arial" w:eastAsia="Arial" w:hAnsi="Arial"/>
          <w:sz w:val="17"/>
          <w:szCs w:val="17"/>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the Chairman and Chief Executive Officer of Sotera Health Company (“CODM”), evaluates performance and allocates resources based on segment income after the elimination of intercompany activities. The CODM uses these performance measures to inform decisions about the operations of the business and dedication of resources to selling and general administrative matters pertinent to the Company. The accounting policies of our reportable segments are the same as those described in Note 1, “Significant Accounting Policies.”</w:t>
      </w:r>
    </w:p>
    <w:p>
      <w:pPr>
        <w:spacing w:after="0" w:line="123"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u w:val="single" w:color="auto"/>
          <w:color w:val="auto"/>
        </w:rPr>
        <w:t>Sterigenics</w:t>
      </w:r>
    </w:p>
    <w:p>
      <w:pPr>
        <w:spacing w:after="0" w:line="133" w:lineRule="exact"/>
        <w:rPr>
          <w:sz w:val="20"/>
          <w:szCs w:val="20"/>
          <w:color w:val="auto"/>
        </w:rPr>
      </w:pPr>
    </w:p>
    <w:p>
      <w:pPr>
        <w:ind w:left="10" w:right="420"/>
        <w:spacing w:after="0" w:line="266" w:lineRule="auto"/>
        <w:rPr>
          <w:sz w:val="20"/>
          <w:szCs w:val="20"/>
          <w:color w:val="auto"/>
        </w:rPr>
      </w:pPr>
      <w:r>
        <w:rPr>
          <w:rFonts w:ascii="Arial" w:cs="Arial" w:eastAsia="Arial" w:hAnsi="Arial"/>
          <w:sz w:val="20"/>
          <w:szCs w:val="20"/>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52"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u w:val="single" w:color="auto"/>
          <w:color w:val="auto"/>
        </w:rPr>
        <w:t>Nordion</w:t>
      </w:r>
    </w:p>
    <w:p>
      <w:pPr>
        <w:spacing w:after="0" w:line="133" w:lineRule="exact"/>
        <w:rPr>
          <w:sz w:val="20"/>
          <w:szCs w:val="20"/>
          <w:color w:val="auto"/>
        </w:rPr>
      </w:pPr>
    </w:p>
    <w:p>
      <w:pPr>
        <w:ind w:left="10" w:right="520"/>
        <w:spacing w:after="0" w:line="266" w:lineRule="auto"/>
        <w:rPr>
          <w:sz w:val="20"/>
          <w:szCs w:val="20"/>
          <w:color w:val="auto"/>
        </w:rPr>
      </w:pPr>
      <w:r>
        <w:rPr>
          <w:rFonts w:ascii="Arial" w:cs="Arial" w:eastAsia="Arial" w:hAnsi="Arial"/>
          <w:sz w:val="20"/>
          <w:szCs w:val="20"/>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52"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u w:val="single" w:color="auto"/>
          <w:color w:val="auto"/>
        </w:rPr>
        <w:t>Nelson Labs</w:t>
      </w:r>
    </w:p>
    <w:p>
      <w:pPr>
        <w:spacing w:after="0" w:line="133" w:lineRule="exact"/>
        <w:rPr>
          <w:sz w:val="20"/>
          <w:szCs w:val="20"/>
          <w:color w:val="auto"/>
        </w:rPr>
      </w:pPr>
    </w:p>
    <w:p>
      <w:pPr>
        <w:ind w:left="10" w:right="40"/>
        <w:spacing w:after="0" w:line="283" w:lineRule="auto"/>
        <w:rPr>
          <w:sz w:val="20"/>
          <w:szCs w:val="20"/>
          <w:color w:val="auto"/>
        </w:rPr>
      </w:pPr>
      <w:r>
        <w:rPr>
          <w:rFonts w:ascii="Arial" w:cs="Arial" w:eastAsia="Arial" w:hAnsi="Arial"/>
          <w:sz w:val="20"/>
          <w:szCs w:val="20"/>
          <w:color w:val="auto"/>
        </w:rPr>
        <w:t>Nelson Labs provides outsourced microbiological and analytical chemistry testing and advisory services for the medical device and pharmaceutical industries.</w:t>
      </w:r>
    </w:p>
    <w:p>
      <w:pPr>
        <w:spacing w:after="0" w:line="135"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u w:val="single" w:color="auto"/>
          <w:color w:val="auto"/>
        </w:rPr>
        <w:t>Segment Revenue Concentrations</w:t>
      </w:r>
    </w:p>
    <w:p>
      <w:pPr>
        <w:spacing w:after="0" w:line="213" w:lineRule="exact"/>
        <w:rPr>
          <w:sz w:val="20"/>
          <w:szCs w:val="20"/>
          <w:color w:val="auto"/>
        </w:rPr>
      </w:pPr>
    </w:p>
    <w:p>
      <w:pPr>
        <w:ind w:left="10"/>
        <w:spacing w:after="0" w:line="255" w:lineRule="auto"/>
        <w:rPr>
          <w:sz w:val="20"/>
          <w:szCs w:val="20"/>
          <w:color w:val="auto"/>
        </w:rPr>
      </w:pPr>
      <w:r>
        <w:rPr>
          <w:rFonts w:ascii="Arial" w:cs="Arial" w:eastAsia="Arial" w:hAnsi="Arial"/>
          <w:sz w:val="20"/>
          <w:szCs w:val="20"/>
          <w:color w:val="auto"/>
        </w:rPr>
        <w:t>For the year ended December 31, 2025, two customers reported within the Nordion segment individually represented 10% or more of the segment’s total net revenues. These customers represented 34.8% and 11.0% of the total segment’s external net revenues for the year ended December 31, 2025. For the year ended December 31, 2024, one customer reported within the Nordion segment individually represented 10% or more of the segment’s total net revenues. This customer represented 34.3% of the total segment’s external net revenues for the year ended December 31, 2024. For the year ended December 31, 2023, two customers reported within the Nordion segment individually represented 10% or more of the segment’s total net revenues. These customers represented 34.9% and 13.9% of the total segment’s external net revenues for the year ended December 31, 2023.</w:t>
      </w:r>
    </w:p>
    <w:p>
      <w:pPr>
        <w:spacing w:after="0" w:line="165" w:lineRule="exact"/>
        <w:rPr>
          <w:sz w:val="20"/>
          <w:szCs w:val="20"/>
          <w:color w:val="auto"/>
        </w:rPr>
      </w:pPr>
    </w:p>
    <w:p>
      <w:pPr>
        <w:ind w:left="10"/>
        <w:spacing w:after="0"/>
        <w:rPr>
          <w:sz w:val="20"/>
          <w:szCs w:val="20"/>
          <w:color w:val="auto"/>
        </w:rPr>
      </w:pPr>
      <w:r>
        <w:rPr>
          <w:rFonts w:ascii="Arial" w:cs="Arial" w:eastAsia="Arial" w:hAnsi="Arial"/>
          <w:sz w:val="20"/>
          <w:szCs w:val="20"/>
          <w:color w:val="auto"/>
        </w:rPr>
        <w:t>Financial information for each of our segments is presented in the following table:</w:t>
      </w:r>
    </w:p>
    <w:p>
      <w:pPr>
        <w:sectPr>
          <w:pgSz w:w="11880" w:h="15480" w:orient="portrait"/>
          <w:cols w:equalWidth="0" w:num="1">
            <w:col w:w="10210"/>
          </w:cols>
          <w:pgMar w:left="810" w:top="42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9"/>
        <w:spacing w:after="0"/>
        <w:rPr>
          <w:sz w:val="20"/>
          <w:szCs w:val="20"/>
          <w:color w:val="auto"/>
        </w:rPr>
      </w:pPr>
      <w:r>
        <w:rPr>
          <w:rFonts w:ascii="Arial" w:cs="Arial" w:eastAsia="Arial" w:hAnsi="Arial"/>
          <w:sz w:val="17"/>
          <w:szCs w:val="17"/>
          <w:color w:val="auto"/>
        </w:rPr>
        <w:t>106</w:t>
      </w:r>
    </w:p>
    <w:p>
      <w:pPr>
        <w:sectPr>
          <w:pgSz w:w="11880" w:h="15480" w:orient="portrait"/>
          <w:cols w:equalWidth="0" w:num="1">
            <w:col w:w="10210"/>
          </w:cols>
          <w:pgMar w:left="810" w:top="422" w:right="860" w:bottom="0" w:gutter="0" w:footer="0" w:header="0"/>
          <w:type w:val="continuous"/>
        </w:sectPr>
      </w:pPr>
    </w:p>
    <w:bookmarkStart w:id="114" w:name="page115"/>
    <w:bookmarkEnd w:id="114"/>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20"/>
                <w:szCs w:val="20"/>
                <w:b w:val="1"/>
                <w:bCs w:val="1"/>
                <w:color w:val="auto"/>
                <w:w w:val="91"/>
              </w:rPr>
              <w:t>Year Ended December 31, 2025</w:t>
            </w:r>
          </w:p>
        </w:tc>
        <w:tc>
          <w:tcPr>
            <w:tcW w:w="1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54"/>
        </w:trPr>
        <w:tc>
          <w:tcPr>
            <w:tcW w:w="40" w:type="dxa"/>
            <w:vAlign w:val="bottom"/>
          </w:tcPr>
          <w:p>
            <w:pPr>
              <w:spacing w:after="0"/>
              <w:rPr>
                <w:sz w:val="22"/>
                <w:szCs w:val="22"/>
                <w:color w:val="auto"/>
              </w:rPr>
            </w:pPr>
          </w:p>
        </w:tc>
        <w:tc>
          <w:tcPr>
            <w:tcW w:w="36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240" w:type="dxa"/>
            <w:vAlign w:val="bottom"/>
          </w:tcPr>
          <w:p>
            <w:pPr>
              <w:spacing w:after="0"/>
              <w:rPr>
                <w:sz w:val="22"/>
                <w:szCs w:val="22"/>
                <w:color w:val="auto"/>
              </w:rPr>
            </w:pPr>
          </w:p>
        </w:tc>
        <w:tc>
          <w:tcPr>
            <w:tcW w:w="1400" w:type="dxa"/>
            <w:vAlign w:val="bottom"/>
          </w:tcPr>
          <w:p>
            <w:pPr>
              <w:jc w:val="right"/>
              <w:ind w:right="260"/>
              <w:spacing w:after="0"/>
              <w:rPr>
                <w:sz w:val="20"/>
                <w:szCs w:val="20"/>
                <w:color w:val="auto"/>
              </w:rPr>
            </w:pPr>
            <w:r>
              <w:rPr>
                <w:rFonts w:ascii="Arial" w:cs="Arial" w:eastAsia="Arial" w:hAnsi="Arial"/>
                <w:sz w:val="20"/>
                <w:szCs w:val="20"/>
                <w:b w:val="1"/>
                <w:bCs w:val="1"/>
                <w:color w:val="auto"/>
                <w:w w:val="94"/>
              </w:rPr>
              <w:t>Sterigenics</w:t>
            </w:r>
          </w:p>
        </w:tc>
        <w:tc>
          <w:tcPr>
            <w:tcW w:w="260" w:type="dxa"/>
            <w:vAlign w:val="bottom"/>
          </w:tcPr>
          <w:p>
            <w:pPr>
              <w:spacing w:after="0"/>
              <w:rPr>
                <w:sz w:val="22"/>
                <w:szCs w:val="22"/>
                <w:color w:val="auto"/>
              </w:rPr>
            </w:pPr>
          </w:p>
        </w:tc>
        <w:tc>
          <w:tcPr>
            <w:tcW w:w="1520" w:type="dxa"/>
            <w:vAlign w:val="bottom"/>
          </w:tcPr>
          <w:p>
            <w:pPr>
              <w:jc w:val="right"/>
              <w:ind w:right="420"/>
              <w:spacing w:after="0"/>
              <w:rPr>
                <w:sz w:val="20"/>
                <w:szCs w:val="20"/>
                <w:color w:val="auto"/>
              </w:rPr>
            </w:pPr>
            <w:r>
              <w:rPr>
                <w:rFonts w:ascii="Arial" w:cs="Arial" w:eastAsia="Arial" w:hAnsi="Arial"/>
                <w:sz w:val="20"/>
                <w:szCs w:val="20"/>
                <w:b w:val="1"/>
                <w:bCs w:val="1"/>
                <w:color w:val="auto"/>
              </w:rPr>
              <w:t>Nordion</w:t>
            </w:r>
          </w:p>
        </w:tc>
        <w:tc>
          <w:tcPr>
            <w:tcW w:w="240" w:type="dxa"/>
            <w:vAlign w:val="bottom"/>
          </w:tcPr>
          <w:p>
            <w:pPr>
              <w:spacing w:after="0"/>
              <w:rPr>
                <w:sz w:val="22"/>
                <w:szCs w:val="22"/>
                <w:color w:val="auto"/>
              </w:rPr>
            </w:pPr>
          </w:p>
        </w:tc>
        <w:tc>
          <w:tcPr>
            <w:tcW w:w="1280" w:type="dxa"/>
            <w:vAlign w:val="bottom"/>
          </w:tcPr>
          <w:p>
            <w:pPr>
              <w:jc w:val="right"/>
              <w:ind w:right="100"/>
              <w:spacing w:after="0"/>
              <w:rPr>
                <w:sz w:val="20"/>
                <w:szCs w:val="20"/>
                <w:color w:val="auto"/>
              </w:rPr>
            </w:pPr>
            <w:r>
              <w:rPr>
                <w:rFonts w:ascii="Arial" w:cs="Arial" w:eastAsia="Arial" w:hAnsi="Arial"/>
                <w:sz w:val="20"/>
                <w:szCs w:val="20"/>
                <w:b w:val="1"/>
                <w:bCs w:val="1"/>
                <w:color w:val="auto"/>
                <w:w w:val="89"/>
              </w:rPr>
              <w:t>Nelson Labs</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0"/>
              <w:spacing w:after="0"/>
              <w:rPr>
                <w:sz w:val="20"/>
                <w:szCs w:val="20"/>
                <w:color w:val="auto"/>
              </w:rPr>
            </w:pPr>
            <w:r>
              <w:rPr>
                <w:rFonts w:ascii="Arial" w:cs="Arial" w:eastAsia="Arial" w:hAnsi="Arial"/>
                <w:sz w:val="20"/>
                <w:szCs w:val="20"/>
                <w:b w:val="1"/>
                <w:bCs w:val="1"/>
                <w:color w:val="auto"/>
              </w:rPr>
              <w:t>Total</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1940" w:type="dxa"/>
            <w:vAlign w:val="bottom"/>
            <w:tcBorders>
              <w:bottom w:val="single" w:sz="8" w:color="D2EE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2EEF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shd w:val="clear" w:color="auto" w:fill="D2EEF5"/>
          </w:tcPr>
          <w:p>
            <w:pPr>
              <w:spacing w:after="0"/>
              <w:rPr>
                <w:sz w:val="24"/>
                <w:szCs w:val="24"/>
                <w:color w:val="auto"/>
              </w:rPr>
            </w:pPr>
          </w:p>
        </w:tc>
        <w:tc>
          <w:tcPr>
            <w:tcW w:w="368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Net revenues</w:t>
            </w:r>
            <w:r>
              <w:rPr>
                <w:rFonts w:ascii="Arial" w:cs="Arial" w:eastAsia="Arial" w:hAnsi="Arial"/>
                <w:sz w:val="13"/>
                <w:szCs w:val="13"/>
                <w:color w:val="auto"/>
              </w:rPr>
              <w:t>(a)</w:t>
            </w:r>
          </w:p>
        </w:tc>
        <w:tc>
          <w:tcPr>
            <w:tcW w:w="2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D2EEF5"/>
          </w:tcPr>
          <w:p>
            <w:pPr>
              <w:jc w:val="right"/>
              <w:ind w:right="20"/>
              <w:spacing w:after="0"/>
              <w:rPr>
                <w:sz w:val="20"/>
                <w:szCs w:val="20"/>
                <w:color w:val="auto"/>
              </w:rPr>
            </w:pPr>
            <w:r>
              <w:rPr>
                <w:rFonts w:ascii="Arial" w:cs="Arial" w:eastAsia="Arial" w:hAnsi="Arial"/>
                <w:sz w:val="20"/>
                <w:szCs w:val="20"/>
                <w:color w:val="auto"/>
              </w:rPr>
              <w:t>755,780</w:t>
            </w:r>
          </w:p>
        </w:tc>
        <w:tc>
          <w:tcPr>
            <w:tcW w:w="2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D2EEF5"/>
          </w:tcPr>
          <w:p>
            <w:pPr>
              <w:jc w:val="right"/>
              <w:ind w:right="20"/>
              <w:spacing w:after="0"/>
              <w:rPr>
                <w:sz w:val="20"/>
                <w:szCs w:val="20"/>
                <w:color w:val="auto"/>
              </w:rPr>
            </w:pPr>
            <w:r>
              <w:rPr>
                <w:rFonts w:ascii="Arial" w:cs="Arial" w:eastAsia="Arial" w:hAnsi="Arial"/>
                <w:sz w:val="20"/>
                <w:szCs w:val="20"/>
                <w:color w:val="auto"/>
              </w:rPr>
              <w:t>187,618</w:t>
            </w:r>
          </w:p>
        </w:tc>
        <w:tc>
          <w:tcPr>
            <w:tcW w:w="2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220,219</w:t>
            </w:r>
          </w:p>
        </w:tc>
        <w:tc>
          <w:tcPr>
            <w:tcW w:w="460" w:type="dxa"/>
            <w:vAlign w:val="bottom"/>
            <w:gridSpan w:val="2"/>
            <w:shd w:val="clear" w:color="auto" w:fill="D2EEF5"/>
          </w:tcPr>
          <w:p>
            <w:pPr>
              <w:jc w:val="right"/>
              <w:ind w:right="180"/>
              <w:spacing w:after="0"/>
              <w:rPr>
                <w:sz w:val="20"/>
                <w:szCs w:val="20"/>
                <w:color w:val="auto"/>
              </w:rPr>
            </w:pPr>
            <w:r>
              <w:rPr>
                <w:rFonts w:ascii="Arial" w:cs="Arial" w:eastAsia="Arial" w:hAnsi="Arial"/>
                <w:sz w:val="20"/>
                <w:szCs w:val="20"/>
                <w:color w:val="auto"/>
              </w:rPr>
              <w:t>$</w:t>
            </w:r>
          </w:p>
        </w:tc>
        <w:tc>
          <w:tcPr>
            <w:tcW w:w="11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1,163,617</w:t>
            </w:r>
          </w:p>
        </w:tc>
      </w:tr>
      <w:tr>
        <w:trPr>
          <w:trHeight w:val="308"/>
        </w:trPr>
        <w:tc>
          <w:tcPr>
            <w:tcW w:w="3720" w:type="dxa"/>
            <w:vAlign w:val="bottom"/>
            <w:gridSpan w:val="3"/>
          </w:tcPr>
          <w:p>
            <w:pPr>
              <w:ind w:left="40"/>
              <w:spacing w:after="0"/>
              <w:rPr>
                <w:sz w:val="20"/>
                <w:szCs w:val="20"/>
                <w:color w:val="auto"/>
              </w:rPr>
            </w:pPr>
            <w:r>
              <w:rPr>
                <w:rFonts w:ascii="Arial" w:cs="Arial" w:eastAsia="Arial" w:hAnsi="Arial"/>
                <w:sz w:val="20"/>
                <w:szCs w:val="20"/>
                <w:color w:val="auto"/>
              </w:rPr>
              <w:t>Segment expenses</w:t>
            </w:r>
            <w:r>
              <w:rPr>
                <w:rFonts w:ascii="Arial" w:cs="Arial" w:eastAsia="Arial" w:hAnsi="Arial"/>
                <w:sz w:val="13"/>
                <w:szCs w:val="13"/>
                <w:color w:val="auto"/>
              </w:rPr>
              <w:t>(b)</w:t>
            </w:r>
          </w:p>
        </w:tc>
        <w:tc>
          <w:tcPr>
            <w:tcW w:w="240" w:type="dxa"/>
            <w:vAlign w:val="bottom"/>
          </w:tcPr>
          <w:p>
            <w:pPr>
              <w:spacing w:after="0"/>
              <w:rPr>
                <w:sz w:val="24"/>
                <w:szCs w:val="24"/>
                <w:color w:val="auto"/>
              </w:rPr>
            </w:pPr>
          </w:p>
        </w:tc>
        <w:tc>
          <w:tcPr>
            <w:tcW w:w="1400" w:type="dxa"/>
            <w:vAlign w:val="bottom"/>
          </w:tcPr>
          <w:p>
            <w:pPr>
              <w:jc w:val="right"/>
              <w:ind w:right="20"/>
              <w:spacing w:after="0"/>
              <w:rPr>
                <w:sz w:val="20"/>
                <w:szCs w:val="20"/>
                <w:color w:val="auto"/>
              </w:rPr>
            </w:pPr>
            <w:r>
              <w:rPr>
                <w:rFonts w:ascii="Arial" w:cs="Arial" w:eastAsia="Arial" w:hAnsi="Arial"/>
                <w:sz w:val="20"/>
                <w:szCs w:val="20"/>
                <w:color w:val="auto"/>
              </w:rPr>
              <w:t>306,621</w:t>
            </w:r>
          </w:p>
        </w:tc>
        <w:tc>
          <w:tcPr>
            <w:tcW w:w="260" w:type="dxa"/>
            <w:vAlign w:val="bottom"/>
          </w:tcPr>
          <w:p>
            <w:pPr>
              <w:spacing w:after="0"/>
              <w:rPr>
                <w:sz w:val="24"/>
                <w:szCs w:val="24"/>
                <w:color w:val="auto"/>
              </w:rPr>
            </w:pPr>
          </w:p>
        </w:tc>
        <w:tc>
          <w:tcPr>
            <w:tcW w:w="1520" w:type="dxa"/>
            <w:vAlign w:val="bottom"/>
          </w:tcPr>
          <w:p>
            <w:pPr>
              <w:jc w:val="right"/>
              <w:ind w:right="20"/>
              <w:spacing w:after="0"/>
              <w:rPr>
                <w:sz w:val="20"/>
                <w:szCs w:val="20"/>
                <w:color w:val="auto"/>
              </w:rPr>
            </w:pPr>
            <w:r>
              <w:rPr>
                <w:rFonts w:ascii="Arial" w:cs="Arial" w:eastAsia="Arial" w:hAnsi="Arial"/>
                <w:sz w:val="20"/>
                <w:szCs w:val="20"/>
                <w:color w:val="auto"/>
              </w:rPr>
              <w:t>74,533</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141,477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522,631</w:t>
            </w:r>
          </w:p>
        </w:tc>
      </w:tr>
      <w:tr>
        <w:trPr>
          <w:trHeight w:val="312"/>
        </w:trPr>
        <w:tc>
          <w:tcPr>
            <w:tcW w:w="40" w:type="dxa"/>
            <w:vAlign w:val="bottom"/>
            <w:tcBorders>
              <w:bottom w:val="single" w:sz="8" w:color="D2EEF5"/>
            </w:tcBorders>
            <w:shd w:val="clear" w:color="auto" w:fill="D2EEF5"/>
          </w:tcPr>
          <w:p>
            <w:pPr>
              <w:spacing w:after="0"/>
              <w:rPr>
                <w:sz w:val="24"/>
                <w:szCs w:val="24"/>
                <w:color w:val="auto"/>
              </w:rPr>
            </w:pPr>
          </w:p>
        </w:tc>
        <w:tc>
          <w:tcPr>
            <w:tcW w:w="368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20"/>
                <w:szCs w:val="20"/>
                <w:color w:val="auto"/>
              </w:rPr>
              <w:t>Corporate expense allocation</w:t>
            </w:r>
            <w:r>
              <w:rPr>
                <w:rFonts w:ascii="Arial" w:cs="Arial" w:eastAsia="Arial" w:hAnsi="Arial"/>
                <w:sz w:val="13"/>
                <w:szCs w:val="13"/>
                <w:color w:val="auto"/>
              </w:rPr>
              <w:t>(c)</w:t>
            </w:r>
          </w:p>
        </w:tc>
        <w:tc>
          <w:tcPr>
            <w:tcW w:w="240" w:type="dxa"/>
            <w:vAlign w:val="bottom"/>
            <w:tcBorders>
              <w:bottom w:val="single" w:sz="8" w:color="auto"/>
            </w:tcBorders>
            <w:shd w:val="clear" w:color="auto" w:fill="D2EEF5"/>
          </w:tcPr>
          <w:p>
            <w:pPr>
              <w:spacing w:after="0"/>
              <w:rPr>
                <w:sz w:val="24"/>
                <w:szCs w:val="24"/>
                <w:color w:val="auto"/>
              </w:rPr>
            </w:pPr>
          </w:p>
        </w:tc>
        <w:tc>
          <w:tcPr>
            <w:tcW w:w="140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20"/>
                <w:szCs w:val="20"/>
                <w:color w:val="auto"/>
              </w:rPr>
              <w:t>36,266</w:t>
            </w:r>
          </w:p>
        </w:tc>
        <w:tc>
          <w:tcPr>
            <w:tcW w:w="260" w:type="dxa"/>
            <w:vAlign w:val="bottom"/>
            <w:tcBorders>
              <w:bottom w:val="single" w:sz="8" w:color="auto"/>
            </w:tcBorders>
            <w:shd w:val="clear" w:color="auto" w:fill="D2EEF5"/>
          </w:tcPr>
          <w:p>
            <w:pPr>
              <w:spacing w:after="0"/>
              <w:rPr>
                <w:sz w:val="24"/>
                <w:szCs w:val="24"/>
                <w:color w:val="auto"/>
              </w:rPr>
            </w:pPr>
          </w:p>
        </w:tc>
        <w:tc>
          <w:tcPr>
            <w:tcW w:w="152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20"/>
                <w:szCs w:val="20"/>
                <w:color w:val="auto"/>
              </w:rPr>
              <w:t>5,507</w:t>
            </w:r>
          </w:p>
        </w:tc>
        <w:tc>
          <w:tcPr>
            <w:tcW w:w="240" w:type="dxa"/>
            <w:vAlign w:val="bottom"/>
            <w:tcBorders>
              <w:bottom w:val="single" w:sz="8" w:color="auto"/>
            </w:tcBorders>
            <w:shd w:val="clear" w:color="auto" w:fill="D2EEF5"/>
          </w:tcPr>
          <w:p>
            <w:pPr>
              <w:spacing w:after="0"/>
              <w:rPr>
                <w:sz w:val="24"/>
                <w:szCs w:val="24"/>
                <w:color w:val="auto"/>
              </w:rPr>
            </w:pPr>
          </w:p>
        </w:tc>
        <w:tc>
          <w:tcPr>
            <w:tcW w:w="1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5,412</w:t>
            </w:r>
          </w:p>
        </w:tc>
        <w:tc>
          <w:tcPr>
            <w:tcW w:w="140" w:type="dxa"/>
            <w:vAlign w:val="bottom"/>
            <w:tcBorders>
              <w:bottom w:val="single" w:sz="8" w:color="auto"/>
            </w:tcBorders>
            <w:shd w:val="clear" w:color="auto" w:fill="D2EEF5"/>
          </w:tcPr>
          <w:p>
            <w:pPr>
              <w:spacing w:after="0"/>
              <w:rPr>
                <w:sz w:val="24"/>
                <w:szCs w:val="24"/>
                <w:color w:val="auto"/>
              </w:rPr>
            </w:pPr>
          </w:p>
        </w:tc>
        <w:tc>
          <w:tcPr>
            <w:tcW w:w="320" w:type="dxa"/>
            <w:vAlign w:val="bottom"/>
            <w:tcBorders>
              <w:bottom w:val="single" w:sz="8" w:color="auto"/>
            </w:tcBorders>
            <w:shd w:val="clear" w:color="auto" w:fill="D2EEF5"/>
          </w:tcPr>
          <w:p>
            <w:pPr>
              <w:spacing w:after="0"/>
              <w:rPr>
                <w:sz w:val="24"/>
                <w:szCs w:val="24"/>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47,185</w:t>
            </w:r>
          </w:p>
        </w:tc>
      </w:tr>
      <w:tr>
        <w:trPr>
          <w:trHeight w:val="275"/>
        </w:trPr>
        <w:tc>
          <w:tcPr>
            <w:tcW w:w="4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Arial" w:cs="Arial" w:eastAsia="Arial" w:hAnsi="Arial"/>
                <w:sz w:val="20"/>
                <w:szCs w:val="20"/>
                <w:color w:val="auto"/>
              </w:rPr>
              <w:t>Segment income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b w:val="1"/>
                <w:bCs w:val="1"/>
                <w:color w:val="auto"/>
              </w:rPr>
              <w:t>412,893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b w:val="1"/>
                <w:bCs w:val="1"/>
                <w:color w:val="auto"/>
              </w:rPr>
              <w:t>107,578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73,330</w:t>
            </w:r>
          </w:p>
        </w:tc>
        <w:tc>
          <w:tcPr>
            <w:tcW w:w="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593,801</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20"/>
                <w:szCs w:val="20"/>
                <w:b w:val="1"/>
                <w:bCs w:val="1"/>
                <w:color w:val="auto"/>
                <w:w w:val="91"/>
              </w:rPr>
              <w:t>Year Ended December 31, 2024</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54"/>
        </w:trPr>
        <w:tc>
          <w:tcPr>
            <w:tcW w:w="40" w:type="dxa"/>
            <w:vAlign w:val="bottom"/>
          </w:tcPr>
          <w:p>
            <w:pPr>
              <w:spacing w:after="0"/>
              <w:rPr>
                <w:sz w:val="22"/>
                <w:szCs w:val="22"/>
                <w:color w:val="auto"/>
              </w:rPr>
            </w:pPr>
          </w:p>
        </w:tc>
        <w:tc>
          <w:tcPr>
            <w:tcW w:w="36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240" w:type="dxa"/>
            <w:vAlign w:val="bottom"/>
          </w:tcPr>
          <w:p>
            <w:pPr>
              <w:spacing w:after="0"/>
              <w:rPr>
                <w:sz w:val="22"/>
                <w:szCs w:val="22"/>
                <w:color w:val="auto"/>
              </w:rPr>
            </w:pPr>
          </w:p>
        </w:tc>
        <w:tc>
          <w:tcPr>
            <w:tcW w:w="1400" w:type="dxa"/>
            <w:vAlign w:val="bottom"/>
          </w:tcPr>
          <w:p>
            <w:pPr>
              <w:jc w:val="right"/>
              <w:ind w:right="260"/>
              <w:spacing w:after="0"/>
              <w:rPr>
                <w:sz w:val="20"/>
                <w:szCs w:val="20"/>
                <w:color w:val="auto"/>
              </w:rPr>
            </w:pPr>
            <w:r>
              <w:rPr>
                <w:rFonts w:ascii="Arial" w:cs="Arial" w:eastAsia="Arial" w:hAnsi="Arial"/>
                <w:sz w:val="20"/>
                <w:szCs w:val="20"/>
                <w:b w:val="1"/>
                <w:bCs w:val="1"/>
                <w:color w:val="auto"/>
                <w:w w:val="94"/>
              </w:rPr>
              <w:t>Sterigenics</w:t>
            </w:r>
          </w:p>
        </w:tc>
        <w:tc>
          <w:tcPr>
            <w:tcW w:w="260" w:type="dxa"/>
            <w:vAlign w:val="bottom"/>
          </w:tcPr>
          <w:p>
            <w:pPr>
              <w:spacing w:after="0"/>
              <w:rPr>
                <w:sz w:val="22"/>
                <w:szCs w:val="22"/>
                <w:color w:val="auto"/>
              </w:rPr>
            </w:pPr>
          </w:p>
        </w:tc>
        <w:tc>
          <w:tcPr>
            <w:tcW w:w="1520" w:type="dxa"/>
            <w:vAlign w:val="bottom"/>
          </w:tcPr>
          <w:p>
            <w:pPr>
              <w:jc w:val="right"/>
              <w:ind w:right="420"/>
              <w:spacing w:after="0"/>
              <w:rPr>
                <w:sz w:val="20"/>
                <w:szCs w:val="20"/>
                <w:color w:val="auto"/>
              </w:rPr>
            </w:pPr>
            <w:r>
              <w:rPr>
                <w:rFonts w:ascii="Arial" w:cs="Arial" w:eastAsia="Arial" w:hAnsi="Arial"/>
                <w:sz w:val="20"/>
                <w:szCs w:val="20"/>
                <w:b w:val="1"/>
                <w:bCs w:val="1"/>
                <w:color w:val="auto"/>
              </w:rPr>
              <w:t>Nordion</w:t>
            </w:r>
          </w:p>
        </w:tc>
        <w:tc>
          <w:tcPr>
            <w:tcW w:w="240" w:type="dxa"/>
            <w:vAlign w:val="bottom"/>
          </w:tcPr>
          <w:p>
            <w:pPr>
              <w:spacing w:after="0"/>
              <w:rPr>
                <w:sz w:val="22"/>
                <w:szCs w:val="22"/>
                <w:color w:val="auto"/>
              </w:rPr>
            </w:pPr>
          </w:p>
        </w:tc>
        <w:tc>
          <w:tcPr>
            <w:tcW w:w="1280" w:type="dxa"/>
            <w:vAlign w:val="bottom"/>
          </w:tcPr>
          <w:p>
            <w:pPr>
              <w:jc w:val="right"/>
              <w:ind w:right="100"/>
              <w:spacing w:after="0"/>
              <w:rPr>
                <w:sz w:val="20"/>
                <w:szCs w:val="20"/>
                <w:color w:val="auto"/>
              </w:rPr>
            </w:pPr>
            <w:r>
              <w:rPr>
                <w:rFonts w:ascii="Arial" w:cs="Arial" w:eastAsia="Arial" w:hAnsi="Arial"/>
                <w:sz w:val="20"/>
                <w:szCs w:val="20"/>
                <w:b w:val="1"/>
                <w:bCs w:val="1"/>
                <w:color w:val="auto"/>
                <w:w w:val="89"/>
              </w:rPr>
              <w:t>Nelson Labs</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0"/>
              <w:spacing w:after="0"/>
              <w:rPr>
                <w:sz w:val="20"/>
                <w:szCs w:val="20"/>
                <w:color w:val="auto"/>
              </w:rPr>
            </w:pPr>
            <w:r>
              <w:rPr>
                <w:rFonts w:ascii="Arial" w:cs="Arial" w:eastAsia="Arial" w:hAnsi="Arial"/>
                <w:sz w:val="20"/>
                <w:szCs w:val="20"/>
                <w:b w:val="1"/>
                <w:bCs w:val="1"/>
                <w:color w:val="auto"/>
              </w:rPr>
              <w:t>Total</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1940" w:type="dxa"/>
            <w:vAlign w:val="bottom"/>
            <w:tcBorders>
              <w:bottom w:val="single" w:sz="8" w:color="D2EE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2EEF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shd w:val="clear" w:color="auto" w:fill="D2EEF5"/>
          </w:tcPr>
          <w:p>
            <w:pPr>
              <w:spacing w:after="0"/>
              <w:rPr>
                <w:sz w:val="24"/>
                <w:szCs w:val="24"/>
                <w:color w:val="auto"/>
              </w:rPr>
            </w:pPr>
          </w:p>
        </w:tc>
        <w:tc>
          <w:tcPr>
            <w:tcW w:w="368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Net revenues</w:t>
            </w:r>
            <w:r>
              <w:rPr>
                <w:rFonts w:ascii="Arial" w:cs="Arial" w:eastAsia="Arial" w:hAnsi="Arial"/>
                <w:sz w:val="13"/>
                <w:szCs w:val="13"/>
                <w:color w:val="auto"/>
              </w:rPr>
              <w:t>(a)</w:t>
            </w:r>
          </w:p>
        </w:tc>
        <w:tc>
          <w:tcPr>
            <w:tcW w:w="2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D2EEF5"/>
          </w:tcPr>
          <w:p>
            <w:pPr>
              <w:jc w:val="right"/>
              <w:ind w:right="20"/>
              <w:spacing w:after="0"/>
              <w:rPr>
                <w:sz w:val="20"/>
                <w:szCs w:val="20"/>
                <w:color w:val="auto"/>
              </w:rPr>
            </w:pPr>
            <w:r>
              <w:rPr>
                <w:rFonts w:ascii="Arial" w:cs="Arial" w:eastAsia="Arial" w:hAnsi="Arial"/>
                <w:sz w:val="20"/>
                <w:szCs w:val="20"/>
                <w:color w:val="auto"/>
              </w:rPr>
              <w:t>697,853</w:t>
            </w:r>
          </w:p>
        </w:tc>
        <w:tc>
          <w:tcPr>
            <w:tcW w:w="2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D2EEF5"/>
          </w:tcPr>
          <w:p>
            <w:pPr>
              <w:jc w:val="right"/>
              <w:ind w:right="20"/>
              <w:spacing w:after="0"/>
              <w:rPr>
                <w:sz w:val="20"/>
                <w:szCs w:val="20"/>
                <w:color w:val="auto"/>
              </w:rPr>
            </w:pPr>
            <w:r>
              <w:rPr>
                <w:rFonts w:ascii="Arial" w:cs="Arial" w:eastAsia="Arial" w:hAnsi="Arial"/>
                <w:sz w:val="20"/>
                <w:szCs w:val="20"/>
                <w:color w:val="auto"/>
              </w:rPr>
              <w:t>173,355</w:t>
            </w:r>
          </w:p>
        </w:tc>
        <w:tc>
          <w:tcPr>
            <w:tcW w:w="2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229,233</w:t>
            </w:r>
          </w:p>
        </w:tc>
        <w:tc>
          <w:tcPr>
            <w:tcW w:w="460" w:type="dxa"/>
            <w:vAlign w:val="bottom"/>
            <w:gridSpan w:val="2"/>
            <w:shd w:val="clear" w:color="auto" w:fill="D2EEF5"/>
          </w:tcPr>
          <w:p>
            <w:pPr>
              <w:jc w:val="right"/>
              <w:ind w:right="180"/>
              <w:spacing w:after="0"/>
              <w:rPr>
                <w:sz w:val="20"/>
                <w:szCs w:val="20"/>
                <w:color w:val="auto"/>
              </w:rPr>
            </w:pPr>
            <w:r>
              <w:rPr>
                <w:rFonts w:ascii="Arial" w:cs="Arial" w:eastAsia="Arial" w:hAnsi="Arial"/>
                <w:sz w:val="20"/>
                <w:szCs w:val="20"/>
                <w:color w:val="auto"/>
              </w:rPr>
              <w:t>$</w:t>
            </w:r>
          </w:p>
        </w:tc>
        <w:tc>
          <w:tcPr>
            <w:tcW w:w="11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1,100,441</w:t>
            </w:r>
          </w:p>
        </w:tc>
      </w:tr>
      <w:tr>
        <w:trPr>
          <w:trHeight w:val="308"/>
        </w:trPr>
        <w:tc>
          <w:tcPr>
            <w:tcW w:w="3720" w:type="dxa"/>
            <w:vAlign w:val="bottom"/>
            <w:gridSpan w:val="3"/>
          </w:tcPr>
          <w:p>
            <w:pPr>
              <w:ind w:left="40"/>
              <w:spacing w:after="0"/>
              <w:rPr>
                <w:sz w:val="20"/>
                <w:szCs w:val="20"/>
                <w:color w:val="auto"/>
              </w:rPr>
            </w:pPr>
            <w:r>
              <w:rPr>
                <w:rFonts w:ascii="Arial" w:cs="Arial" w:eastAsia="Arial" w:hAnsi="Arial"/>
                <w:sz w:val="20"/>
                <w:szCs w:val="20"/>
                <w:color w:val="auto"/>
              </w:rPr>
              <w:t>Segment expenses</w:t>
            </w:r>
            <w:r>
              <w:rPr>
                <w:rFonts w:ascii="Arial" w:cs="Arial" w:eastAsia="Arial" w:hAnsi="Arial"/>
                <w:sz w:val="13"/>
                <w:szCs w:val="13"/>
                <w:color w:val="auto"/>
              </w:rPr>
              <w:t>(b)</w:t>
            </w:r>
          </w:p>
        </w:tc>
        <w:tc>
          <w:tcPr>
            <w:tcW w:w="240" w:type="dxa"/>
            <w:vAlign w:val="bottom"/>
          </w:tcPr>
          <w:p>
            <w:pPr>
              <w:spacing w:after="0"/>
              <w:rPr>
                <w:sz w:val="24"/>
                <w:szCs w:val="24"/>
                <w:color w:val="auto"/>
              </w:rPr>
            </w:pPr>
          </w:p>
        </w:tc>
        <w:tc>
          <w:tcPr>
            <w:tcW w:w="1400" w:type="dxa"/>
            <w:vAlign w:val="bottom"/>
          </w:tcPr>
          <w:p>
            <w:pPr>
              <w:jc w:val="right"/>
              <w:ind w:right="20"/>
              <w:spacing w:after="0"/>
              <w:rPr>
                <w:sz w:val="20"/>
                <w:szCs w:val="20"/>
                <w:color w:val="auto"/>
              </w:rPr>
            </w:pPr>
            <w:r>
              <w:rPr>
                <w:rFonts w:ascii="Arial" w:cs="Arial" w:eastAsia="Arial" w:hAnsi="Arial"/>
                <w:sz w:val="20"/>
                <w:szCs w:val="20"/>
                <w:color w:val="auto"/>
              </w:rPr>
              <w:t>286,434</w:t>
            </w:r>
          </w:p>
        </w:tc>
        <w:tc>
          <w:tcPr>
            <w:tcW w:w="260" w:type="dxa"/>
            <w:vAlign w:val="bottom"/>
          </w:tcPr>
          <w:p>
            <w:pPr>
              <w:spacing w:after="0"/>
              <w:rPr>
                <w:sz w:val="24"/>
                <w:szCs w:val="24"/>
                <w:color w:val="auto"/>
              </w:rPr>
            </w:pPr>
          </w:p>
        </w:tc>
        <w:tc>
          <w:tcPr>
            <w:tcW w:w="1520" w:type="dxa"/>
            <w:vAlign w:val="bottom"/>
          </w:tcPr>
          <w:p>
            <w:pPr>
              <w:jc w:val="right"/>
              <w:ind w:right="20"/>
              <w:spacing w:after="0"/>
              <w:rPr>
                <w:sz w:val="20"/>
                <w:szCs w:val="20"/>
                <w:color w:val="auto"/>
              </w:rPr>
            </w:pPr>
            <w:r>
              <w:rPr>
                <w:rFonts w:ascii="Arial" w:cs="Arial" w:eastAsia="Arial" w:hAnsi="Arial"/>
                <w:sz w:val="20"/>
                <w:szCs w:val="20"/>
                <w:color w:val="auto"/>
              </w:rPr>
              <w:t>67,087</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155,088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508,609</w:t>
            </w:r>
          </w:p>
        </w:tc>
      </w:tr>
      <w:tr>
        <w:trPr>
          <w:trHeight w:val="312"/>
        </w:trPr>
        <w:tc>
          <w:tcPr>
            <w:tcW w:w="40" w:type="dxa"/>
            <w:vAlign w:val="bottom"/>
            <w:tcBorders>
              <w:bottom w:val="single" w:sz="8" w:color="D2EEF5"/>
            </w:tcBorders>
            <w:shd w:val="clear" w:color="auto" w:fill="D2EEF5"/>
          </w:tcPr>
          <w:p>
            <w:pPr>
              <w:spacing w:after="0"/>
              <w:rPr>
                <w:sz w:val="24"/>
                <w:szCs w:val="24"/>
                <w:color w:val="auto"/>
              </w:rPr>
            </w:pPr>
          </w:p>
        </w:tc>
        <w:tc>
          <w:tcPr>
            <w:tcW w:w="368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20"/>
                <w:szCs w:val="20"/>
                <w:color w:val="auto"/>
              </w:rPr>
              <w:t>Corporate expense allocation</w:t>
            </w:r>
            <w:r>
              <w:rPr>
                <w:rFonts w:ascii="Arial" w:cs="Arial" w:eastAsia="Arial" w:hAnsi="Arial"/>
                <w:sz w:val="13"/>
                <w:szCs w:val="13"/>
                <w:color w:val="auto"/>
              </w:rPr>
              <w:t>(c)</w:t>
            </w:r>
          </w:p>
        </w:tc>
        <w:tc>
          <w:tcPr>
            <w:tcW w:w="240" w:type="dxa"/>
            <w:vAlign w:val="bottom"/>
            <w:tcBorders>
              <w:bottom w:val="single" w:sz="8" w:color="auto"/>
            </w:tcBorders>
            <w:shd w:val="clear" w:color="auto" w:fill="D2EEF5"/>
          </w:tcPr>
          <w:p>
            <w:pPr>
              <w:spacing w:after="0"/>
              <w:rPr>
                <w:sz w:val="24"/>
                <w:szCs w:val="24"/>
                <w:color w:val="auto"/>
              </w:rPr>
            </w:pPr>
          </w:p>
        </w:tc>
        <w:tc>
          <w:tcPr>
            <w:tcW w:w="140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20"/>
                <w:szCs w:val="20"/>
                <w:color w:val="auto"/>
              </w:rPr>
              <w:t>33,248</w:t>
            </w:r>
          </w:p>
        </w:tc>
        <w:tc>
          <w:tcPr>
            <w:tcW w:w="260" w:type="dxa"/>
            <w:vAlign w:val="bottom"/>
            <w:tcBorders>
              <w:bottom w:val="single" w:sz="8" w:color="auto"/>
            </w:tcBorders>
            <w:shd w:val="clear" w:color="auto" w:fill="D2EEF5"/>
          </w:tcPr>
          <w:p>
            <w:pPr>
              <w:spacing w:after="0"/>
              <w:rPr>
                <w:sz w:val="24"/>
                <w:szCs w:val="24"/>
                <w:color w:val="auto"/>
              </w:rPr>
            </w:pPr>
          </w:p>
        </w:tc>
        <w:tc>
          <w:tcPr>
            <w:tcW w:w="152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20"/>
                <w:szCs w:val="20"/>
                <w:color w:val="auto"/>
              </w:rPr>
              <w:t>5,048</w:t>
            </w:r>
          </w:p>
        </w:tc>
        <w:tc>
          <w:tcPr>
            <w:tcW w:w="240" w:type="dxa"/>
            <w:vAlign w:val="bottom"/>
            <w:tcBorders>
              <w:bottom w:val="single" w:sz="8" w:color="auto"/>
            </w:tcBorders>
            <w:shd w:val="clear" w:color="auto" w:fill="D2EEF5"/>
          </w:tcPr>
          <w:p>
            <w:pPr>
              <w:spacing w:after="0"/>
              <w:rPr>
                <w:sz w:val="24"/>
                <w:szCs w:val="24"/>
                <w:color w:val="auto"/>
              </w:rPr>
            </w:pPr>
          </w:p>
        </w:tc>
        <w:tc>
          <w:tcPr>
            <w:tcW w:w="1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4,962</w:t>
            </w:r>
          </w:p>
        </w:tc>
        <w:tc>
          <w:tcPr>
            <w:tcW w:w="140" w:type="dxa"/>
            <w:vAlign w:val="bottom"/>
            <w:tcBorders>
              <w:bottom w:val="single" w:sz="8" w:color="auto"/>
            </w:tcBorders>
            <w:shd w:val="clear" w:color="auto" w:fill="D2EEF5"/>
          </w:tcPr>
          <w:p>
            <w:pPr>
              <w:spacing w:after="0"/>
              <w:rPr>
                <w:sz w:val="24"/>
                <w:szCs w:val="24"/>
                <w:color w:val="auto"/>
              </w:rPr>
            </w:pPr>
          </w:p>
        </w:tc>
        <w:tc>
          <w:tcPr>
            <w:tcW w:w="320" w:type="dxa"/>
            <w:vAlign w:val="bottom"/>
            <w:tcBorders>
              <w:bottom w:val="single" w:sz="8" w:color="auto"/>
            </w:tcBorders>
            <w:shd w:val="clear" w:color="auto" w:fill="D2EEF5"/>
          </w:tcPr>
          <w:p>
            <w:pPr>
              <w:spacing w:after="0"/>
              <w:rPr>
                <w:sz w:val="24"/>
                <w:szCs w:val="24"/>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43,258</w:t>
            </w:r>
          </w:p>
        </w:tc>
      </w:tr>
      <w:tr>
        <w:trPr>
          <w:trHeight w:val="275"/>
        </w:trPr>
        <w:tc>
          <w:tcPr>
            <w:tcW w:w="4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Arial" w:cs="Arial" w:eastAsia="Arial" w:hAnsi="Arial"/>
                <w:sz w:val="20"/>
                <w:szCs w:val="20"/>
                <w:color w:val="auto"/>
              </w:rPr>
              <w:t>Segment income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b w:val="1"/>
                <w:bCs w:val="1"/>
                <w:color w:val="auto"/>
              </w:rPr>
              <w:t>378,171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b w:val="1"/>
                <w:bCs w:val="1"/>
                <w:color w:val="auto"/>
              </w:rPr>
              <w:t>101,220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69,183</w:t>
            </w:r>
          </w:p>
        </w:tc>
        <w:tc>
          <w:tcPr>
            <w:tcW w:w="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548,574</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20"/>
                <w:szCs w:val="20"/>
                <w:b w:val="1"/>
                <w:bCs w:val="1"/>
                <w:color w:val="auto"/>
                <w:w w:val="91"/>
              </w:rPr>
              <w:t>Year Ended December 31, 2023</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54"/>
        </w:trPr>
        <w:tc>
          <w:tcPr>
            <w:tcW w:w="40" w:type="dxa"/>
            <w:vAlign w:val="bottom"/>
          </w:tcPr>
          <w:p>
            <w:pPr>
              <w:spacing w:after="0"/>
              <w:rPr>
                <w:sz w:val="22"/>
                <w:szCs w:val="22"/>
                <w:color w:val="auto"/>
              </w:rPr>
            </w:pPr>
          </w:p>
        </w:tc>
        <w:tc>
          <w:tcPr>
            <w:tcW w:w="36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240" w:type="dxa"/>
            <w:vAlign w:val="bottom"/>
          </w:tcPr>
          <w:p>
            <w:pPr>
              <w:spacing w:after="0"/>
              <w:rPr>
                <w:sz w:val="22"/>
                <w:szCs w:val="22"/>
                <w:color w:val="auto"/>
              </w:rPr>
            </w:pPr>
          </w:p>
        </w:tc>
        <w:tc>
          <w:tcPr>
            <w:tcW w:w="1400" w:type="dxa"/>
            <w:vAlign w:val="bottom"/>
          </w:tcPr>
          <w:p>
            <w:pPr>
              <w:jc w:val="right"/>
              <w:ind w:right="260"/>
              <w:spacing w:after="0"/>
              <w:rPr>
                <w:sz w:val="20"/>
                <w:szCs w:val="20"/>
                <w:color w:val="auto"/>
              </w:rPr>
            </w:pPr>
            <w:r>
              <w:rPr>
                <w:rFonts w:ascii="Arial" w:cs="Arial" w:eastAsia="Arial" w:hAnsi="Arial"/>
                <w:sz w:val="20"/>
                <w:szCs w:val="20"/>
                <w:b w:val="1"/>
                <w:bCs w:val="1"/>
                <w:color w:val="auto"/>
                <w:w w:val="94"/>
              </w:rPr>
              <w:t>Sterigenics</w:t>
            </w:r>
          </w:p>
        </w:tc>
        <w:tc>
          <w:tcPr>
            <w:tcW w:w="260" w:type="dxa"/>
            <w:vAlign w:val="bottom"/>
          </w:tcPr>
          <w:p>
            <w:pPr>
              <w:spacing w:after="0"/>
              <w:rPr>
                <w:sz w:val="22"/>
                <w:szCs w:val="22"/>
                <w:color w:val="auto"/>
              </w:rPr>
            </w:pPr>
          </w:p>
        </w:tc>
        <w:tc>
          <w:tcPr>
            <w:tcW w:w="1520" w:type="dxa"/>
            <w:vAlign w:val="bottom"/>
          </w:tcPr>
          <w:p>
            <w:pPr>
              <w:jc w:val="right"/>
              <w:ind w:right="420"/>
              <w:spacing w:after="0"/>
              <w:rPr>
                <w:sz w:val="20"/>
                <w:szCs w:val="20"/>
                <w:color w:val="auto"/>
              </w:rPr>
            </w:pPr>
            <w:r>
              <w:rPr>
                <w:rFonts w:ascii="Arial" w:cs="Arial" w:eastAsia="Arial" w:hAnsi="Arial"/>
                <w:sz w:val="20"/>
                <w:szCs w:val="20"/>
                <w:b w:val="1"/>
                <w:bCs w:val="1"/>
                <w:color w:val="auto"/>
              </w:rPr>
              <w:t>Nordion</w:t>
            </w:r>
          </w:p>
        </w:tc>
        <w:tc>
          <w:tcPr>
            <w:tcW w:w="240" w:type="dxa"/>
            <w:vAlign w:val="bottom"/>
          </w:tcPr>
          <w:p>
            <w:pPr>
              <w:spacing w:after="0"/>
              <w:rPr>
                <w:sz w:val="22"/>
                <w:szCs w:val="22"/>
                <w:color w:val="auto"/>
              </w:rPr>
            </w:pPr>
          </w:p>
        </w:tc>
        <w:tc>
          <w:tcPr>
            <w:tcW w:w="1280" w:type="dxa"/>
            <w:vAlign w:val="bottom"/>
          </w:tcPr>
          <w:p>
            <w:pPr>
              <w:jc w:val="right"/>
              <w:ind w:right="100"/>
              <w:spacing w:after="0"/>
              <w:rPr>
                <w:sz w:val="20"/>
                <w:szCs w:val="20"/>
                <w:color w:val="auto"/>
              </w:rPr>
            </w:pPr>
            <w:r>
              <w:rPr>
                <w:rFonts w:ascii="Arial" w:cs="Arial" w:eastAsia="Arial" w:hAnsi="Arial"/>
                <w:sz w:val="20"/>
                <w:szCs w:val="20"/>
                <w:b w:val="1"/>
                <w:bCs w:val="1"/>
                <w:color w:val="auto"/>
                <w:w w:val="89"/>
              </w:rPr>
              <w:t>Nelson Labs</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0"/>
              <w:spacing w:after="0"/>
              <w:rPr>
                <w:sz w:val="20"/>
                <w:szCs w:val="20"/>
                <w:color w:val="auto"/>
              </w:rPr>
            </w:pPr>
            <w:r>
              <w:rPr>
                <w:rFonts w:ascii="Arial" w:cs="Arial" w:eastAsia="Arial" w:hAnsi="Arial"/>
                <w:sz w:val="20"/>
                <w:szCs w:val="20"/>
                <w:b w:val="1"/>
                <w:bCs w:val="1"/>
                <w:color w:val="auto"/>
              </w:rPr>
              <w:t>Total</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1940" w:type="dxa"/>
            <w:vAlign w:val="bottom"/>
            <w:tcBorders>
              <w:bottom w:val="single" w:sz="8" w:color="D2EE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2EEF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shd w:val="clear" w:color="auto" w:fill="D2EEF5"/>
          </w:tcPr>
          <w:p>
            <w:pPr>
              <w:spacing w:after="0"/>
              <w:rPr>
                <w:sz w:val="24"/>
                <w:szCs w:val="24"/>
                <w:color w:val="auto"/>
              </w:rPr>
            </w:pPr>
          </w:p>
        </w:tc>
        <w:tc>
          <w:tcPr>
            <w:tcW w:w="368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Net revenues</w:t>
            </w:r>
            <w:r>
              <w:rPr>
                <w:rFonts w:ascii="Arial" w:cs="Arial" w:eastAsia="Arial" w:hAnsi="Arial"/>
                <w:sz w:val="13"/>
                <w:szCs w:val="13"/>
                <w:color w:val="auto"/>
              </w:rPr>
              <w:t>(a)</w:t>
            </w:r>
          </w:p>
        </w:tc>
        <w:tc>
          <w:tcPr>
            <w:tcW w:w="2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D2EEF5"/>
          </w:tcPr>
          <w:p>
            <w:pPr>
              <w:jc w:val="right"/>
              <w:ind w:right="20"/>
              <w:spacing w:after="0"/>
              <w:rPr>
                <w:sz w:val="20"/>
                <w:szCs w:val="20"/>
                <w:color w:val="auto"/>
              </w:rPr>
            </w:pPr>
            <w:r>
              <w:rPr>
                <w:rFonts w:ascii="Arial" w:cs="Arial" w:eastAsia="Arial" w:hAnsi="Arial"/>
                <w:sz w:val="20"/>
                <w:szCs w:val="20"/>
                <w:color w:val="auto"/>
              </w:rPr>
              <w:t>667,130</w:t>
            </w:r>
          </w:p>
        </w:tc>
        <w:tc>
          <w:tcPr>
            <w:tcW w:w="2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D2EEF5"/>
          </w:tcPr>
          <w:p>
            <w:pPr>
              <w:jc w:val="right"/>
              <w:ind w:right="20"/>
              <w:spacing w:after="0"/>
              <w:rPr>
                <w:sz w:val="20"/>
                <w:szCs w:val="20"/>
                <w:color w:val="auto"/>
              </w:rPr>
            </w:pPr>
            <w:r>
              <w:rPr>
                <w:rFonts w:ascii="Arial" w:cs="Arial" w:eastAsia="Arial" w:hAnsi="Arial"/>
                <w:sz w:val="20"/>
                <w:szCs w:val="20"/>
                <w:color w:val="auto"/>
              </w:rPr>
              <w:t>160,459</w:t>
            </w:r>
          </w:p>
        </w:tc>
        <w:tc>
          <w:tcPr>
            <w:tcW w:w="2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D2EEF5"/>
          </w:tcPr>
          <w:p>
            <w:pPr>
              <w:jc w:val="right"/>
              <w:spacing w:after="0"/>
              <w:rPr>
                <w:sz w:val="20"/>
                <w:szCs w:val="20"/>
                <w:color w:val="auto"/>
              </w:rPr>
            </w:pPr>
            <w:r>
              <w:rPr>
                <w:rFonts w:ascii="Arial" w:cs="Arial" w:eastAsia="Arial" w:hAnsi="Arial"/>
                <w:sz w:val="20"/>
                <w:szCs w:val="20"/>
                <w:color w:val="auto"/>
              </w:rPr>
              <w:t>221,699</w:t>
            </w:r>
          </w:p>
        </w:tc>
        <w:tc>
          <w:tcPr>
            <w:tcW w:w="460" w:type="dxa"/>
            <w:vAlign w:val="bottom"/>
            <w:gridSpan w:val="2"/>
            <w:shd w:val="clear" w:color="auto" w:fill="D2EEF5"/>
          </w:tcPr>
          <w:p>
            <w:pPr>
              <w:jc w:val="right"/>
              <w:ind w:right="180"/>
              <w:spacing w:after="0"/>
              <w:rPr>
                <w:sz w:val="20"/>
                <w:szCs w:val="20"/>
                <w:color w:val="auto"/>
              </w:rPr>
            </w:pPr>
            <w:r>
              <w:rPr>
                <w:rFonts w:ascii="Arial" w:cs="Arial" w:eastAsia="Arial" w:hAnsi="Arial"/>
                <w:sz w:val="20"/>
                <w:szCs w:val="20"/>
                <w:color w:val="auto"/>
              </w:rPr>
              <w:t>$</w:t>
            </w:r>
          </w:p>
        </w:tc>
        <w:tc>
          <w:tcPr>
            <w:tcW w:w="114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1,049,288</w:t>
            </w:r>
          </w:p>
        </w:tc>
      </w:tr>
      <w:tr>
        <w:trPr>
          <w:trHeight w:val="308"/>
        </w:trPr>
        <w:tc>
          <w:tcPr>
            <w:tcW w:w="3720" w:type="dxa"/>
            <w:vAlign w:val="bottom"/>
            <w:gridSpan w:val="3"/>
          </w:tcPr>
          <w:p>
            <w:pPr>
              <w:ind w:left="40"/>
              <w:spacing w:after="0"/>
              <w:rPr>
                <w:sz w:val="20"/>
                <w:szCs w:val="20"/>
                <w:color w:val="auto"/>
              </w:rPr>
            </w:pPr>
            <w:r>
              <w:rPr>
                <w:rFonts w:ascii="Arial" w:cs="Arial" w:eastAsia="Arial" w:hAnsi="Arial"/>
                <w:sz w:val="20"/>
                <w:szCs w:val="20"/>
                <w:color w:val="auto"/>
              </w:rPr>
              <w:t>Segment expenses</w:t>
            </w:r>
            <w:r>
              <w:rPr>
                <w:rFonts w:ascii="Arial" w:cs="Arial" w:eastAsia="Arial" w:hAnsi="Arial"/>
                <w:sz w:val="13"/>
                <w:szCs w:val="13"/>
                <w:color w:val="auto"/>
              </w:rPr>
              <w:t>(b)</w:t>
            </w:r>
          </w:p>
        </w:tc>
        <w:tc>
          <w:tcPr>
            <w:tcW w:w="240" w:type="dxa"/>
            <w:vAlign w:val="bottom"/>
          </w:tcPr>
          <w:p>
            <w:pPr>
              <w:spacing w:after="0"/>
              <w:rPr>
                <w:sz w:val="24"/>
                <w:szCs w:val="24"/>
                <w:color w:val="auto"/>
              </w:rPr>
            </w:pPr>
          </w:p>
        </w:tc>
        <w:tc>
          <w:tcPr>
            <w:tcW w:w="1400" w:type="dxa"/>
            <w:vAlign w:val="bottom"/>
          </w:tcPr>
          <w:p>
            <w:pPr>
              <w:jc w:val="right"/>
              <w:ind w:right="20"/>
              <w:spacing w:after="0"/>
              <w:rPr>
                <w:sz w:val="20"/>
                <w:szCs w:val="20"/>
                <w:color w:val="auto"/>
              </w:rPr>
            </w:pPr>
            <w:r>
              <w:rPr>
                <w:rFonts w:ascii="Arial" w:cs="Arial" w:eastAsia="Arial" w:hAnsi="Arial"/>
                <w:sz w:val="20"/>
                <w:szCs w:val="20"/>
                <w:color w:val="auto"/>
              </w:rPr>
              <w:t>275,424</w:t>
            </w:r>
          </w:p>
        </w:tc>
        <w:tc>
          <w:tcPr>
            <w:tcW w:w="260" w:type="dxa"/>
            <w:vAlign w:val="bottom"/>
          </w:tcPr>
          <w:p>
            <w:pPr>
              <w:spacing w:after="0"/>
              <w:rPr>
                <w:sz w:val="24"/>
                <w:szCs w:val="24"/>
                <w:color w:val="auto"/>
              </w:rPr>
            </w:pPr>
          </w:p>
        </w:tc>
        <w:tc>
          <w:tcPr>
            <w:tcW w:w="1520" w:type="dxa"/>
            <w:vAlign w:val="bottom"/>
          </w:tcPr>
          <w:p>
            <w:pPr>
              <w:jc w:val="right"/>
              <w:ind w:right="20"/>
              <w:spacing w:after="0"/>
              <w:rPr>
                <w:sz w:val="20"/>
                <w:szCs w:val="20"/>
                <w:color w:val="auto"/>
              </w:rPr>
            </w:pPr>
            <w:r>
              <w:rPr>
                <w:rFonts w:ascii="Arial" w:cs="Arial" w:eastAsia="Arial" w:hAnsi="Arial"/>
                <w:sz w:val="20"/>
                <w:szCs w:val="20"/>
                <w:color w:val="auto"/>
              </w:rPr>
              <w:t>59,399</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148,209</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483,032</w:t>
            </w:r>
          </w:p>
        </w:tc>
      </w:tr>
      <w:tr>
        <w:trPr>
          <w:trHeight w:val="312"/>
        </w:trPr>
        <w:tc>
          <w:tcPr>
            <w:tcW w:w="40" w:type="dxa"/>
            <w:vAlign w:val="bottom"/>
            <w:tcBorders>
              <w:bottom w:val="single" w:sz="8" w:color="D2EEF5"/>
            </w:tcBorders>
            <w:shd w:val="clear" w:color="auto" w:fill="D2EEF5"/>
          </w:tcPr>
          <w:p>
            <w:pPr>
              <w:spacing w:after="0"/>
              <w:rPr>
                <w:sz w:val="24"/>
                <w:szCs w:val="24"/>
                <w:color w:val="auto"/>
              </w:rPr>
            </w:pPr>
          </w:p>
        </w:tc>
        <w:tc>
          <w:tcPr>
            <w:tcW w:w="368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20"/>
                <w:szCs w:val="20"/>
                <w:color w:val="auto"/>
              </w:rPr>
              <w:t>Corporate expense allocation</w:t>
            </w:r>
            <w:r>
              <w:rPr>
                <w:rFonts w:ascii="Arial" w:cs="Arial" w:eastAsia="Arial" w:hAnsi="Arial"/>
                <w:sz w:val="13"/>
                <w:szCs w:val="13"/>
                <w:color w:val="auto"/>
              </w:rPr>
              <w:t>(c)</w:t>
            </w:r>
          </w:p>
        </w:tc>
        <w:tc>
          <w:tcPr>
            <w:tcW w:w="240" w:type="dxa"/>
            <w:vAlign w:val="bottom"/>
            <w:tcBorders>
              <w:bottom w:val="single" w:sz="8" w:color="auto"/>
            </w:tcBorders>
            <w:shd w:val="clear" w:color="auto" w:fill="D2EEF5"/>
          </w:tcPr>
          <w:p>
            <w:pPr>
              <w:spacing w:after="0"/>
              <w:rPr>
                <w:sz w:val="24"/>
                <w:szCs w:val="24"/>
                <w:color w:val="auto"/>
              </w:rPr>
            </w:pPr>
          </w:p>
        </w:tc>
        <w:tc>
          <w:tcPr>
            <w:tcW w:w="140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20"/>
                <w:szCs w:val="20"/>
                <w:color w:val="auto"/>
              </w:rPr>
              <w:t>29,494</w:t>
            </w:r>
          </w:p>
        </w:tc>
        <w:tc>
          <w:tcPr>
            <w:tcW w:w="260" w:type="dxa"/>
            <w:vAlign w:val="bottom"/>
            <w:tcBorders>
              <w:bottom w:val="single" w:sz="8" w:color="auto"/>
            </w:tcBorders>
            <w:shd w:val="clear" w:color="auto" w:fill="D2EEF5"/>
          </w:tcPr>
          <w:p>
            <w:pPr>
              <w:spacing w:after="0"/>
              <w:rPr>
                <w:sz w:val="24"/>
                <w:szCs w:val="24"/>
                <w:color w:val="auto"/>
              </w:rPr>
            </w:pPr>
          </w:p>
        </w:tc>
        <w:tc>
          <w:tcPr>
            <w:tcW w:w="1520" w:type="dxa"/>
            <w:vAlign w:val="bottom"/>
            <w:tcBorders>
              <w:bottom w:val="single" w:sz="8" w:color="auto"/>
            </w:tcBorders>
            <w:shd w:val="clear" w:color="auto" w:fill="D2EEF5"/>
          </w:tcPr>
          <w:p>
            <w:pPr>
              <w:jc w:val="right"/>
              <w:ind w:right="20"/>
              <w:spacing w:after="0"/>
              <w:rPr>
                <w:sz w:val="20"/>
                <w:szCs w:val="20"/>
                <w:color w:val="auto"/>
              </w:rPr>
            </w:pPr>
            <w:r>
              <w:rPr>
                <w:rFonts w:ascii="Arial" w:cs="Arial" w:eastAsia="Arial" w:hAnsi="Arial"/>
                <w:sz w:val="20"/>
                <w:szCs w:val="20"/>
                <w:color w:val="auto"/>
              </w:rPr>
              <w:t>4,382</w:t>
            </w:r>
          </w:p>
        </w:tc>
        <w:tc>
          <w:tcPr>
            <w:tcW w:w="240" w:type="dxa"/>
            <w:vAlign w:val="bottom"/>
            <w:tcBorders>
              <w:bottom w:val="single" w:sz="8" w:color="auto"/>
            </w:tcBorders>
            <w:shd w:val="clear" w:color="auto" w:fill="D2EEF5"/>
          </w:tcPr>
          <w:p>
            <w:pPr>
              <w:spacing w:after="0"/>
              <w:rPr>
                <w:sz w:val="24"/>
                <w:szCs w:val="24"/>
                <w:color w:val="auto"/>
              </w:rPr>
            </w:pPr>
          </w:p>
        </w:tc>
        <w:tc>
          <w:tcPr>
            <w:tcW w:w="12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4,351</w:t>
            </w:r>
          </w:p>
        </w:tc>
        <w:tc>
          <w:tcPr>
            <w:tcW w:w="140" w:type="dxa"/>
            <w:vAlign w:val="bottom"/>
            <w:tcBorders>
              <w:bottom w:val="single" w:sz="8" w:color="auto"/>
            </w:tcBorders>
            <w:shd w:val="clear" w:color="auto" w:fill="D2EEF5"/>
          </w:tcPr>
          <w:p>
            <w:pPr>
              <w:spacing w:after="0"/>
              <w:rPr>
                <w:sz w:val="24"/>
                <w:szCs w:val="24"/>
                <w:color w:val="auto"/>
              </w:rPr>
            </w:pPr>
          </w:p>
        </w:tc>
        <w:tc>
          <w:tcPr>
            <w:tcW w:w="320" w:type="dxa"/>
            <w:vAlign w:val="bottom"/>
            <w:tcBorders>
              <w:bottom w:val="single" w:sz="8" w:color="auto"/>
            </w:tcBorders>
            <w:shd w:val="clear" w:color="auto" w:fill="D2EEF5"/>
          </w:tcPr>
          <w:p>
            <w:pPr>
              <w:spacing w:after="0"/>
              <w:rPr>
                <w:sz w:val="24"/>
                <w:szCs w:val="24"/>
                <w:color w:val="auto"/>
              </w:rPr>
            </w:pPr>
          </w:p>
        </w:tc>
        <w:tc>
          <w:tcPr>
            <w:tcW w:w="11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38,227</w:t>
            </w:r>
          </w:p>
        </w:tc>
      </w:tr>
      <w:tr>
        <w:trPr>
          <w:trHeight w:val="275"/>
        </w:trPr>
        <w:tc>
          <w:tcPr>
            <w:tcW w:w="4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Arial" w:cs="Arial" w:eastAsia="Arial" w:hAnsi="Arial"/>
                <w:sz w:val="20"/>
                <w:szCs w:val="20"/>
                <w:color w:val="auto"/>
              </w:rPr>
              <w:t>Segment income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b w:val="1"/>
                <w:bCs w:val="1"/>
                <w:color w:val="auto"/>
              </w:rPr>
              <w:t>362,212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b w:val="1"/>
                <w:bCs w:val="1"/>
                <w:color w:val="auto"/>
              </w:rPr>
              <w:t>96,678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69,139</w:t>
            </w:r>
          </w:p>
        </w:tc>
        <w:tc>
          <w:tcPr>
            <w:tcW w:w="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528,029</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-2936875</wp:posOffset>
            </wp:positionV>
            <wp:extent cx="416877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0">
                      <a:extLst>
                        <a:ext uri="{28A0092B-C50C-407E-A947-70E740481C1C}"/>
                      </a:extLst>
                    </a:blip>
                    <a:srcRect/>
                    <a:stretch>
                      <a:fillRect/>
                    </a:stretch>
                  </pic:blipFill>
                  <pic:spPr bwMode="auto">
                    <a:xfrm>
                      <a:off x="0" y="0"/>
                      <a:ext cx="4168775" cy="5080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-1490345</wp:posOffset>
            </wp:positionV>
            <wp:extent cx="416877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1">
                      <a:extLst>
                        <a:ext uri="{28A0092B-C50C-407E-A947-70E740481C1C}"/>
                      </a:extLst>
                    </a:blip>
                    <a:srcRect/>
                    <a:stretch>
                      <a:fillRect/>
                    </a:stretch>
                  </pic:blipFill>
                  <pic:spPr bwMode="auto">
                    <a:xfrm>
                      <a:off x="0" y="0"/>
                      <a:ext cx="4168775" cy="5080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-43815</wp:posOffset>
            </wp:positionV>
            <wp:extent cx="416877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2">
                      <a:extLst>
                        <a:ext uri="{28A0092B-C50C-407E-A947-70E740481C1C}"/>
                      </a:extLst>
                    </a:blip>
                    <a:srcRect/>
                    <a:stretch>
                      <a:fillRect/>
                    </a:stretch>
                  </pic:blipFill>
                  <pic:spPr bwMode="auto">
                    <a:xfrm>
                      <a:off x="0" y="0"/>
                      <a:ext cx="4168775" cy="50800"/>
                    </a:xfrm>
                    <a:prstGeom prst="rect">
                      <a:avLst/>
                    </a:prstGeom>
                    <a:noFill/>
                  </pic:spPr>
                </pic:pic>
              </a:graphicData>
            </a:graphic>
          </wp:anchor>
        </w:drawing>
      </w:r>
    </w:p>
    <w:p>
      <w:pPr>
        <w:spacing w:after="0" w:line="114" w:lineRule="exact"/>
        <w:rPr>
          <w:sz w:val="20"/>
          <w:szCs w:val="20"/>
          <w:color w:val="auto"/>
        </w:rPr>
      </w:pPr>
    </w:p>
    <w:p>
      <w:pPr>
        <w:ind w:left="550" w:right="220" w:hanging="550"/>
        <w:spacing w:after="0" w:line="250" w:lineRule="auto"/>
        <w:tabs>
          <w:tab w:leader="none" w:pos="5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Revenues are reported net of intersegment sales. Our Nordion segment recognized $25.9 million, $58.7 million and $43.9 million in revenues from sales to our Sterigenics segment for the years ended December 31, 2025, 2024 and 2023, respectively, that is not reflected in net revenues in the table above. Intersegment sales for Sterigenics and Nelson Labs are immaterial for all periods presented.</w:t>
      </w:r>
    </w:p>
    <w:p>
      <w:pPr>
        <w:spacing w:after="0" w:line="1" w:lineRule="exact"/>
        <w:rPr>
          <w:rFonts w:ascii="Arial" w:cs="Arial" w:eastAsia="Arial" w:hAnsi="Arial"/>
          <w:sz w:val="18"/>
          <w:szCs w:val="18"/>
          <w:color w:val="auto"/>
        </w:rPr>
      </w:pPr>
    </w:p>
    <w:p>
      <w:pPr>
        <w:ind w:left="550" w:right="120" w:hanging="550"/>
        <w:spacing w:after="0" w:line="250" w:lineRule="auto"/>
        <w:tabs>
          <w:tab w:leader="none" w:pos="5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Segment expenses are comprised of direct materials, labor, utilities, other costs of revenues, SG&amp;A, and other non-operating expense (income) attributable to each segment.</w:t>
      </w:r>
    </w:p>
    <w:p>
      <w:pPr>
        <w:ind w:left="550" w:right="20" w:hanging="550"/>
        <w:spacing w:after="0" w:line="261" w:lineRule="auto"/>
        <w:tabs>
          <w:tab w:leader="none" w:pos="5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Corporate operating expenses that are directly incurred by a segment are reflected in each segment’s income. The remaining Corporate operating expenses for executive management, accounting, IT, legal, human resources, treasury, investor relations, corporate development, tax, purchasing, and marketing not directly incurred by a segment are allocated to the segments primarily based on total net revenue.</w:t>
      </w:r>
    </w:p>
    <w:p>
      <w:pPr>
        <w:spacing w:after="0" w:line="157" w:lineRule="exact"/>
        <w:rPr>
          <w:sz w:val="20"/>
          <w:szCs w:val="20"/>
          <w:color w:val="auto"/>
        </w:rPr>
      </w:pPr>
    </w:p>
    <w:p>
      <w:pPr>
        <w:ind w:left="10"/>
        <w:spacing w:after="0"/>
        <w:rPr>
          <w:sz w:val="20"/>
          <w:szCs w:val="20"/>
          <w:color w:val="auto"/>
        </w:rPr>
      </w:pPr>
      <w:r>
        <w:rPr>
          <w:rFonts w:ascii="Arial" w:cs="Arial" w:eastAsia="Arial" w:hAnsi="Arial"/>
          <w:sz w:val="20"/>
          <w:szCs w:val="20"/>
          <w:color w:val="auto"/>
        </w:rPr>
        <w:t>Capital expenditures by segment for the years ended December 31, 2025, 2024 and 2023 were as follows:</w:t>
      </w: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20"/>
                <w:szCs w:val="20"/>
                <w:b w:val="1"/>
                <w:bCs w:val="1"/>
                <w:color w:val="auto"/>
              </w:rPr>
              <w:t>Year Ended December 31,</w:t>
            </w:r>
          </w:p>
        </w:tc>
        <w:tc>
          <w:tcPr>
            <w:tcW w:w="1300" w:type="dxa"/>
            <w:vAlign w:val="bottom"/>
            <w:tcBorders>
              <w:bottom w:val="single" w:sz="8" w:color="auto"/>
            </w:tcBorders>
          </w:tcPr>
          <w:p>
            <w:pPr>
              <w:spacing w:after="0"/>
              <w:rPr>
                <w:sz w:val="23"/>
                <w:szCs w:val="23"/>
                <w:color w:val="auto"/>
              </w:rPr>
            </w:pPr>
          </w:p>
        </w:tc>
      </w:tr>
      <w:tr>
        <w:trPr>
          <w:trHeight w:val="224"/>
        </w:trPr>
        <w:tc>
          <w:tcPr>
            <w:tcW w:w="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400" w:type="dxa"/>
            <w:vAlign w:val="bottom"/>
          </w:tcPr>
          <w:p>
            <w:pPr>
              <w:spacing w:after="0"/>
              <w:rPr>
                <w:sz w:val="19"/>
                <w:szCs w:val="19"/>
                <w:color w:val="auto"/>
              </w:rPr>
            </w:pPr>
          </w:p>
        </w:tc>
        <w:tc>
          <w:tcPr>
            <w:tcW w:w="1300" w:type="dxa"/>
            <w:vAlign w:val="bottom"/>
          </w:tcPr>
          <w:p>
            <w:pPr>
              <w:jc w:val="right"/>
              <w:ind w:right="560"/>
              <w:spacing w:after="0" w:line="224" w:lineRule="exact"/>
              <w:rPr>
                <w:sz w:val="20"/>
                <w:szCs w:val="20"/>
                <w:color w:val="auto"/>
              </w:rPr>
            </w:pPr>
            <w:r>
              <w:rPr>
                <w:rFonts w:ascii="Arial" w:cs="Arial" w:eastAsia="Arial" w:hAnsi="Arial"/>
                <w:sz w:val="20"/>
                <w:szCs w:val="20"/>
                <w:b w:val="1"/>
                <w:bCs w:val="1"/>
                <w:color w:val="auto"/>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60"/>
              <w:spacing w:after="0" w:line="224" w:lineRule="exact"/>
              <w:rPr>
                <w:sz w:val="20"/>
                <w:szCs w:val="20"/>
                <w:color w:val="auto"/>
              </w:rPr>
            </w:pPr>
            <w:r>
              <w:rPr>
                <w:rFonts w:ascii="Arial" w:cs="Arial" w:eastAsia="Arial" w:hAnsi="Arial"/>
                <w:sz w:val="20"/>
                <w:szCs w:val="20"/>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60"/>
              <w:spacing w:after="0" w:line="224" w:lineRule="exact"/>
              <w:rPr>
                <w:sz w:val="20"/>
                <w:szCs w:val="20"/>
                <w:color w:val="auto"/>
              </w:rPr>
            </w:pPr>
            <w:r>
              <w:rPr>
                <w:rFonts w:ascii="Arial" w:cs="Arial" w:eastAsia="Arial" w:hAnsi="Arial"/>
                <w:sz w:val="20"/>
                <w:szCs w:val="20"/>
                <w:b w:val="1"/>
                <w:bCs w:val="1"/>
                <w:color w:val="auto"/>
              </w:rPr>
              <w:t>2023</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3180" w:type="dxa"/>
            <w:vAlign w:val="bottom"/>
            <w:tcBorders>
              <w:bottom w:val="single" w:sz="8" w:color="D2EEF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EF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EEF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4920" w:type="dxa"/>
            <w:vAlign w:val="bottom"/>
            <w:gridSpan w:val="2"/>
            <w:shd w:val="clear" w:color="auto" w:fill="D2EEF5"/>
          </w:tcPr>
          <w:p>
            <w:pPr>
              <w:ind w:left="120"/>
              <w:spacing w:after="0"/>
              <w:rPr>
                <w:sz w:val="20"/>
                <w:szCs w:val="20"/>
                <w:color w:val="auto"/>
              </w:rPr>
            </w:pPr>
            <w:r>
              <w:rPr>
                <w:rFonts w:ascii="Arial" w:cs="Arial" w:eastAsia="Arial" w:hAnsi="Arial"/>
                <w:sz w:val="20"/>
                <w:szCs w:val="20"/>
                <w:color w:val="auto"/>
              </w:rPr>
              <w:t>Sterigenics</w:t>
            </w:r>
          </w:p>
        </w:tc>
        <w:tc>
          <w:tcPr>
            <w:tcW w:w="400" w:type="dxa"/>
            <w:vAlign w:val="bottom"/>
            <w:shd w:val="clear" w:color="auto" w:fill="D2EEF5"/>
          </w:tcPr>
          <w:p>
            <w:pPr>
              <w:jc w:val="right"/>
              <w:ind w:right="160"/>
              <w:spacing w:after="0"/>
              <w:rPr>
                <w:sz w:val="20"/>
                <w:szCs w:val="20"/>
                <w:color w:val="auto"/>
              </w:rPr>
            </w:pPr>
            <w:r>
              <w:rPr>
                <w:rFonts w:ascii="Arial" w:cs="Arial" w:eastAsia="Arial" w:hAnsi="Arial"/>
                <w:sz w:val="20"/>
                <w:szCs w:val="20"/>
                <w:b w:val="1"/>
                <w:bCs w:val="1"/>
                <w:color w:val="auto"/>
              </w:rPr>
              <w:t>$</w:t>
            </w:r>
          </w:p>
        </w:tc>
        <w:tc>
          <w:tcPr>
            <w:tcW w:w="130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99,383</w:t>
            </w:r>
          </w:p>
        </w:tc>
        <w:tc>
          <w:tcPr>
            <w:tcW w:w="500" w:type="dxa"/>
            <w:vAlign w:val="bottom"/>
            <w:gridSpan w:val="2"/>
            <w:shd w:val="clear" w:color="auto" w:fill="D2EEF5"/>
          </w:tcPr>
          <w:p>
            <w:pPr>
              <w:jc w:val="right"/>
              <w:ind w:right="260"/>
              <w:spacing w:after="0"/>
              <w:rPr>
                <w:sz w:val="20"/>
                <w:szCs w:val="20"/>
                <w:color w:val="auto"/>
              </w:rPr>
            </w:pPr>
            <w:r>
              <w:rPr>
                <w:rFonts w:ascii="Arial" w:cs="Arial" w:eastAsia="Arial" w:hAnsi="Arial"/>
                <w:sz w:val="20"/>
                <w:szCs w:val="20"/>
                <w:color w:val="auto"/>
              </w:rPr>
              <w:t>$</w:t>
            </w:r>
          </w:p>
        </w:tc>
        <w:tc>
          <w:tcPr>
            <w:tcW w:w="13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131,258</w:t>
            </w:r>
          </w:p>
        </w:tc>
        <w:tc>
          <w:tcPr>
            <w:tcW w:w="500" w:type="dxa"/>
            <w:vAlign w:val="bottom"/>
            <w:gridSpan w:val="2"/>
            <w:shd w:val="clear" w:color="auto" w:fill="D2EEF5"/>
          </w:tcPr>
          <w:p>
            <w:pPr>
              <w:jc w:val="right"/>
              <w:ind w:right="260"/>
              <w:spacing w:after="0"/>
              <w:rPr>
                <w:sz w:val="20"/>
                <w:szCs w:val="20"/>
                <w:color w:val="auto"/>
              </w:rPr>
            </w:pPr>
            <w:r>
              <w:rPr>
                <w:rFonts w:ascii="Arial" w:cs="Arial" w:eastAsia="Arial" w:hAnsi="Arial"/>
                <w:sz w:val="20"/>
                <w:szCs w:val="20"/>
                <w:color w:val="auto"/>
              </w:rPr>
              <w:t>$</w:t>
            </w:r>
          </w:p>
        </w:tc>
        <w:tc>
          <w:tcPr>
            <w:tcW w:w="130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163,043</w:t>
            </w:r>
          </w:p>
        </w:tc>
      </w:tr>
      <w:tr>
        <w:trPr>
          <w:trHeight w:val="279"/>
        </w:trPr>
        <w:tc>
          <w:tcPr>
            <w:tcW w:w="40" w:type="dxa"/>
            <w:vAlign w:val="bottom"/>
          </w:tcPr>
          <w:p>
            <w:pPr>
              <w:spacing w:after="0"/>
              <w:rPr>
                <w:sz w:val="24"/>
                <w:szCs w:val="24"/>
                <w:color w:val="auto"/>
              </w:rPr>
            </w:pPr>
          </w:p>
        </w:tc>
        <w:tc>
          <w:tcPr>
            <w:tcW w:w="4920" w:type="dxa"/>
            <w:vAlign w:val="bottom"/>
            <w:gridSpan w:val="2"/>
          </w:tcPr>
          <w:p>
            <w:pPr>
              <w:ind w:left="120"/>
              <w:spacing w:after="0"/>
              <w:rPr>
                <w:sz w:val="20"/>
                <w:szCs w:val="20"/>
                <w:color w:val="auto"/>
              </w:rPr>
            </w:pPr>
            <w:r>
              <w:rPr>
                <w:rFonts w:ascii="Arial" w:cs="Arial" w:eastAsia="Arial" w:hAnsi="Arial"/>
                <w:sz w:val="20"/>
                <w:szCs w:val="20"/>
                <w:color w:val="auto"/>
              </w:rPr>
              <w:t>Nordion</w:t>
            </w: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21,832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34,928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38,351</w:t>
            </w:r>
          </w:p>
        </w:tc>
      </w:tr>
      <w:tr>
        <w:trPr>
          <w:trHeight w:val="300"/>
        </w:trPr>
        <w:tc>
          <w:tcPr>
            <w:tcW w:w="40" w:type="dxa"/>
            <w:vAlign w:val="bottom"/>
            <w:tcBorders>
              <w:bottom w:val="single" w:sz="8" w:color="D2EEF5"/>
            </w:tcBorders>
            <w:shd w:val="clear" w:color="auto" w:fill="D2EEF5"/>
          </w:tcPr>
          <w:p>
            <w:pPr>
              <w:spacing w:after="0"/>
              <w:rPr>
                <w:sz w:val="24"/>
                <w:szCs w:val="24"/>
                <w:color w:val="auto"/>
              </w:rPr>
            </w:pPr>
          </w:p>
        </w:tc>
        <w:tc>
          <w:tcPr>
            <w:tcW w:w="4920" w:type="dxa"/>
            <w:vAlign w:val="bottom"/>
            <w:tcBorders>
              <w:bottom w:val="single" w:sz="8" w:color="D2EEF5"/>
            </w:tcBorders>
            <w:gridSpan w:val="2"/>
            <w:shd w:val="clear" w:color="auto" w:fill="D2EEF5"/>
          </w:tcPr>
          <w:p>
            <w:pPr>
              <w:ind w:left="120"/>
              <w:spacing w:after="0"/>
              <w:rPr>
                <w:sz w:val="20"/>
                <w:szCs w:val="20"/>
                <w:color w:val="auto"/>
              </w:rPr>
            </w:pPr>
            <w:r>
              <w:rPr>
                <w:rFonts w:ascii="Arial" w:cs="Arial" w:eastAsia="Arial" w:hAnsi="Arial"/>
                <w:sz w:val="20"/>
                <w:szCs w:val="20"/>
                <w:color w:val="auto"/>
              </w:rPr>
              <w:t>Nelson Labs</w:t>
            </w:r>
          </w:p>
        </w:tc>
        <w:tc>
          <w:tcPr>
            <w:tcW w:w="400" w:type="dxa"/>
            <w:vAlign w:val="bottom"/>
            <w:tcBorders>
              <w:bottom w:val="single" w:sz="8" w:color="auto"/>
            </w:tcBorders>
            <w:shd w:val="clear" w:color="auto" w:fill="D2EEF5"/>
          </w:tcPr>
          <w:p>
            <w:pPr>
              <w:spacing w:after="0"/>
              <w:rPr>
                <w:sz w:val="24"/>
                <w:szCs w:val="24"/>
                <w:color w:val="auto"/>
              </w:rPr>
            </w:pPr>
          </w:p>
        </w:tc>
        <w:tc>
          <w:tcPr>
            <w:tcW w:w="13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b w:val="1"/>
                <w:bCs w:val="1"/>
                <w:color w:val="auto"/>
              </w:rPr>
              <w:t>16,803</w:t>
            </w:r>
          </w:p>
        </w:tc>
        <w:tc>
          <w:tcPr>
            <w:tcW w:w="100" w:type="dxa"/>
            <w:vAlign w:val="bottom"/>
            <w:tcBorders>
              <w:bottom w:val="single" w:sz="8" w:color="D2EEF5"/>
            </w:tcBorders>
            <w:shd w:val="clear" w:color="auto" w:fill="D2EEF5"/>
          </w:tcPr>
          <w:p>
            <w:pPr>
              <w:spacing w:after="0"/>
              <w:rPr>
                <w:sz w:val="24"/>
                <w:szCs w:val="24"/>
                <w:color w:val="auto"/>
              </w:rPr>
            </w:pPr>
          </w:p>
        </w:tc>
        <w:tc>
          <w:tcPr>
            <w:tcW w:w="400" w:type="dxa"/>
            <w:vAlign w:val="bottom"/>
            <w:tcBorders>
              <w:bottom w:val="single" w:sz="8" w:color="auto"/>
            </w:tcBorders>
            <w:shd w:val="clear" w:color="auto" w:fill="D2EEF5"/>
          </w:tcPr>
          <w:p>
            <w:pPr>
              <w:spacing w:after="0"/>
              <w:rPr>
                <w:sz w:val="24"/>
                <w:szCs w:val="24"/>
                <w:color w:val="auto"/>
              </w:rPr>
            </w:pPr>
          </w:p>
        </w:tc>
        <w:tc>
          <w:tcPr>
            <w:tcW w:w="13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12,884</w:t>
            </w:r>
          </w:p>
        </w:tc>
        <w:tc>
          <w:tcPr>
            <w:tcW w:w="100" w:type="dxa"/>
            <w:vAlign w:val="bottom"/>
            <w:tcBorders>
              <w:bottom w:val="single" w:sz="8" w:color="D2EEF5"/>
            </w:tcBorders>
            <w:shd w:val="clear" w:color="auto" w:fill="D2EEF5"/>
          </w:tcPr>
          <w:p>
            <w:pPr>
              <w:spacing w:after="0"/>
              <w:rPr>
                <w:sz w:val="24"/>
                <w:szCs w:val="24"/>
                <w:color w:val="auto"/>
              </w:rPr>
            </w:pPr>
          </w:p>
        </w:tc>
        <w:tc>
          <w:tcPr>
            <w:tcW w:w="400" w:type="dxa"/>
            <w:vAlign w:val="bottom"/>
            <w:tcBorders>
              <w:bottom w:val="single" w:sz="8" w:color="auto"/>
            </w:tcBorders>
            <w:shd w:val="clear" w:color="auto" w:fill="D2EEF5"/>
          </w:tcPr>
          <w:p>
            <w:pPr>
              <w:spacing w:after="0"/>
              <w:rPr>
                <w:sz w:val="24"/>
                <w:szCs w:val="24"/>
                <w:color w:val="auto"/>
              </w:rPr>
            </w:pPr>
          </w:p>
        </w:tc>
        <w:tc>
          <w:tcPr>
            <w:tcW w:w="13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20"/>
                <w:szCs w:val="20"/>
                <w:color w:val="auto"/>
              </w:rPr>
              <w:t>13,581</w:t>
            </w:r>
          </w:p>
        </w:tc>
      </w:tr>
      <w:tr>
        <w:trPr>
          <w:trHeight w:val="226"/>
        </w:trPr>
        <w:tc>
          <w:tcPr>
            <w:tcW w:w="40" w:type="dxa"/>
            <w:vAlign w:val="bottom"/>
          </w:tcPr>
          <w:p>
            <w:pPr>
              <w:spacing w:after="0"/>
              <w:rPr>
                <w:sz w:val="19"/>
                <w:szCs w:val="19"/>
                <w:color w:val="auto"/>
              </w:rPr>
            </w:pPr>
          </w:p>
        </w:tc>
        <w:tc>
          <w:tcPr>
            <w:tcW w:w="4920" w:type="dxa"/>
            <w:vAlign w:val="bottom"/>
            <w:gridSpan w:val="2"/>
          </w:tcPr>
          <w:p>
            <w:pPr>
              <w:spacing w:after="0" w:line="227" w:lineRule="exact"/>
              <w:rPr>
                <w:sz w:val="20"/>
                <w:szCs w:val="20"/>
                <w:color w:val="auto"/>
              </w:rPr>
            </w:pPr>
            <w:r>
              <w:rPr>
                <w:rFonts w:ascii="Arial" w:cs="Arial" w:eastAsia="Arial" w:hAnsi="Arial"/>
                <w:sz w:val="20"/>
                <w:szCs w:val="20"/>
                <w:b w:val="1"/>
                <w:bCs w:val="1"/>
                <w:color w:val="auto"/>
              </w:rPr>
              <w:t>Total capital expenditures</w:t>
            </w:r>
          </w:p>
        </w:tc>
        <w:tc>
          <w:tcPr>
            <w:tcW w:w="400" w:type="dxa"/>
            <w:vAlign w:val="bottom"/>
          </w:tcPr>
          <w:p>
            <w:pPr>
              <w:jc w:val="right"/>
              <w:ind w:right="160"/>
              <w:spacing w:after="0" w:line="227" w:lineRule="exact"/>
              <w:rPr>
                <w:sz w:val="20"/>
                <w:szCs w:val="20"/>
                <w:color w:val="auto"/>
              </w:rPr>
            </w:pPr>
            <w:r>
              <w:rPr>
                <w:rFonts w:ascii="Arial" w:cs="Arial" w:eastAsia="Arial" w:hAnsi="Arial"/>
                <w:sz w:val="20"/>
                <w:szCs w:val="20"/>
                <w:b w:val="1"/>
                <w:bCs w:val="1"/>
                <w:color w:val="auto"/>
              </w:rPr>
              <w:t>$</w:t>
            </w:r>
          </w:p>
        </w:tc>
        <w:tc>
          <w:tcPr>
            <w:tcW w:w="130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138,018</w:t>
            </w:r>
          </w:p>
        </w:tc>
        <w:tc>
          <w:tcPr>
            <w:tcW w:w="500" w:type="dxa"/>
            <w:vAlign w:val="bottom"/>
            <w:gridSpan w:val="2"/>
          </w:tcPr>
          <w:p>
            <w:pPr>
              <w:jc w:val="right"/>
              <w:ind w:right="260"/>
              <w:spacing w:after="0" w:line="227" w:lineRule="exact"/>
              <w:rPr>
                <w:sz w:val="20"/>
                <w:szCs w:val="20"/>
                <w:color w:val="auto"/>
              </w:rPr>
            </w:pPr>
            <w:r>
              <w:rPr>
                <w:rFonts w:ascii="Arial" w:cs="Arial" w:eastAsia="Arial" w:hAnsi="Arial"/>
                <w:sz w:val="20"/>
                <w:szCs w:val="20"/>
                <w:color w:val="auto"/>
              </w:rPr>
              <w:t>$</w:t>
            </w:r>
          </w:p>
        </w:tc>
        <w:tc>
          <w:tcPr>
            <w:tcW w:w="1300" w:type="dxa"/>
            <w:vAlign w:val="bottom"/>
          </w:tcPr>
          <w:p>
            <w:pPr>
              <w:jc w:val="right"/>
              <w:spacing w:after="0" w:line="227" w:lineRule="exact"/>
              <w:rPr>
                <w:sz w:val="20"/>
                <w:szCs w:val="20"/>
                <w:color w:val="auto"/>
              </w:rPr>
            </w:pPr>
            <w:r>
              <w:rPr>
                <w:rFonts w:ascii="Arial" w:cs="Arial" w:eastAsia="Arial" w:hAnsi="Arial"/>
                <w:sz w:val="20"/>
                <w:szCs w:val="20"/>
                <w:color w:val="auto"/>
              </w:rPr>
              <w:t>179,070</w:t>
            </w:r>
          </w:p>
        </w:tc>
        <w:tc>
          <w:tcPr>
            <w:tcW w:w="500" w:type="dxa"/>
            <w:vAlign w:val="bottom"/>
            <w:gridSpan w:val="2"/>
          </w:tcPr>
          <w:p>
            <w:pPr>
              <w:jc w:val="right"/>
              <w:ind w:right="260"/>
              <w:spacing w:after="0" w:line="227" w:lineRule="exact"/>
              <w:rPr>
                <w:sz w:val="20"/>
                <w:szCs w:val="20"/>
                <w:color w:val="auto"/>
              </w:rPr>
            </w:pPr>
            <w:r>
              <w:rPr>
                <w:rFonts w:ascii="Arial" w:cs="Arial" w:eastAsia="Arial" w:hAnsi="Arial"/>
                <w:sz w:val="20"/>
                <w:szCs w:val="20"/>
                <w:color w:val="auto"/>
              </w:rPr>
              <w:t>$</w:t>
            </w:r>
          </w:p>
        </w:tc>
        <w:tc>
          <w:tcPr>
            <w:tcW w:w="1300" w:type="dxa"/>
            <w:vAlign w:val="bottom"/>
          </w:tcPr>
          <w:p>
            <w:pPr>
              <w:jc w:val="right"/>
              <w:spacing w:after="0" w:line="227" w:lineRule="exact"/>
              <w:rPr>
                <w:sz w:val="20"/>
                <w:szCs w:val="20"/>
                <w:color w:val="auto"/>
              </w:rPr>
            </w:pPr>
            <w:r>
              <w:rPr>
                <w:rFonts w:ascii="Arial" w:cs="Arial" w:eastAsia="Arial" w:hAnsi="Arial"/>
                <w:sz w:val="20"/>
                <w:szCs w:val="20"/>
                <w:color w:val="auto"/>
              </w:rPr>
              <w:t>214,975</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-43815</wp:posOffset>
            </wp:positionV>
            <wp:extent cx="338772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3">
                      <a:extLst>
                        <a:ext uri="{28A0092B-C50C-407E-A947-70E740481C1C}"/>
                      </a:extLst>
                    </a:blip>
                    <a:srcRect/>
                    <a:stretch>
                      <a:fillRect/>
                    </a:stretch>
                  </pic:blipFill>
                  <pic:spPr bwMode="auto">
                    <a:xfrm>
                      <a:off x="0" y="0"/>
                      <a:ext cx="3387725" cy="50800"/>
                    </a:xfrm>
                    <a:prstGeom prst="rect">
                      <a:avLst/>
                    </a:prstGeom>
                    <a:noFill/>
                  </pic:spPr>
                </pic:pic>
              </a:graphicData>
            </a:graphic>
          </wp:anchor>
        </w:drawing>
      </w:r>
    </w:p>
    <w:p>
      <w:pPr>
        <w:spacing w:after="0" w:line="187" w:lineRule="exact"/>
        <w:rPr>
          <w:sz w:val="20"/>
          <w:szCs w:val="20"/>
          <w:color w:val="auto"/>
        </w:rPr>
      </w:pPr>
    </w:p>
    <w:p>
      <w:pPr>
        <w:ind w:left="10" w:right="200"/>
        <w:spacing w:after="0" w:line="283" w:lineRule="auto"/>
        <w:rPr>
          <w:sz w:val="20"/>
          <w:szCs w:val="20"/>
          <w:color w:val="auto"/>
        </w:rPr>
      </w:pPr>
      <w:r>
        <w:rPr>
          <w:rFonts w:ascii="Arial" w:cs="Arial" w:eastAsia="Arial" w:hAnsi="Arial"/>
          <w:sz w:val="20"/>
          <w:szCs w:val="20"/>
          <w:color w:val="auto"/>
        </w:rPr>
        <w:t>Total assets and depreciation and amortization expense by segment are not readily available and are not reported separately to the CODM.</w:t>
      </w:r>
    </w:p>
    <w:p>
      <w:pPr>
        <w:sectPr>
          <w:pgSz w:w="11880" w:h="15480" w:orient="portrait"/>
          <w:cols w:equalWidth="0" w:num="1">
            <w:col w:w="10270"/>
          </w:cols>
          <w:pgMar w:left="81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107</w:t>
      </w:r>
    </w:p>
    <w:p>
      <w:pPr>
        <w:sectPr>
          <w:pgSz w:w="11880" w:h="15480" w:orient="portrait"/>
          <w:cols w:equalWidth="0" w:num="1">
            <w:col w:w="10270"/>
          </w:cols>
          <w:pgMar w:left="810" w:top="422" w:right="800" w:bottom="0" w:gutter="0" w:footer="0" w:header="0"/>
          <w:type w:val="continuous"/>
        </w:sectPr>
      </w:pPr>
    </w:p>
    <w:bookmarkStart w:id="115" w:name="page116"/>
    <w:bookmarkEnd w:id="115"/>
    <w:p>
      <w:pPr>
        <w:jc w:val="center"/>
        <w:ind w:right="-9"/>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Notes to Consolidated Financial Statements</w:t>
      </w:r>
    </w:p>
    <w:p>
      <w:pPr>
        <w:spacing w:after="0" w:line="360" w:lineRule="exact"/>
        <w:rPr>
          <w:sz w:val="20"/>
          <w:szCs w:val="20"/>
          <w:color w:val="auto"/>
        </w:rPr>
      </w:pPr>
    </w:p>
    <w:p>
      <w:pPr>
        <w:ind w:left="10"/>
        <w:spacing w:after="0"/>
        <w:rPr>
          <w:sz w:val="20"/>
          <w:szCs w:val="20"/>
          <w:color w:val="auto"/>
        </w:rPr>
      </w:pPr>
      <w:r>
        <w:rPr>
          <w:rFonts w:ascii="Arial" w:cs="Arial" w:eastAsia="Arial" w:hAnsi="Arial"/>
          <w:sz w:val="20"/>
          <w:szCs w:val="20"/>
          <w:color w:val="auto"/>
        </w:rPr>
        <w:t>A reconciliation of segment income to consolidated income (loss) before taxes is as follows: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464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42"/>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2"/>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2"/>
              <w:spacing w:after="0"/>
              <w:rPr>
                <w:sz w:val="20"/>
                <w:szCs w:val="20"/>
                <w:color w:val="auto"/>
              </w:rPr>
            </w:pPr>
            <w:r>
              <w:rPr>
                <w:rFonts w:ascii="Arial" w:cs="Arial" w:eastAsia="Arial" w:hAnsi="Arial"/>
                <w:sz w:val="16"/>
                <w:szCs w:val="16"/>
                <w:b w:val="1"/>
                <w:bCs w:val="1"/>
                <w:color w:val="auto"/>
              </w:rPr>
              <w:t>2023</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60" w:type="dxa"/>
            <w:vAlign w:val="bottom"/>
            <w:tcBorders>
              <w:top w:val="single" w:sz="8" w:color="auto"/>
              <w:bottom w:val="single" w:sz="8" w:color="D2EEF5"/>
            </w:tcBorders>
          </w:tcPr>
          <w:p>
            <w:pPr>
              <w:spacing w:after="0" w:line="20" w:lineRule="exact"/>
              <w:rPr>
                <w:sz w:val="1"/>
                <w:szCs w:val="1"/>
                <w:color w:val="auto"/>
              </w:rPr>
            </w:pPr>
          </w:p>
        </w:tc>
        <w:tc>
          <w:tcPr>
            <w:tcW w:w="458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Segment income</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593,801</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548,574</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528,029</w:t>
            </w:r>
          </w:p>
        </w:tc>
      </w:tr>
      <w:tr>
        <w:trPr>
          <w:trHeight w:val="275"/>
        </w:trPr>
        <w:tc>
          <w:tcPr>
            <w:tcW w:w="40" w:type="dxa"/>
            <w:vAlign w:val="bottom"/>
          </w:tcPr>
          <w:p>
            <w:pPr>
              <w:spacing w:after="0"/>
              <w:rPr>
                <w:sz w:val="23"/>
                <w:szCs w:val="23"/>
                <w:color w:val="auto"/>
              </w:rPr>
            </w:pPr>
          </w:p>
        </w:tc>
        <w:tc>
          <w:tcPr>
            <w:tcW w:w="6380" w:type="dxa"/>
            <w:vAlign w:val="bottom"/>
            <w:gridSpan w:val="3"/>
          </w:tcPr>
          <w:p>
            <w:pPr>
              <w:spacing w:after="0"/>
              <w:rPr>
                <w:sz w:val="20"/>
                <w:szCs w:val="20"/>
                <w:color w:val="auto"/>
              </w:rPr>
            </w:pPr>
            <w:r>
              <w:rPr>
                <w:rFonts w:ascii="Arial" w:cs="Arial" w:eastAsia="Arial" w:hAnsi="Arial"/>
                <w:sz w:val="20"/>
                <w:szCs w:val="20"/>
                <w:b w:val="1"/>
                <w:bCs w:val="1"/>
                <w:color w:val="auto"/>
              </w:rPr>
              <w:t>Less adjustments: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95"/>
        </w:trPr>
        <w:tc>
          <w:tcPr>
            <w:tcW w:w="40" w:type="dxa"/>
            <w:vAlign w:val="bottom"/>
            <w:shd w:val="clear" w:color="auto" w:fill="D2EEF5"/>
          </w:tcPr>
          <w:p>
            <w:pPr>
              <w:spacing w:after="0"/>
              <w:rPr>
                <w:sz w:val="24"/>
                <w:szCs w:val="24"/>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Interest expense, net</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155,722</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164,691</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142,878</w:t>
            </w:r>
          </w:p>
        </w:tc>
      </w:tr>
      <w:tr>
        <w:trPr>
          <w:trHeight w:val="278"/>
        </w:trPr>
        <w:tc>
          <w:tcPr>
            <w:tcW w:w="4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Arial" w:cs="Arial" w:eastAsia="Arial" w:hAnsi="Arial"/>
                <w:sz w:val="20"/>
                <w:szCs w:val="20"/>
                <w:color w:val="auto"/>
              </w:rPr>
              <w:t>Depreciation and amortization</w:t>
            </w:r>
            <w:r>
              <w:rPr>
                <w:rFonts w:ascii="Arial" w:cs="Arial" w:eastAsia="Arial" w:hAnsi="Arial"/>
                <w:sz w:val="10"/>
                <w:szCs w:val="10"/>
                <w:color w:val="auto"/>
              </w:rPr>
              <w:t>(a)</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20"/>
                <w:szCs w:val="20"/>
                <w:b w:val="1"/>
                <w:bCs w:val="1"/>
                <w:color w:val="auto"/>
              </w:rPr>
              <w:t>136,428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161,797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157,925</w:t>
            </w:r>
          </w:p>
        </w:tc>
      </w:tr>
      <w:tr>
        <w:trPr>
          <w:trHeight w:val="292"/>
        </w:trPr>
        <w:tc>
          <w:tcPr>
            <w:tcW w:w="40" w:type="dxa"/>
            <w:vAlign w:val="bottom"/>
            <w:shd w:val="clear" w:color="auto" w:fill="D2EEF5"/>
          </w:tcPr>
          <w:p>
            <w:pPr>
              <w:spacing w:after="0"/>
              <w:rPr>
                <w:sz w:val="24"/>
                <w:szCs w:val="24"/>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Share-based compensation</w:t>
            </w:r>
            <w:r>
              <w:rPr>
                <w:rFonts w:ascii="Arial" w:cs="Arial" w:eastAsia="Arial" w:hAnsi="Arial"/>
                <w:sz w:val="10"/>
                <w:szCs w:val="10"/>
                <w:color w:val="auto"/>
              </w:rPr>
              <w:t>(b)</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31,068</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36,896</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32,364</w:t>
            </w:r>
          </w:p>
        </w:tc>
      </w:tr>
      <w:tr>
        <w:trPr>
          <w:trHeight w:val="308"/>
        </w:trPr>
        <w:tc>
          <w:tcPr>
            <w:tcW w:w="4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Arial" w:cs="Arial" w:eastAsia="Arial" w:hAnsi="Arial"/>
                <w:sz w:val="20"/>
                <w:szCs w:val="20"/>
                <w:color w:val="auto"/>
              </w:rPr>
              <w:t>Loss on refinancing of debt</w:t>
            </w:r>
            <w:r>
              <w:rPr>
                <w:rFonts w:ascii="Arial" w:cs="Arial" w:eastAsia="Arial" w:hAnsi="Arial"/>
                <w:sz w:val="10"/>
                <w:szCs w:val="10"/>
                <w:color w:val="auto"/>
              </w:rPr>
              <w:t>(c)</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20"/>
                <w:szCs w:val="20"/>
                <w:b w:val="1"/>
                <w:bCs w:val="1"/>
                <w:color w:val="auto"/>
              </w:rPr>
              <w:t>1,462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24,168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w:t>
            </w:r>
          </w:p>
        </w:tc>
      </w:tr>
      <w:tr>
        <w:trPr>
          <w:trHeight w:val="236"/>
        </w:trPr>
        <w:tc>
          <w:tcPr>
            <w:tcW w:w="40" w:type="dxa"/>
            <w:vAlign w:val="bottom"/>
            <w:shd w:val="clear" w:color="auto" w:fill="D2EEF5"/>
          </w:tcPr>
          <w:p>
            <w:pPr>
              <w:spacing w:after="0"/>
              <w:rPr>
                <w:sz w:val="20"/>
                <w:szCs w:val="20"/>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color w:val="auto"/>
                <w:w w:val="96"/>
              </w:rPr>
              <w:t>Loss (gain) on foreign currency and derivatives not designated as hedging</w:t>
            </w: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280" w:type="dxa"/>
            <w:vAlign w:val="bottom"/>
            <w:shd w:val="clear" w:color="auto" w:fill="D2EEF5"/>
          </w:tcPr>
          <w:p>
            <w:pPr>
              <w:spacing w:after="0"/>
              <w:rPr>
                <w:sz w:val="20"/>
                <w:szCs w:val="20"/>
                <w:color w:val="auto"/>
              </w:rPr>
            </w:pPr>
          </w:p>
        </w:tc>
        <w:tc>
          <w:tcPr>
            <w:tcW w:w="920" w:type="dxa"/>
            <w:vAlign w:val="bottom"/>
            <w:shd w:val="clear" w:color="auto" w:fill="D2EEF5"/>
          </w:tcPr>
          <w:p>
            <w:pPr>
              <w:spacing w:after="0"/>
              <w:rPr>
                <w:sz w:val="20"/>
                <w:szCs w:val="20"/>
                <w:color w:val="auto"/>
              </w:rPr>
            </w:pPr>
          </w:p>
        </w:tc>
      </w:tr>
      <w:tr>
        <w:trPr>
          <w:trHeight w:val="295"/>
        </w:trPr>
        <w:tc>
          <w:tcPr>
            <w:tcW w:w="40" w:type="dxa"/>
            <w:vAlign w:val="bottom"/>
            <w:shd w:val="clear" w:color="auto" w:fill="D2EEF5"/>
          </w:tcPr>
          <w:p>
            <w:pPr>
              <w:spacing w:after="0"/>
              <w:rPr>
                <w:sz w:val="24"/>
                <w:szCs w:val="24"/>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instruments, net</w:t>
            </w:r>
            <w:r>
              <w:rPr>
                <w:rFonts w:ascii="Arial" w:cs="Arial" w:eastAsia="Arial" w:hAnsi="Arial"/>
                <w:sz w:val="10"/>
                <w:szCs w:val="10"/>
                <w:color w:val="auto"/>
              </w:rPr>
              <w:t>(d)</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58</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2,448</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(1,552)</w:t>
            </w:r>
          </w:p>
        </w:tc>
      </w:tr>
      <w:tr>
        <w:trPr>
          <w:trHeight w:val="278"/>
        </w:trPr>
        <w:tc>
          <w:tcPr>
            <w:tcW w:w="4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Arial" w:cs="Arial" w:eastAsia="Arial" w:hAnsi="Arial"/>
                <w:sz w:val="20"/>
                <w:szCs w:val="20"/>
                <w:color w:val="auto"/>
              </w:rPr>
              <w:t>Business optimization expenses</w:t>
            </w:r>
            <w:r>
              <w:rPr>
                <w:rFonts w:ascii="Arial" w:cs="Arial" w:eastAsia="Arial" w:hAnsi="Arial"/>
                <w:sz w:val="10"/>
                <w:szCs w:val="10"/>
                <w:color w:val="auto"/>
              </w:rPr>
              <w:t>(e)</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20"/>
                <w:szCs w:val="20"/>
                <w:b w:val="1"/>
                <w:bCs w:val="1"/>
                <w:color w:val="auto"/>
              </w:rPr>
              <w:t>8,068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9,368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7,662</w:t>
            </w:r>
          </w:p>
        </w:tc>
      </w:tr>
      <w:tr>
        <w:trPr>
          <w:trHeight w:val="292"/>
        </w:trPr>
        <w:tc>
          <w:tcPr>
            <w:tcW w:w="40" w:type="dxa"/>
            <w:vAlign w:val="bottom"/>
            <w:shd w:val="clear" w:color="auto" w:fill="D2EEF5"/>
          </w:tcPr>
          <w:p>
            <w:pPr>
              <w:spacing w:after="0"/>
              <w:rPr>
                <w:sz w:val="24"/>
                <w:szCs w:val="24"/>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Professional services relating to EO sterilization facilities</w:t>
            </w:r>
            <w:r>
              <w:rPr>
                <w:rFonts w:ascii="Arial" w:cs="Arial" w:eastAsia="Arial" w:hAnsi="Arial"/>
                <w:sz w:val="10"/>
                <w:szCs w:val="10"/>
                <w:color w:val="auto"/>
              </w:rPr>
              <w:t>(f)</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46,225</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32,694</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45,312</w:t>
            </w:r>
          </w:p>
        </w:tc>
      </w:tr>
      <w:tr>
        <w:trPr>
          <w:trHeight w:val="278"/>
        </w:trPr>
        <w:tc>
          <w:tcPr>
            <w:tcW w:w="4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Arial" w:cs="Arial" w:eastAsia="Arial" w:hAnsi="Arial"/>
                <w:sz w:val="20"/>
                <w:szCs w:val="20"/>
                <w:color w:val="auto"/>
              </w:rPr>
              <w:t>Illinois EO litigation settlements</w:t>
            </w:r>
            <w:r>
              <w:rPr>
                <w:rFonts w:ascii="Arial" w:cs="Arial" w:eastAsia="Arial" w:hAnsi="Arial"/>
                <w:sz w:val="10"/>
                <w:szCs w:val="10"/>
                <w:color w:val="auto"/>
              </w:rPr>
              <w:t>(g)</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20"/>
                <w:szCs w:val="20"/>
                <w:b w:val="1"/>
                <w:bCs w:val="1"/>
                <w:color w:val="auto"/>
              </w:rPr>
              <w:t>64,943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w:t>
            </w:r>
          </w:p>
        </w:tc>
      </w:tr>
      <w:tr>
        <w:trPr>
          <w:trHeight w:val="292"/>
        </w:trPr>
        <w:tc>
          <w:tcPr>
            <w:tcW w:w="40" w:type="dxa"/>
            <w:vAlign w:val="bottom"/>
            <w:shd w:val="clear" w:color="auto" w:fill="D2EEF5"/>
          </w:tcPr>
          <w:p>
            <w:pPr>
              <w:spacing w:after="0"/>
              <w:rPr>
                <w:sz w:val="24"/>
                <w:szCs w:val="24"/>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Georgia EO litigation settlement</w:t>
            </w:r>
            <w:r>
              <w:rPr>
                <w:rFonts w:ascii="Arial" w:cs="Arial" w:eastAsia="Arial" w:hAnsi="Arial"/>
                <w:sz w:val="10"/>
                <w:szCs w:val="10"/>
                <w:color w:val="auto"/>
              </w:rPr>
              <w:t>(h)</w:t>
            </w: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w:t>
            </w:r>
          </w:p>
        </w:tc>
        <w:tc>
          <w:tcPr>
            <w:tcW w:w="120" w:type="dxa"/>
            <w:vAlign w:val="bottom"/>
            <w:shd w:val="clear" w:color="auto" w:fill="D2EEF5"/>
          </w:tcPr>
          <w:p>
            <w:pPr>
              <w:spacing w:after="0"/>
              <w:rPr>
                <w:sz w:val="24"/>
                <w:szCs w:val="24"/>
                <w:color w:val="auto"/>
              </w:rPr>
            </w:pPr>
          </w:p>
        </w:tc>
        <w:tc>
          <w:tcPr>
            <w:tcW w:w="280" w:type="dxa"/>
            <w:vAlign w:val="bottom"/>
            <w:shd w:val="clear" w:color="auto" w:fill="D2EEF5"/>
          </w:tcPr>
          <w:p>
            <w:pPr>
              <w:spacing w:after="0"/>
              <w:rPr>
                <w:sz w:val="24"/>
                <w:szCs w:val="24"/>
                <w:color w:val="auto"/>
              </w:rPr>
            </w:pP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35,000</w:t>
            </w:r>
          </w:p>
        </w:tc>
      </w:tr>
      <w:tr>
        <w:trPr>
          <w:trHeight w:val="275"/>
        </w:trPr>
        <w:tc>
          <w:tcPr>
            <w:tcW w:w="40" w:type="dxa"/>
            <w:vAlign w:val="bottom"/>
            <w:tcBorders>
              <w:bottom w:val="single" w:sz="8" w:color="D2EEF5"/>
            </w:tcBorders>
          </w:tcPr>
          <w:p>
            <w:pPr>
              <w:spacing w:after="0"/>
              <w:rPr>
                <w:sz w:val="23"/>
                <w:szCs w:val="23"/>
                <w:color w:val="auto"/>
              </w:rPr>
            </w:pPr>
          </w:p>
        </w:tc>
        <w:tc>
          <w:tcPr>
            <w:tcW w:w="638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Accretion of asset retirement obligation</w:t>
            </w:r>
            <w:r>
              <w:rPr>
                <w:rFonts w:ascii="Arial" w:cs="Arial" w:eastAsia="Arial" w:hAnsi="Arial"/>
                <w:sz w:val="10"/>
                <w:szCs w:val="10"/>
                <w:color w:val="auto"/>
              </w:rPr>
              <w:t>(i)</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2,321</w:t>
            </w:r>
          </w:p>
        </w:tc>
        <w:tc>
          <w:tcPr>
            <w:tcW w:w="1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2,638</w:t>
            </w:r>
          </w:p>
        </w:tc>
        <w:tc>
          <w:tcPr>
            <w:tcW w:w="120" w:type="dxa"/>
            <w:vAlign w:val="bottom"/>
            <w:tcBorders>
              <w:bottom w:val="single" w:sz="8" w:color="D2EEF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2,413</w:t>
            </w:r>
          </w:p>
        </w:tc>
      </w:tr>
      <w:tr>
        <w:trPr>
          <w:trHeight w:val="265"/>
        </w:trPr>
        <w:tc>
          <w:tcPr>
            <w:tcW w:w="40" w:type="dxa"/>
            <w:vAlign w:val="bottom"/>
            <w:shd w:val="clear" w:color="auto" w:fill="D2EEF5"/>
          </w:tcPr>
          <w:p>
            <w:pPr>
              <w:spacing w:after="0"/>
              <w:rPr>
                <w:sz w:val="23"/>
                <w:szCs w:val="23"/>
                <w:color w:val="auto"/>
              </w:rPr>
            </w:pPr>
          </w:p>
        </w:tc>
        <w:tc>
          <w:tcPr>
            <w:tcW w:w="638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Consolidated income before taxes</w:t>
            </w:r>
          </w:p>
        </w:tc>
        <w:tc>
          <w:tcPr>
            <w:tcW w:w="280" w:type="dxa"/>
            <w:vAlign w:val="bottom"/>
            <w:shd w:val="clear" w:color="auto" w:fill="D2EEF5"/>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b w:val="1"/>
                <w:bCs w:val="1"/>
                <w:color w:val="auto"/>
              </w:rPr>
              <w:t>147,506</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113,874</w:t>
            </w:r>
          </w:p>
        </w:tc>
        <w:tc>
          <w:tcPr>
            <w:tcW w:w="400" w:type="dxa"/>
            <w:vAlign w:val="bottom"/>
            <w:gridSpan w:val="2"/>
            <w:shd w:val="clear" w:color="auto" w:fill="D2EEF5"/>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D2EEF5"/>
          </w:tcPr>
          <w:p>
            <w:pPr>
              <w:jc w:val="right"/>
              <w:ind w:right="2"/>
              <w:spacing w:after="0"/>
              <w:rPr>
                <w:sz w:val="20"/>
                <w:szCs w:val="20"/>
                <w:color w:val="auto"/>
              </w:rPr>
            </w:pPr>
            <w:r>
              <w:rPr>
                <w:rFonts w:ascii="Arial" w:cs="Arial" w:eastAsia="Arial" w:hAnsi="Arial"/>
                <w:sz w:val="20"/>
                <w:szCs w:val="20"/>
                <w:color w:val="auto"/>
              </w:rPr>
              <w:t>106,027</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tcBorders>
          </w:tcPr>
          <w:p>
            <w:pPr>
              <w:spacing w:after="0" w:line="20" w:lineRule="exact"/>
              <w:rPr>
                <w:sz w:val="1"/>
                <w:szCs w:val="1"/>
                <w:color w:val="auto"/>
              </w:rPr>
            </w:pPr>
          </w:p>
        </w:tc>
        <w:tc>
          <w:tcPr>
            <w:tcW w:w="60" w:type="dxa"/>
            <w:vAlign w:val="bottom"/>
            <w:tcBorders>
              <w:top w:val="single" w:sz="8" w:color="D2EEF5"/>
            </w:tcBorders>
          </w:tcPr>
          <w:p>
            <w:pPr>
              <w:spacing w:after="0" w:line="20" w:lineRule="exact"/>
              <w:rPr>
                <w:sz w:val="1"/>
                <w:szCs w:val="1"/>
                <w:color w:val="auto"/>
              </w:rPr>
            </w:pPr>
          </w:p>
        </w:tc>
        <w:tc>
          <w:tcPr>
            <w:tcW w:w="458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-43815</wp:posOffset>
            </wp:positionV>
            <wp:extent cx="2463800"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4">
                      <a:extLst>
                        <a:ext uri="{28A0092B-C50C-407E-A947-70E740481C1C}"/>
                      </a:extLst>
                    </a:blip>
                    <a:srcRect/>
                    <a:stretch>
                      <a:fillRect/>
                    </a:stretch>
                  </pic:blipFill>
                  <pic:spPr bwMode="auto">
                    <a:xfrm>
                      <a:off x="0" y="0"/>
                      <a:ext cx="2463800" cy="50800"/>
                    </a:xfrm>
                    <a:prstGeom prst="rect">
                      <a:avLst/>
                    </a:prstGeom>
                    <a:noFill/>
                  </pic:spPr>
                </pic:pic>
              </a:graphicData>
            </a:graphic>
          </wp:anchor>
        </w:drawing>
      </w:r>
    </w:p>
    <w:p>
      <w:pPr>
        <w:spacing w:after="0" w:line="187" w:lineRule="exact"/>
        <w:rPr>
          <w:sz w:val="20"/>
          <w:szCs w:val="20"/>
          <w:color w:val="auto"/>
        </w:rPr>
      </w:pPr>
    </w:p>
    <w:p>
      <w:pPr>
        <w:ind w:left="550" w:right="340" w:hanging="550"/>
        <w:spacing w:after="0" w:line="271" w:lineRule="auto"/>
        <w:tabs>
          <w:tab w:leader="none" w:pos="55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Includes depreciation of Co-60 held at gamma irradiation sites, and excludes accelerated depreciation associated with business optimization activities.</w:t>
      </w:r>
    </w:p>
    <w:p>
      <w:pPr>
        <w:ind w:left="550" w:right="120" w:hanging="550"/>
        <w:spacing w:after="0" w:line="271" w:lineRule="auto"/>
        <w:tabs>
          <w:tab w:leader="none" w:pos="550"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Represents share-based compensation expense related to employees and Non-Employee Directors. See Note 15, “Share-Based Compensation” for further information.</w:t>
      </w:r>
    </w:p>
    <w:p>
      <w:pPr>
        <w:ind w:left="550" w:right="140" w:hanging="550"/>
        <w:spacing w:after="0" w:line="285" w:lineRule="auto"/>
        <w:tabs>
          <w:tab w:leader="none" w:pos="55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Represents the write-off of unamortized debt issuance costs and discounts, as well as certain other costs incurred related to the refinancing activity for the Term Loans, the Secured Notes and the Revolving Credit Facility.</w:t>
      </w:r>
    </w:p>
    <w:p>
      <w:pPr>
        <w:spacing w:after="0" w:line="1" w:lineRule="exact"/>
        <w:rPr>
          <w:rFonts w:ascii="Arial" w:cs="Arial" w:eastAsia="Arial" w:hAnsi="Arial"/>
          <w:sz w:val="19"/>
          <w:szCs w:val="19"/>
          <w:color w:val="auto"/>
        </w:rPr>
      </w:pPr>
    </w:p>
    <w:p>
      <w:pPr>
        <w:ind w:left="550" w:right="580" w:hanging="550"/>
        <w:spacing w:after="0" w:line="271" w:lineRule="auto"/>
        <w:tabs>
          <w:tab w:leader="none" w:pos="550"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Represents the effects of (i) fluctuations in foreign currency exchange rates and (ii) non-cash mark-to-fair value of embedded derivatives relating to certain customer and supply contracts at Nordion.</w:t>
      </w:r>
    </w:p>
    <w:p>
      <w:pPr>
        <w:ind w:left="550" w:right="20" w:hanging="550"/>
        <w:spacing w:after="0" w:line="278" w:lineRule="auto"/>
        <w:tabs>
          <w:tab w:leader="none" w:pos="55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w:t>
      </w:r>
    </w:p>
    <w:p>
      <w:pPr>
        <w:ind w:left="550" w:hanging="550"/>
        <w:spacing w:after="0"/>
        <w:tabs>
          <w:tab w:leader="none" w:pos="550"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Represents litigation and other professional fees associated with our EO sterilization facilities.</w:t>
      </w:r>
    </w:p>
    <w:p>
      <w:pPr>
        <w:spacing w:after="0" w:line="50" w:lineRule="exact"/>
        <w:rPr>
          <w:rFonts w:ascii="Arial" w:cs="Arial" w:eastAsia="Arial" w:hAnsi="Arial"/>
          <w:sz w:val="20"/>
          <w:szCs w:val="20"/>
          <w:color w:val="auto"/>
        </w:rPr>
      </w:pPr>
    </w:p>
    <w:p>
      <w:pPr>
        <w:ind w:left="550" w:right="60" w:hanging="550"/>
        <w:spacing w:after="0" w:line="293" w:lineRule="auto"/>
        <w:tabs>
          <w:tab w:leader="none" w:pos="5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See Note 19, “Commitments and Contingencies.”</w:t>
      </w:r>
    </w:p>
    <w:p>
      <w:pPr>
        <w:spacing w:after="0" w:line="1" w:lineRule="exact"/>
        <w:rPr>
          <w:rFonts w:ascii="Arial" w:cs="Arial" w:eastAsia="Arial" w:hAnsi="Arial"/>
          <w:sz w:val="18"/>
          <w:szCs w:val="18"/>
          <w:color w:val="auto"/>
        </w:rPr>
      </w:pPr>
    </w:p>
    <w:p>
      <w:pPr>
        <w:ind w:left="550" w:right="340" w:hanging="550"/>
        <w:spacing w:after="0" w:line="271" w:lineRule="auto"/>
        <w:tabs>
          <w:tab w:leader="none" w:pos="550"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Represents the cost to settle 79 pending EO claims in Georgia under a settlement entered into on December 21, 2023. See Note 19, “Commitments and Contingencies.”</w:t>
      </w:r>
    </w:p>
    <w:p>
      <w:pPr>
        <w:ind w:left="550" w:right="280" w:hanging="550"/>
        <w:spacing w:after="0" w:line="266" w:lineRule="auto"/>
        <w:tabs>
          <w:tab w:leader="none" w:pos="550"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Represents non-cash accretion of ARO related to Co-60 gamma and EO processing facilities, which are based on estimated site remediation costs for any future decommissioning of these facilities and are accreted over the life of the asset.</w:t>
      </w:r>
    </w:p>
    <w:p>
      <w:pPr>
        <w:sectPr>
          <w:pgSz w:w="11880" w:h="15480" w:orient="portrait"/>
          <w:cols w:equalWidth="0" w:num="1">
            <w:col w:w="10270"/>
          </w:cols>
          <w:pgMar w:left="81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108</w:t>
      </w:r>
    </w:p>
    <w:p>
      <w:pPr>
        <w:sectPr>
          <w:pgSz w:w="11880" w:h="15480" w:orient="portrait"/>
          <w:cols w:equalWidth="0" w:num="1">
            <w:col w:w="10270"/>
          </w:cols>
          <w:pgMar w:left="810" w:top="422" w:right="800" w:bottom="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Geographic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Net revenues for geographic area are reported by the country’s origin of the revenues.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43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612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19"/>
                <w:szCs w:val="19"/>
                <w:color w:val="auto"/>
              </w:rPr>
            </w:pPr>
          </w:p>
        </w:tc>
        <w:tc>
          <w:tcPr>
            <w:tcW w:w="960" w:type="dxa"/>
            <w:vAlign w:val="bottom"/>
          </w:tcPr>
          <w:p>
            <w:pPr>
              <w:jc w:val="right"/>
              <w:ind w:right="34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43"/>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43"/>
              <w:spacing w:after="0"/>
              <w:rPr>
                <w:sz w:val="20"/>
                <w:szCs w:val="20"/>
                <w:color w:val="auto"/>
              </w:rPr>
            </w:pPr>
            <w:r>
              <w:rPr>
                <w:rFonts w:ascii="Arial" w:cs="Arial" w:eastAsia="Arial" w:hAnsi="Arial"/>
                <w:sz w:val="16"/>
                <w:szCs w:val="16"/>
                <w:b w:val="1"/>
                <w:bCs w:val="1"/>
                <w:color w:val="auto"/>
              </w:rPr>
              <w:t>2023</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740" w:type="dxa"/>
            <w:vAlign w:val="bottom"/>
            <w:tcBorders>
              <w:top w:val="single" w:sz="8" w:color="auto"/>
              <w:bottom w:val="single" w:sz="8" w:color="D2EEF5"/>
            </w:tcBorders>
          </w:tcPr>
          <w:p>
            <w:pPr>
              <w:spacing w:after="0" w:line="20" w:lineRule="exact"/>
              <w:rPr>
                <w:sz w:val="1"/>
                <w:szCs w:val="1"/>
                <w:color w:val="auto"/>
              </w:rPr>
            </w:pPr>
          </w:p>
        </w:tc>
        <w:tc>
          <w:tcPr>
            <w:tcW w:w="60" w:type="dxa"/>
            <w:vAlign w:val="bottom"/>
            <w:tcBorders>
              <w:top w:val="single" w:sz="8" w:color="auto"/>
              <w:bottom w:val="single" w:sz="8" w:color="D2EEF5"/>
            </w:tcBorders>
          </w:tcPr>
          <w:p>
            <w:pPr>
              <w:spacing w:after="0" w:line="20" w:lineRule="exact"/>
              <w:rPr>
                <w:sz w:val="1"/>
                <w:szCs w:val="1"/>
                <w:color w:val="auto"/>
              </w:rPr>
            </w:pPr>
          </w:p>
        </w:tc>
        <w:tc>
          <w:tcPr>
            <w:tcW w:w="4320" w:type="dxa"/>
            <w:vAlign w:val="bottom"/>
            <w:tcBorders>
              <w:bottom w:val="single" w:sz="8" w:color="D2EE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612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United States</w:t>
            </w:r>
          </w:p>
        </w:tc>
        <w:tc>
          <w:tcPr>
            <w:tcW w:w="24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629,543</w:t>
            </w:r>
          </w:p>
        </w:tc>
        <w:tc>
          <w:tcPr>
            <w:tcW w:w="360" w:type="dxa"/>
            <w:vAlign w:val="bottom"/>
            <w:gridSpan w:val="2"/>
            <w:shd w:val="clear" w:color="auto" w:fill="D2EEF5"/>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616,684</w:t>
            </w:r>
          </w:p>
        </w:tc>
        <w:tc>
          <w:tcPr>
            <w:tcW w:w="360" w:type="dxa"/>
            <w:vAlign w:val="bottom"/>
            <w:gridSpan w:val="2"/>
            <w:shd w:val="clear" w:color="auto" w:fill="D2EEF5"/>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590,967</w:t>
            </w:r>
          </w:p>
        </w:tc>
      </w:tr>
      <w:tr>
        <w:trPr>
          <w:trHeight w:val="278"/>
        </w:trPr>
        <w:tc>
          <w:tcPr>
            <w:tcW w:w="40" w:type="dxa"/>
            <w:vAlign w:val="bottom"/>
          </w:tcPr>
          <w:p>
            <w:pPr>
              <w:spacing w:after="0"/>
              <w:rPr>
                <w:sz w:val="24"/>
                <w:szCs w:val="24"/>
                <w:color w:val="auto"/>
              </w:rPr>
            </w:pPr>
          </w:p>
        </w:tc>
        <w:tc>
          <w:tcPr>
            <w:tcW w:w="6120" w:type="dxa"/>
            <w:vAlign w:val="bottom"/>
            <w:gridSpan w:val="3"/>
          </w:tcPr>
          <w:p>
            <w:pPr>
              <w:spacing w:after="0"/>
              <w:rPr>
                <w:sz w:val="20"/>
                <w:szCs w:val="20"/>
                <w:color w:val="auto"/>
              </w:rPr>
            </w:pPr>
            <w:r>
              <w:rPr>
                <w:rFonts w:ascii="Arial" w:cs="Arial" w:eastAsia="Arial" w:hAnsi="Arial"/>
                <w:sz w:val="20"/>
                <w:szCs w:val="20"/>
                <w:color w:val="auto"/>
              </w:rPr>
              <w:t>Canada</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221,948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208,886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192,050</w:t>
            </w:r>
          </w:p>
        </w:tc>
      </w:tr>
      <w:tr>
        <w:trPr>
          <w:trHeight w:val="292"/>
        </w:trPr>
        <w:tc>
          <w:tcPr>
            <w:tcW w:w="40" w:type="dxa"/>
            <w:vAlign w:val="bottom"/>
            <w:shd w:val="clear" w:color="auto" w:fill="D2EEF5"/>
          </w:tcPr>
          <w:p>
            <w:pPr>
              <w:spacing w:after="0"/>
              <w:rPr>
                <w:sz w:val="24"/>
                <w:szCs w:val="24"/>
                <w:color w:val="auto"/>
              </w:rPr>
            </w:pPr>
          </w:p>
        </w:tc>
        <w:tc>
          <w:tcPr>
            <w:tcW w:w="612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Europe</w:t>
            </w:r>
          </w:p>
        </w:tc>
        <w:tc>
          <w:tcPr>
            <w:tcW w:w="240" w:type="dxa"/>
            <w:vAlign w:val="bottom"/>
            <w:shd w:val="clear" w:color="auto" w:fill="D2EEF5"/>
          </w:tcPr>
          <w:p>
            <w:pPr>
              <w:spacing w:after="0"/>
              <w:rPr>
                <w:sz w:val="24"/>
                <w:szCs w:val="24"/>
                <w:color w:val="auto"/>
              </w:rPr>
            </w:pPr>
          </w:p>
        </w:tc>
        <w:tc>
          <w:tcPr>
            <w:tcW w:w="96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232,179</w:t>
            </w:r>
          </w:p>
        </w:tc>
        <w:tc>
          <w:tcPr>
            <w:tcW w:w="12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9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196,011</w:t>
            </w:r>
          </w:p>
        </w:tc>
        <w:tc>
          <w:tcPr>
            <w:tcW w:w="120" w:type="dxa"/>
            <w:vAlign w:val="bottom"/>
            <w:shd w:val="clear" w:color="auto" w:fill="D2EEF5"/>
          </w:tcPr>
          <w:p>
            <w:pPr>
              <w:spacing w:after="0"/>
              <w:rPr>
                <w:sz w:val="24"/>
                <w:szCs w:val="24"/>
                <w:color w:val="auto"/>
              </w:rPr>
            </w:pPr>
          </w:p>
        </w:tc>
        <w:tc>
          <w:tcPr>
            <w:tcW w:w="240" w:type="dxa"/>
            <w:vAlign w:val="bottom"/>
            <w:shd w:val="clear" w:color="auto" w:fill="D2EEF5"/>
          </w:tcPr>
          <w:p>
            <w:pPr>
              <w:spacing w:after="0"/>
              <w:rPr>
                <w:sz w:val="24"/>
                <w:szCs w:val="24"/>
                <w:color w:val="auto"/>
              </w:rPr>
            </w:pPr>
          </w:p>
        </w:tc>
        <w:tc>
          <w:tcPr>
            <w:tcW w:w="960" w:type="dxa"/>
            <w:vAlign w:val="bottom"/>
            <w:shd w:val="clear" w:color="auto" w:fill="D2EEF5"/>
          </w:tcPr>
          <w:p>
            <w:pPr>
              <w:jc w:val="right"/>
              <w:spacing w:after="0"/>
              <w:rPr>
                <w:sz w:val="20"/>
                <w:szCs w:val="20"/>
                <w:color w:val="auto"/>
              </w:rPr>
            </w:pPr>
            <w:r>
              <w:rPr>
                <w:rFonts w:ascii="Arial" w:cs="Arial" w:eastAsia="Arial" w:hAnsi="Arial"/>
                <w:sz w:val="20"/>
                <w:szCs w:val="20"/>
                <w:color w:val="auto"/>
              </w:rPr>
              <w:t>187,542</w:t>
            </w:r>
          </w:p>
        </w:tc>
      </w:tr>
      <w:tr>
        <w:trPr>
          <w:trHeight w:val="275"/>
        </w:trPr>
        <w:tc>
          <w:tcPr>
            <w:tcW w:w="40" w:type="dxa"/>
            <w:vAlign w:val="bottom"/>
            <w:tcBorders>
              <w:bottom w:val="single" w:sz="8" w:color="D2EEF5"/>
            </w:tcBorders>
          </w:tcPr>
          <w:p>
            <w:pPr>
              <w:spacing w:after="0"/>
              <w:rPr>
                <w:sz w:val="23"/>
                <w:szCs w:val="23"/>
                <w:color w:val="auto"/>
              </w:rPr>
            </w:pPr>
          </w:p>
        </w:tc>
        <w:tc>
          <w:tcPr>
            <w:tcW w:w="612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Other</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79,947</w:t>
            </w:r>
          </w:p>
        </w:tc>
        <w:tc>
          <w:tcPr>
            <w:tcW w:w="120" w:type="dxa"/>
            <w:vAlign w:val="bottom"/>
            <w:tcBorders>
              <w:bottom w:val="single" w:sz="8" w:color="D2EEF5"/>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78,860</w:t>
            </w:r>
          </w:p>
        </w:tc>
        <w:tc>
          <w:tcPr>
            <w:tcW w:w="120" w:type="dxa"/>
            <w:vAlign w:val="bottom"/>
            <w:tcBorders>
              <w:bottom w:val="single" w:sz="8" w:color="D2EEF5"/>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78,729</w:t>
            </w:r>
          </w:p>
        </w:tc>
      </w:tr>
      <w:tr>
        <w:trPr>
          <w:trHeight w:val="265"/>
        </w:trPr>
        <w:tc>
          <w:tcPr>
            <w:tcW w:w="40" w:type="dxa"/>
            <w:vAlign w:val="bottom"/>
            <w:shd w:val="clear" w:color="auto" w:fill="D2EEF5"/>
          </w:tcPr>
          <w:p>
            <w:pPr>
              <w:spacing w:after="0"/>
              <w:rPr>
                <w:sz w:val="23"/>
                <w:szCs w:val="23"/>
                <w:color w:val="auto"/>
              </w:rPr>
            </w:pPr>
          </w:p>
        </w:tc>
        <w:tc>
          <w:tcPr>
            <w:tcW w:w="612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Total</w:t>
            </w:r>
          </w:p>
        </w:tc>
        <w:tc>
          <w:tcPr>
            <w:tcW w:w="24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w w:val="96"/>
              </w:rPr>
              <w:t>1,163,617</w:t>
            </w:r>
          </w:p>
        </w:tc>
        <w:tc>
          <w:tcPr>
            <w:tcW w:w="360" w:type="dxa"/>
            <w:vAlign w:val="bottom"/>
            <w:gridSpan w:val="2"/>
            <w:shd w:val="clear" w:color="auto" w:fill="D2EEF5"/>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EF5"/>
          </w:tcPr>
          <w:p>
            <w:pPr>
              <w:jc w:val="right"/>
              <w:spacing w:after="0"/>
              <w:rPr>
                <w:sz w:val="20"/>
                <w:szCs w:val="20"/>
                <w:color w:val="auto"/>
              </w:rPr>
            </w:pPr>
            <w:r>
              <w:rPr>
                <w:rFonts w:ascii="Arial" w:cs="Arial" w:eastAsia="Arial" w:hAnsi="Arial"/>
                <w:sz w:val="20"/>
                <w:szCs w:val="20"/>
                <w:color w:val="auto"/>
                <w:w w:val="96"/>
              </w:rPr>
              <w:t>1,100,441</w:t>
            </w:r>
          </w:p>
        </w:tc>
        <w:tc>
          <w:tcPr>
            <w:tcW w:w="360" w:type="dxa"/>
            <w:vAlign w:val="bottom"/>
            <w:gridSpan w:val="2"/>
            <w:shd w:val="clear" w:color="auto" w:fill="D2EEF5"/>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EF5"/>
          </w:tcPr>
          <w:p>
            <w:pPr>
              <w:jc w:val="right"/>
              <w:spacing w:after="0"/>
              <w:rPr>
                <w:sz w:val="20"/>
                <w:szCs w:val="20"/>
                <w:color w:val="auto"/>
              </w:rPr>
            </w:pPr>
            <w:r>
              <w:rPr>
                <w:rFonts w:ascii="Arial" w:cs="Arial" w:eastAsia="Arial" w:hAnsi="Arial"/>
                <w:sz w:val="20"/>
                <w:szCs w:val="20"/>
                <w:color w:val="auto"/>
                <w:w w:val="96"/>
              </w:rPr>
              <w:t>1,049,288</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740" w:type="dxa"/>
            <w:vAlign w:val="bottom"/>
            <w:tcBorders>
              <w:top w:val="single" w:sz="8" w:color="D2EEF5"/>
            </w:tcBorders>
          </w:tcPr>
          <w:p>
            <w:pPr>
              <w:spacing w:after="0" w:line="20" w:lineRule="exact"/>
              <w:rPr>
                <w:sz w:val="1"/>
                <w:szCs w:val="1"/>
                <w:color w:val="auto"/>
              </w:rPr>
            </w:pPr>
          </w:p>
        </w:tc>
        <w:tc>
          <w:tcPr>
            <w:tcW w:w="60" w:type="dxa"/>
            <w:vAlign w:val="bottom"/>
            <w:tcBorders>
              <w:top w:val="single" w:sz="8" w:color="D2EEF5"/>
            </w:tcBorders>
          </w:tcPr>
          <w:p>
            <w:pPr>
              <w:spacing w:after="0" w:line="20" w:lineRule="exact"/>
              <w:rPr>
                <w:sz w:val="1"/>
                <w:szCs w:val="1"/>
                <w:color w:val="auto"/>
              </w:rPr>
            </w:pPr>
          </w:p>
        </w:tc>
        <w:tc>
          <w:tcPr>
            <w:tcW w:w="4320" w:type="dxa"/>
            <w:vAlign w:val="bottom"/>
            <w:tcBorders>
              <w:top w:val="single" w:sz="8" w:color="D2EE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-43815</wp:posOffset>
            </wp:positionV>
            <wp:extent cx="2463800"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5">
                      <a:extLst>
                        <a:ext uri="{28A0092B-C50C-407E-A947-70E740481C1C}"/>
                      </a:extLst>
                    </a:blip>
                    <a:srcRect/>
                    <a:stretch>
                      <a:fillRect/>
                    </a:stretch>
                  </pic:blipFill>
                  <pic:spPr bwMode="auto">
                    <a:xfrm>
                      <a:off x="0" y="0"/>
                      <a:ext cx="2463800" cy="50800"/>
                    </a:xfrm>
                    <a:prstGeom prst="rect">
                      <a:avLst/>
                    </a:prstGeom>
                    <a:noFill/>
                  </pic:spPr>
                </pic:pic>
              </a:graphicData>
            </a:graphic>
          </wp:anchor>
        </w:drawing>
      </w:r>
    </w:p>
    <w:p>
      <w:pPr>
        <w:spacing w:after="0" w:line="227" w:lineRule="exact"/>
        <w:rPr>
          <w:sz w:val="20"/>
          <w:szCs w:val="20"/>
          <w:color w:val="auto"/>
        </w:rPr>
      </w:pPr>
    </w:p>
    <w:p>
      <w:pPr>
        <w:ind w:right="180"/>
        <w:spacing w:after="0" w:line="283" w:lineRule="auto"/>
        <w:rPr>
          <w:sz w:val="20"/>
          <w:szCs w:val="20"/>
          <w:color w:val="auto"/>
        </w:rPr>
      </w:pPr>
      <w:r>
        <w:rPr>
          <w:rFonts w:ascii="Arial" w:cs="Arial" w:eastAsia="Arial" w:hAnsi="Arial"/>
          <w:sz w:val="20"/>
          <w:szCs w:val="20"/>
          <w:color w:val="auto"/>
        </w:rPr>
        <w:t>The ‘Other’ category above is primarily comprised of net revenues from Asian and Latin American countries that individually represent 2% or less of our total net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are based on physical locations and are comprised of the net book value of property, plant, and equipment.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4"/>
              </w:rPr>
              <w:t>(thousands of U.S. dollars)</w:t>
            </w:r>
          </w:p>
        </w:tc>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20" w:type="dxa"/>
            <w:vAlign w:val="bottom"/>
          </w:tcPr>
          <w:p>
            <w:pPr>
              <w:spacing w:after="0"/>
              <w:rPr>
                <w:sz w:val="19"/>
                <w:szCs w:val="19"/>
                <w:color w:val="auto"/>
              </w:rPr>
            </w:pPr>
          </w:p>
        </w:tc>
        <w:tc>
          <w:tcPr>
            <w:tcW w:w="980" w:type="dxa"/>
            <w:vAlign w:val="bottom"/>
          </w:tcPr>
          <w:p>
            <w:pPr>
              <w:jc w:val="right"/>
              <w:ind w:right="34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43"/>
              <w:spacing w:after="0"/>
              <w:rPr>
                <w:sz w:val="20"/>
                <w:szCs w:val="20"/>
                <w:color w:val="auto"/>
              </w:rPr>
            </w:pPr>
            <w:r>
              <w:rPr>
                <w:rFonts w:ascii="Arial" w:cs="Arial" w:eastAsia="Arial" w:hAnsi="Arial"/>
                <w:sz w:val="16"/>
                <w:szCs w:val="16"/>
                <w:b w:val="1"/>
                <w:bCs w:val="1"/>
                <w:color w:val="auto"/>
              </w:rPr>
              <w:t>2024</w:t>
            </w:r>
          </w:p>
        </w:tc>
      </w:tr>
      <w:tr>
        <w:trPr>
          <w:trHeight w:val="21"/>
        </w:trPr>
        <w:tc>
          <w:tcPr>
            <w:tcW w:w="40" w:type="dxa"/>
            <w:vAlign w:val="bottom"/>
            <w:tcBorders>
              <w:bottom w:val="single" w:sz="8" w:color="D2EEF5"/>
            </w:tcBorders>
          </w:tcPr>
          <w:p>
            <w:pPr>
              <w:spacing w:after="0" w:line="20" w:lineRule="exact"/>
              <w:rPr>
                <w:sz w:val="1"/>
                <w:szCs w:val="1"/>
                <w:color w:val="auto"/>
              </w:rPr>
            </w:pPr>
          </w:p>
        </w:tc>
        <w:tc>
          <w:tcPr>
            <w:tcW w:w="1320" w:type="dxa"/>
            <w:vAlign w:val="bottom"/>
            <w:tcBorders>
              <w:top w:val="single" w:sz="8" w:color="auto"/>
              <w:bottom w:val="single" w:sz="8" w:color="D2EEF5"/>
            </w:tcBorders>
          </w:tcPr>
          <w:p>
            <w:pPr>
              <w:spacing w:after="0" w:line="20" w:lineRule="exact"/>
              <w:rPr>
                <w:sz w:val="1"/>
                <w:szCs w:val="1"/>
                <w:color w:val="auto"/>
              </w:rPr>
            </w:pPr>
          </w:p>
        </w:tc>
        <w:tc>
          <w:tcPr>
            <w:tcW w:w="420" w:type="dxa"/>
            <w:vAlign w:val="bottom"/>
            <w:tcBorders>
              <w:bottom w:val="single" w:sz="8" w:color="D2EEF5"/>
            </w:tcBorders>
          </w:tcPr>
          <w:p>
            <w:pPr>
              <w:spacing w:after="0" w:line="20" w:lineRule="exact"/>
              <w:rPr>
                <w:sz w:val="1"/>
                <w:szCs w:val="1"/>
                <w:color w:val="auto"/>
              </w:rPr>
            </w:pPr>
          </w:p>
        </w:tc>
        <w:tc>
          <w:tcPr>
            <w:tcW w:w="596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2EEF5"/>
          </w:tcPr>
          <w:p>
            <w:pPr>
              <w:spacing w:after="0"/>
              <w:rPr>
                <w:sz w:val="23"/>
                <w:szCs w:val="23"/>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United States</w:t>
            </w:r>
          </w:p>
        </w:tc>
        <w:tc>
          <w:tcPr>
            <w:tcW w:w="2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620,410</w:t>
            </w:r>
          </w:p>
        </w:tc>
        <w:tc>
          <w:tcPr>
            <w:tcW w:w="340" w:type="dxa"/>
            <w:vAlign w:val="bottom"/>
            <w:gridSpan w:val="2"/>
            <w:shd w:val="clear" w:color="auto" w:fill="D2EEF5"/>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587,707</w:t>
            </w:r>
          </w:p>
        </w:tc>
      </w:tr>
      <w:tr>
        <w:trPr>
          <w:trHeight w:val="278"/>
        </w:trPr>
        <w:tc>
          <w:tcPr>
            <w:tcW w:w="4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20"/>
                <w:szCs w:val="20"/>
                <w:color w:val="auto"/>
              </w:rPr>
              <w:t>Canada</w:t>
            </w:r>
          </w:p>
        </w:tc>
        <w:tc>
          <w:tcPr>
            <w:tcW w:w="2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Arial" w:cs="Arial" w:eastAsia="Arial" w:hAnsi="Arial"/>
                <w:sz w:val="20"/>
                <w:szCs w:val="20"/>
                <w:b w:val="1"/>
                <w:bCs w:val="1"/>
                <w:color w:val="auto"/>
              </w:rPr>
              <w:t>212,350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Arial" w:cs="Arial" w:eastAsia="Arial" w:hAnsi="Arial"/>
                <w:sz w:val="20"/>
                <w:szCs w:val="20"/>
                <w:color w:val="auto"/>
              </w:rPr>
              <w:t>188,498</w:t>
            </w:r>
          </w:p>
        </w:tc>
      </w:tr>
      <w:tr>
        <w:trPr>
          <w:trHeight w:val="292"/>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color w:val="auto"/>
              </w:rPr>
              <w:t>Europe</w:t>
            </w: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3"/>
              <w:spacing w:after="0"/>
              <w:rPr>
                <w:sz w:val="20"/>
                <w:szCs w:val="20"/>
                <w:color w:val="auto"/>
              </w:rPr>
            </w:pPr>
            <w:r>
              <w:rPr>
                <w:rFonts w:ascii="Arial" w:cs="Arial" w:eastAsia="Arial" w:hAnsi="Arial"/>
                <w:sz w:val="20"/>
                <w:szCs w:val="20"/>
                <w:b w:val="1"/>
                <w:bCs w:val="1"/>
                <w:color w:val="auto"/>
              </w:rPr>
              <w:t>204,453</w:t>
            </w:r>
          </w:p>
        </w:tc>
        <w:tc>
          <w:tcPr>
            <w:tcW w:w="120" w:type="dxa"/>
            <w:vAlign w:val="bottom"/>
            <w:shd w:val="clear" w:color="auto" w:fill="D2EEF5"/>
          </w:tcPr>
          <w:p>
            <w:pPr>
              <w:spacing w:after="0"/>
              <w:rPr>
                <w:sz w:val="24"/>
                <w:szCs w:val="24"/>
                <w:color w:val="auto"/>
              </w:rPr>
            </w:pPr>
          </w:p>
        </w:tc>
        <w:tc>
          <w:tcPr>
            <w:tcW w:w="220" w:type="dxa"/>
            <w:vAlign w:val="bottom"/>
            <w:shd w:val="clear" w:color="auto" w:fill="D2EEF5"/>
          </w:tcPr>
          <w:p>
            <w:pPr>
              <w:spacing w:after="0"/>
              <w:rPr>
                <w:sz w:val="24"/>
                <w:szCs w:val="24"/>
                <w:color w:val="auto"/>
              </w:rPr>
            </w:pPr>
          </w:p>
        </w:tc>
        <w:tc>
          <w:tcPr>
            <w:tcW w:w="98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rPr>
              <w:t>174,227</w:t>
            </w:r>
          </w:p>
        </w:tc>
      </w:tr>
      <w:tr>
        <w:trPr>
          <w:trHeight w:val="275"/>
        </w:trPr>
        <w:tc>
          <w:tcPr>
            <w:tcW w:w="40" w:type="dxa"/>
            <w:vAlign w:val="bottom"/>
            <w:tcBorders>
              <w:bottom w:val="single" w:sz="8" w:color="D2EEF5"/>
            </w:tcBorders>
          </w:tcPr>
          <w:p>
            <w:pPr>
              <w:spacing w:after="0"/>
              <w:rPr>
                <w:sz w:val="23"/>
                <w:szCs w:val="23"/>
                <w:color w:val="auto"/>
              </w:rPr>
            </w:pPr>
          </w:p>
        </w:tc>
        <w:tc>
          <w:tcPr>
            <w:tcW w:w="7700" w:type="dxa"/>
            <w:vAlign w:val="bottom"/>
            <w:tcBorders>
              <w:bottom w:val="single" w:sz="8" w:color="D2EEF5"/>
            </w:tcBorders>
            <w:gridSpan w:val="3"/>
          </w:tcPr>
          <w:p>
            <w:pPr>
              <w:spacing w:after="0"/>
              <w:rPr>
                <w:sz w:val="20"/>
                <w:szCs w:val="20"/>
                <w:color w:val="auto"/>
              </w:rPr>
            </w:pPr>
            <w:r>
              <w:rPr>
                <w:rFonts w:ascii="Arial" w:cs="Arial" w:eastAsia="Arial" w:hAnsi="Arial"/>
                <w:sz w:val="20"/>
                <w:szCs w:val="20"/>
                <w:color w:val="auto"/>
              </w:rPr>
              <w:t>Other</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93,351</w:t>
            </w:r>
          </w:p>
        </w:tc>
        <w:tc>
          <w:tcPr>
            <w:tcW w:w="120" w:type="dxa"/>
            <w:vAlign w:val="bottom"/>
            <w:tcBorders>
              <w:bottom w:val="single" w:sz="8" w:color="D2EEF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86,460</w:t>
            </w:r>
          </w:p>
        </w:tc>
      </w:tr>
      <w:tr>
        <w:trPr>
          <w:trHeight w:val="295"/>
        </w:trPr>
        <w:tc>
          <w:tcPr>
            <w:tcW w:w="40" w:type="dxa"/>
            <w:vAlign w:val="bottom"/>
            <w:shd w:val="clear" w:color="auto" w:fill="D2EEF5"/>
          </w:tcPr>
          <w:p>
            <w:pPr>
              <w:spacing w:after="0"/>
              <w:rPr>
                <w:sz w:val="24"/>
                <w:szCs w:val="24"/>
                <w:color w:val="auto"/>
              </w:rPr>
            </w:pPr>
          </w:p>
        </w:tc>
        <w:tc>
          <w:tcPr>
            <w:tcW w:w="7700" w:type="dxa"/>
            <w:vAlign w:val="bottom"/>
            <w:gridSpan w:val="3"/>
            <w:shd w:val="clear" w:color="auto" w:fill="D2EEF5"/>
          </w:tcPr>
          <w:p>
            <w:pPr>
              <w:spacing w:after="0"/>
              <w:rPr>
                <w:sz w:val="20"/>
                <w:szCs w:val="20"/>
                <w:color w:val="auto"/>
              </w:rPr>
            </w:pPr>
            <w:r>
              <w:rPr>
                <w:rFonts w:ascii="Arial" w:cs="Arial" w:eastAsia="Arial" w:hAnsi="Arial"/>
                <w:sz w:val="20"/>
                <w:szCs w:val="20"/>
                <w:b w:val="1"/>
                <w:bCs w:val="1"/>
                <w:color w:val="auto"/>
              </w:rPr>
              <w:t>Total</w:t>
            </w:r>
          </w:p>
        </w:tc>
        <w:tc>
          <w:tcPr>
            <w:tcW w:w="220" w:type="dxa"/>
            <w:vAlign w:val="bottom"/>
            <w:shd w:val="clear" w:color="auto" w:fill="D2EEF5"/>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shd w:val="clear" w:color="auto" w:fill="D2EEF5"/>
          </w:tcPr>
          <w:p>
            <w:pPr>
              <w:jc w:val="right"/>
              <w:ind w:right="3"/>
              <w:spacing w:after="0"/>
              <w:rPr>
                <w:sz w:val="20"/>
                <w:szCs w:val="20"/>
                <w:color w:val="auto"/>
              </w:rPr>
            </w:pPr>
            <w:r>
              <w:rPr>
                <w:rFonts w:ascii="Arial" w:cs="Arial" w:eastAsia="Arial" w:hAnsi="Arial"/>
                <w:sz w:val="20"/>
                <w:szCs w:val="20"/>
                <w:b w:val="1"/>
                <w:bCs w:val="1"/>
                <w:color w:val="auto"/>
                <w:w w:val="96"/>
              </w:rPr>
              <w:t>1,130,564</w:t>
            </w:r>
          </w:p>
        </w:tc>
        <w:tc>
          <w:tcPr>
            <w:tcW w:w="340" w:type="dxa"/>
            <w:vAlign w:val="bottom"/>
            <w:gridSpan w:val="2"/>
            <w:shd w:val="clear" w:color="auto" w:fill="D2EEF5"/>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EF5"/>
          </w:tcPr>
          <w:p>
            <w:pPr>
              <w:jc w:val="right"/>
              <w:ind w:right="3"/>
              <w:spacing w:after="0"/>
              <w:rPr>
                <w:sz w:val="20"/>
                <w:szCs w:val="20"/>
                <w:color w:val="auto"/>
              </w:rPr>
            </w:pPr>
            <w:r>
              <w:rPr>
                <w:rFonts w:ascii="Arial" w:cs="Arial" w:eastAsia="Arial" w:hAnsi="Arial"/>
                <w:sz w:val="20"/>
                <w:szCs w:val="20"/>
                <w:color w:val="auto"/>
                <w:w w:val="96"/>
              </w:rPr>
              <w:t>1,036,892</w:t>
            </w:r>
          </w:p>
        </w:tc>
      </w:tr>
      <w:tr>
        <w:trPr>
          <w:trHeight w:val="20"/>
        </w:trPr>
        <w:tc>
          <w:tcPr>
            <w:tcW w:w="40" w:type="dxa"/>
            <w:vAlign w:val="bottom"/>
            <w:tcBorders>
              <w:top w:val="single" w:sz="8" w:color="D2EEF5"/>
            </w:tcBorders>
          </w:tcPr>
          <w:p>
            <w:pPr>
              <w:spacing w:after="0" w:line="20" w:lineRule="exact"/>
              <w:rPr>
                <w:sz w:val="1"/>
                <w:szCs w:val="1"/>
                <w:color w:val="auto"/>
              </w:rPr>
            </w:pPr>
          </w:p>
        </w:tc>
        <w:tc>
          <w:tcPr>
            <w:tcW w:w="1320" w:type="dxa"/>
            <w:vAlign w:val="bottom"/>
            <w:tcBorders>
              <w:top w:val="single" w:sz="8" w:color="D2EEF5"/>
            </w:tcBorders>
          </w:tcPr>
          <w:p>
            <w:pPr>
              <w:spacing w:after="0" w:line="20" w:lineRule="exact"/>
              <w:rPr>
                <w:sz w:val="1"/>
                <w:szCs w:val="1"/>
                <w:color w:val="auto"/>
              </w:rPr>
            </w:pPr>
          </w:p>
        </w:tc>
        <w:tc>
          <w:tcPr>
            <w:tcW w:w="420" w:type="dxa"/>
            <w:vAlign w:val="bottom"/>
            <w:tcBorders>
              <w:top w:val="single" w:sz="8" w:color="D2EEF5"/>
            </w:tcBorders>
          </w:tcPr>
          <w:p>
            <w:pPr>
              <w:spacing w:after="0" w:line="20" w:lineRule="exact"/>
              <w:rPr>
                <w:sz w:val="1"/>
                <w:szCs w:val="1"/>
                <w:color w:val="auto"/>
              </w:rPr>
            </w:pPr>
          </w:p>
        </w:tc>
        <w:tc>
          <w:tcPr>
            <w:tcW w:w="5960" w:type="dxa"/>
            <w:vAlign w:val="bottom"/>
            <w:tcBorders>
              <w:top w:val="single" w:sz="8" w:color="D2EE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E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-43815</wp:posOffset>
            </wp:positionV>
            <wp:extent cx="1625600"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6">
                      <a:extLst>
                        <a:ext uri="{28A0092B-C50C-407E-A947-70E740481C1C}"/>
                      </a:extLst>
                    </a:blip>
                    <a:srcRect/>
                    <a:stretch>
                      <a:fillRect/>
                    </a:stretch>
                  </pic:blipFill>
                  <pic:spPr bwMode="auto">
                    <a:xfrm>
                      <a:off x="0" y="0"/>
                      <a:ext cx="1625600" cy="50800"/>
                    </a:xfrm>
                    <a:prstGeom prst="rect">
                      <a:avLst/>
                    </a:prstGeom>
                    <a:noFill/>
                  </pic:spPr>
                </pic:pic>
              </a:graphicData>
            </a:graphic>
          </wp:anchor>
        </w:drawing>
      </w:r>
    </w:p>
    <w:p>
      <w:pPr>
        <w:spacing w:after="0" w:line="227" w:lineRule="exact"/>
        <w:rPr>
          <w:sz w:val="20"/>
          <w:szCs w:val="20"/>
          <w:color w:val="auto"/>
        </w:rPr>
      </w:pPr>
    </w:p>
    <w:p>
      <w:pPr>
        <w:jc w:val="both"/>
        <w:ind w:right="80"/>
        <w:spacing w:after="0" w:line="283" w:lineRule="auto"/>
        <w:rPr>
          <w:sz w:val="20"/>
          <w:szCs w:val="20"/>
          <w:color w:val="auto"/>
        </w:rPr>
      </w:pPr>
      <w:r>
        <w:rPr>
          <w:rFonts w:ascii="Arial" w:cs="Arial" w:eastAsia="Arial" w:hAnsi="Arial"/>
          <w:sz w:val="20"/>
          <w:szCs w:val="20"/>
          <w:color w:val="auto"/>
        </w:rPr>
        <w:t>The ‘Other’ category above is primarily comprised of long-lived assets in Asian and Latin American countries that individually represent 3% or less of our total long-lived assets.</w:t>
      </w:r>
    </w:p>
    <w:p>
      <w:pPr>
        <w:sectPr>
          <w:pgSz w:w="11880" w:h="15480" w:orient="portrait"/>
          <w:cols w:equalWidth="0" w:num="1">
            <w:col w:w="10260"/>
          </w:cols>
          <w:pgMar w:left="820" w:top="42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880" w:h="15480" w:orient="portrait"/>
          <w:cols w:equalWidth="0" w:num="1">
            <w:col w:w="10260"/>
          </w:cols>
          <w:pgMar w:left="820" w:top="422" w:right="800" w:bottom="0" w:gutter="0" w:footer="0" w:header="0"/>
          <w:type w:val="continuous"/>
        </w:sectPr>
      </w:pPr>
    </w:p>
    <w:bookmarkStart w:id="117" w:name="page118"/>
    <w:bookmarkEnd w:id="117"/>
    <w:p>
      <w:pPr>
        <w:ind w:left="4170"/>
        <w:spacing w:after="0"/>
        <w:rPr>
          <w:sz w:val="20"/>
          <w:szCs w:val="20"/>
          <w:color w:val="auto"/>
        </w:rPr>
      </w:pPr>
      <w:r>
        <w:rPr>
          <w:rFonts w:ascii="Arial" w:cs="Arial" w:eastAsia="Arial" w:hAnsi="Arial"/>
          <w:sz w:val="20"/>
          <w:szCs w:val="20"/>
          <w:color w:val="auto"/>
        </w:rPr>
        <w:t>Sotera Health Company</w:t>
      </w:r>
    </w:p>
    <w:p>
      <w:pPr>
        <w:spacing w:after="0" w:line="70" w:lineRule="exact"/>
        <w:rPr>
          <w:sz w:val="20"/>
          <w:szCs w:val="20"/>
          <w:color w:val="auto"/>
        </w:rPr>
      </w:pPr>
    </w:p>
    <w:p>
      <w:pPr>
        <w:ind w:left="3150"/>
        <w:spacing w:after="0"/>
        <w:rPr>
          <w:sz w:val="20"/>
          <w:szCs w:val="20"/>
          <w:color w:val="auto"/>
        </w:rPr>
      </w:pPr>
      <w:r>
        <w:rPr>
          <w:rFonts w:ascii="Arial" w:cs="Arial" w:eastAsia="Arial" w:hAnsi="Arial"/>
          <w:sz w:val="20"/>
          <w:szCs w:val="20"/>
          <w:color w:val="auto"/>
        </w:rPr>
        <w:t>Schedule II – Valuation and Qualifying Accounts</w:t>
      </w:r>
    </w:p>
    <w:p>
      <w:pPr>
        <w:spacing w:after="0" w:line="7"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i w:val="1"/>
          <w:iCs w:val="1"/>
          <w:color w:val="auto"/>
        </w:rPr>
        <w:t>(in thousands)</w:t>
      </w:r>
    </w:p>
    <w:p>
      <w:pPr>
        <w:spacing w:after="0" w:line="200" w:lineRule="exact"/>
        <w:rPr>
          <w:sz w:val="20"/>
          <w:szCs w:val="20"/>
          <w:color w:val="auto"/>
        </w:rPr>
      </w:pPr>
    </w:p>
    <w:p>
      <w:pPr>
        <w:spacing w:after="0" w:line="39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center"/>
              <w:ind w:right="67"/>
              <w:spacing w:after="0"/>
              <w:rPr>
                <w:sz w:val="20"/>
                <w:szCs w:val="20"/>
                <w:color w:val="auto"/>
              </w:rPr>
            </w:pPr>
            <w:r>
              <w:rPr>
                <w:rFonts w:ascii="Arial" w:cs="Arial" w:eastAsia="Arial" w:hAnsi="Arial"/>
                <w:sz w:val="16"/>
                <w:szCs w:val="16"/>
                <w:b w:val="1"/>
                <w:bCs w:val="1"/>
                <w:color w:val="auto"/>
                <w:w w:val="87"/>
              </w:rPr>
              <w:t>Balance at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08"/>
              <w:spacing w:after="0"/>
              <w:rPr>
                <w:sz w:val="20"/>
                <w:szCs w:val="20"/>
                <w:color w:val="auto"/>
              </w:rPr>
            </w:pPr>
            <w:r>
              <w:rPr>
                <w:rFonts w:ascii="Arial" w:cs="Arial" w:eastAsia="Arial" w:hAnsi="Arial"/>
                <w:sz w:val="16"/>
                <w:szCs w:val="16"/>
                <w:b w:val="1"/>
                <w:bCs w:val="1"/>
                <w:color w:val="auto"/>
                <w:w w:val="90"/>
              </w:rPr>
              <w:t>Charges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8"/>
              <w:spacing w:after="0" w:line="160" w:lineRule="exact"/>
              <w:rPr>
                <w:sz w:val="20"/>
                <w:szCs w:val="20"/>
                <w:color w:val="auto"/>
              </w:rPr>
            </w:pPr>
            <w:r>
              <w:rPr>
                <w:rFonts w:ascii="Arial" w:cs="Arial" w:eastAsia="Arial" w:hAnsi="Arial"/>
                <w:sz w:val="16"/>
                <w:szCs w:val="16"/>
                <w:b w:val="1"/>
                <w:bCs w:val="1"/>
                <w:color w:val="auto"/>
                <w:w w:val="89"/>
              </w:rPr>
              <w:t>(credits) to</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w w:val="95"/>
              </w:rPr>
              <w:t>Translation</w:t>
            </w:r>
          </w:p>
        </w:tc>
        <w:tc>
          <w:tcPr>
            <w:tcW w:w="120" w:type="dxa"/>
            <w:vAlign w:val="bottom"/>
          </w:tcPr>
          <w:p>
            <w:pPr>
              <w:spacing w:after="0"/>
              <w:rPr>
                <w:sz w:val="13"/>
                <w:szCs w:val="13"/>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Balance at End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3"/>
                <w:szCs w:val="13"/>
                <w:color w:val="auto"/>
              </w:rPr>
            </w:pPr>
          </w:p>
        </w:tc>
        <w:tc>
          <w:tcPr>
            <w:tcW w:w="1060" w:type="dxa"/>
            <w:vAlign w:val="bottom"/>
          </w:tcPr>
          <w:p>
            <w:pPr>
              <w:jc w:val="center"/>
              <w:ind w:right="67"/>
              <w:spacing w:after="0" w:line="160" w:lineRule="exact"/>
              <w:rPr>
                <w:sz w:val="20"/>
                <w:szCs w:val="20"/>
                <w:color w:val="auto"/>
              </w:rPr>
            </w:pPr>
            <w:r>
              <w:rPr>
                <w:rFonts w:ascii="Arial" w:cs="Arial" w:eastAsia="Arial" w:hAnsi="Arial"/>
                <w:sz w:val="16"/>
                <w:szCs w:val="16"/>
                <w:b w:val="1"/>
                <w:bCs w:val="1"/>
                <w:color w:val="auto"/>
                <w:w w:val="87"/>
              </w:rPr>
              <w:t>Beginning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8"/>
              <w:spacing w:after="0" w:line="160" w:lineRule="exact"/>
              <w:rPr>
                <w:sz w:val="20"/>
                <w:szCs w:val="20"/>
                <w:color w:val="auto"/>
              </w:rPr>
            </w:pPr>
            <w:r>
              <w:rPr>
                <w:rFonts w:ascii="Arial" w:cs="Arial" w:eastAsia="Arial" w:hAnsi="Arial"/>
                <w:sz w:val="16"/>
                <w:szCs w:val="16"/>
                <w:b w:val="1"/>
                <w:bCs w:val="1"/>
                <w:color w:val="auto"/>
                <w:w w:val="82"/>
              </w:rPr>
              <w:t>costs and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w w:val="88"/>
              </w:rPr>
              <w:t>Deductions</w:t>
            </w:r>
            <w:r>
              <w:rPr>
                <w:rFonts w:ascii="Arial" w:cs="Arial" w:eastAsia="Arial" w:hAnsi="Arial"/>
                <w:sz w:val="10"/>
                <w:szCs w:val="10"/>
                <w:b w:val="1"/>
                <w:bCs w:val="1"/>
                <w:color w:val="auto"/>
                <w:w w:val="88"/>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7"/>
              <w:spacing w:after="0" w:line="174" w:lineRule="exact"/>
              <w:rPr>
                <w:sz w:val="20"/>
                <w:szCs w:val="20"/>
                <w:color w:val="auto"/>
              </w:rPr>
            </w:pPr>
            <w:r>
              <w:rPr>
                <w:rFonts w:ascii="Arial" w:cs="Arial" w:eastAsia="Arial" w:hAnsi="Arial"/>
                <w:sz w:val="16"/>
                <w:szCs w:val="16"/>
                <w:b w:val="1"/>
                <w:bCs w:val="1"/>
                <w:color w:val="auto"/>
                <w:w w:val="92"/>
              </w:rPr>
              <w:t>Period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08"/>
              <w:spacing w:after="0" w:line="174" w:lineRule="exact"/>
              <w:rPr>
                <w:sz w:val="20"/>
                <w:szCs w:val="20"/>
                <w:color w:val="auto"/>
              </w:rPr>
            </w:pPr>
            <w:r>
              <w:rPr>
                <w:rFonts w:ascii="Arial" w:cs="Arial" w:eastAsia="Arial" w:hAnsi="Arial"/>
                <w:sz w:val="16"/>
                <w:szCs w:val="16"/>
                <w:b w:val="1"/>
                <w:bCs w:val="1"/>
                <w:color w:val="auto"/>
                <w:w w:val="84"/>
              </w:rPr>
              <w:t>expense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3"/>
              <w:spacing w:after="0" w:line="174" w:lineRule="exact"/>
              <w:rPr>
                <w:sz w:val="20"/>
                <w:szCs w:val="20"/>
                <w:color w:val="auto"/>
              </w:rPr>
            </w:pPr>
            <w:r>
              <w:rPr>
                <w:rFonts w:ascii="Arial" w:cs="Arial" w:eastAsia="Arial" w:hAnsi="Arial"/>
                <w:sz w:val="16"/>
                <w:szCs w:val="16"/>
                <w:b w:val="1"/>
                <w:bCs w:val="1"/>
                <w:color w:val="auto"/>
                <w:w w:val="97"/>
              </w:rPr>
              <w:t>Adjustments</w:t>
            </w:r>
            <w:r>
              <w:rPr>
                <w:rFonts w:ascii="Arial" w:cs="Arial" w:eastAsia="Arial" w:hAnsi="Arial"/>
                <w:sz w:val="10"/>
                <w:szCs w:val="10"/>
                <w:b w:val="1"/>
                <w:bCs w:val="1"/>
                <w:color w:val="auto"/>
                <w:w w:val="97"/>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03"/>
              <w:spacing w:after="0" w:line="174" w:lineRule="exact"/>
              <w:rPr>
                <w:sz w:val="20"/>
                <w:szCs w:val="20"/>
                <w:color w:val="auto"/>
              </w:rPr>
            </w:pPr>
            <w:r>
              <w:rPr>
                <w:rFonts w:ascii="Arial" w:cs="Arial" w:eastAsia="Arial" w:hAnsi="Arial"/>
                <w:sz w:val="16"/>
                <w:szCs w:val="16"/>
                <w:b w:val="1"/>
                <w:bCs w:val="1"/>
                <w:color w:val="auto"/>
                <w:w w:val="97"/>
              </w:rPr>
              <w:t>of Period</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D2EEF5"/>
          </w:tcPr>
          <w:p>
            <w:pPr>
              <w:spacing w:after="0"/>
              <w:rPr>
                <w:sz w:val="24"/>
                <w:szCs w:val="24"/>
                <w:color w:val="auto"/>
              </w:rPr>
            </w:pPr>
          </w:p>
        </w:tc>
        <w:tc>
          <w:tcPr>
            <w:tcW w:w="37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Year Ended December 31, 2025</w:t>
            </w:r>
          </w:p>
        </w:tc>
        <w:tc>
          <w:tcPr>
            <w:tcW w:w="140" w:type="dxa"/>
            <w:vAlign w:val="bottom"/>
            <w:shd w:val="clear" w:color="auto" w:fill="D2EEF5"/>
          </w:tcPr>
          <w:p>
            <w:pPr>
              <w:spacing w:after="0"/>
              <w:rPr>
                <w:sz w:val="24"/>
                <w:szCs w:val="24"/>
                <w:color w:val="auto"/>
              </w:rPr>
            </w:pPr>
          </w:p>
        </w:tc>
        <w:tc>
          <w:tcPr>
            <w:tcW w:w="106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40" w:type="dxa"/>
            <w:vAlign w:val="bottom"/>
            <w:shd w:val="clear" w:color="auto" w:fill="D2EEF5"/>
          </w:tcPr>
          <w:p>
            <w:pPr>
              <w:spacing w:after="0"/>
              <w:rPr>
                <w:sz w:val="24"/>
                <w:szCs w:val="24"/>
                <w:color w:val="auto"/>
              </w:rPr>
            </w:pPr>
          </w:p>
        </w:tc>
        <w:tc>
          <w:tcPr>
            <w:tcW w:w="106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0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00" w:type="dxa"/>
            <w:vAlign w:val="bottom"/>
            <w:shd w:val="clear" w:color="auto" w:fill="D2EEF5"/>
          </w:tcPr>
          <w:p>
            <w:pPr>
              <w:spacing w:after="0"/>
              <w:rPr>
                <w:sz w:val="24"/>
                <w:szCs w:val="24"/>
                <w:color w:val="auto"/>
              </w:rPr>
            </w:pPr>
          </w:p>
        </w:tc>
        <w:tc>
          <w:tcPr>
            <w:tcW w:w="100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3740" w:type="dxa"/>
            <w:vAlign w:val="bottom"/>
            <w:gridSpan w:val="2"/>
          </w:tcPr>
          <w:p>
            <w:pPr>
              <w:ind w:left="480"/>
              <w:spacing w:after="0"/>
              <w:rPr>
                <w:sz w:val="20"/>
                <w:szCs w:val="20"/>
                <w:color w:val="auto"/>
              </w:rPr>
            </w:pPr>
            <w:r>
              <w:rPr>
                <w:rFonts w:ascii="Arial" w:cs="Arial" w:eastAsia="Arial" w:hAnsi="Arial"/>
                <w:sz w:val="20"/>
                <w:szCs w:val="20"/>
                <w:color w:val="auto"/>
              </w:rPr>
              <w:t>Deducted from asset accounts: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shd w:val="clear" w:color="auto" w:fill="D2EEF5"/>
          </w:tcPr>
          <w:p>
            <w:pPr>
              <w:spacing w:after="0"/>
              <w:rPr>
                <w:sz w:val="17"/>
                <w:szCs w:val="17"/>
                <w:color w:val="auto"/>
              </w:rPr>
            </w:pPr>
          </w:p>
        </w:tc>
        <w:tc>
          <w:tcPr>
            <w:tcW w:w="800" w:type="dxa"/>
            <w:vAlign w:val="bottom"/>
            <w:shd w:val="clear" w:color="auto" w:fill="D2EEF5"/>
          </w:tcPr>
          <w:p>
            <w:pPr>
              <w:spacing w:after="0"/>
              <w:rPr>
                <w:sz w:val="17"/>
                <w:szCs w:val="17"/>
                <w:color w:val="auto"/>
              </w:rPr>
            </w:pPr>
          </w:p>
        </w:tc>
        <w:tc>
          <w:tcPr>
            <w:tcW w:w="2940" w:type="dxa"/>
            <w:vAlign w:val="bottom"/>
            <w:shd w:val="clear" w:color="auto" w:fill="D2EEF5"/>
          </w:tcPr>
          <w:p>
            <w:pPr>
              <w:ind w:left="200"/>
              <w:spacing w:after="0" w:line="199" w:lineRule="exact"/>
              <w:rPr>
                <w:sz w:val="20"/>
                <w:szCs w:val="20"/>
                <w:color w:val="auto"/>
              </w:rPr>
            </w:pPr>
            <w:r>
              <w:rPr>
                <w:rFonts w:ascii="Arial" w:cs="Arial" w:eastAsia="Arial" w:hAnsi="Arial"/>
                <w:sz w:val="20"/>
                <w:szCs w:val="20"/>
                <w:color w:val="auto"/>
              </w:rPr>
              <w:t>Allowance for uncollectible</w:t>
            </w:r>
          </w:p>
        </w:tc>
        <w:tc>
          <w:tcPr>
            <w:tcW w:w="140" w:type="dxa"/>
            <w:vAlign w:val="bottom"/>
            <w:vMerge w:val="restart"/>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shd w:val="clear" w:color="auto" w:fill="D2EEF5"/>
          </w:tcPr>
          <w:p>
            <w:pPr>
              <w:jc w:val="right"/>
              <w:ind w:right="7"/>
              <w:spacing w:after="0"/>
              <w:rPr>
                <w:sz w:val="20"/>
                <w:szCs w:val="20"/>
                <w:color w:val="auto"/>
              </w:rPr>
            </w:pPr>
            <w:r>
              <w:rPr>
                <w:rFonts w:ascii="Arial" w:cs="Arial" w:eastAsia="Arial" w:hAnsi="Arial"/>
                <w:sz w:val="20"/>
                <w:szCs w:val="20"/>
                <w:color w:val="auto"/>
              </w:rPr>
              <w:t>2,532</w:t>
            </w:r>
          </w:p>
        </w:tc>
        <w:tc>
          <w:tcPr>
            <w:tcW w:w="300" w:type="dxa"/>
            <w:vAlign w:val="bottom"/>
            <w:gridSpan w:val="2"/>
            <w:vMerge w:val="restart"/>
            <w:shd w:val="clear" w:color="auto" w:fill="D2EEF5"/>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D2EEF5"/>
          </w:tcPr>
          <w:p>
            <w:pPr>
              <w:jc w:val="right"/>
              <w:ind w:right="8"/>
              <w:spacing w:after="0"/>
              <w:rPr>
                <w:sz w:val="20"/>
                <w:szCs w:val="20"/>
                <w:color w:val="auto"/>
              </w:rPr>
            </w:pPr>
            <w:r>
              <w:rPr>
                <w:rFonts w:ascii="Arial" w:cs="Arial" w:eastAsia="Arial" w:hAnsi="Arial"/>
                <w:sz w:val="20"/>
                <w:szCs w:val="20"/>
                <w:color w:val="auto"/>
              </w:rPr>
              <w:t>2,119</w:t>
            </w:r>
          </w:p>
        </w:tc>
        <w:tc>
          <w:tcPr>
            <w:tcW w:w="260" w:type="dxa"/>
            <w:vAlign w:val="bottom"/>
            <w:gridSpan w:val="2"/>
            <w:vMerge w:val="restart"/>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shd w:val="clear" w:color="auto" w:fill="D2EEF5"/>
          </w:tcPr>
          <w:p>
            <w:pPr>
              <w:jc w:val="right"/>
              <w:spacing w:after="0"/>
              <w:rPr>
                <w:sz w:val="20"/>
                <w:szCs w:val="20"/>
                <w:color w:val="auto"/>
              </w:rPr>
            </w:pPr>
            <w:r>
              <w:rPr>
                <w:rFonts w:ascii="Arial" w:cs="Arial" w:eastAsia="Arial" w:hAnsi="Arial"/>
                <w:sz w:val="20"/>
                <w:szCs w:val="20"/>
                <w:color w:val="auto"/>
              </w:rPr>
              <w:t>(1,746)</w:t>
            </w:r>
          </w:p>
        </w:tc>
        <w:tc>
          <w:tcPr>
            <w:tcW w:w="280" w:type="dxa"/>
            <w:vAlign w:val="bottom"/>
            <w:gridSpan w:val="2"/>
            <w:vMerge w:val="restart"/>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D2EEF5"/>
          </w:tcPr>
          <w:p>
            <w:pPr>
              <w:jc w:val="right"/>
              <w:ind w:right="3"/>
              <w:spacing w:after="0"/>
              <w:rPr>
                <w:sz w:val="20"/>
                <w:szCs w:val="20"/>
                <w:color w:val="auto"/>
              </w:rPr>
            </w:pPr>
            <w:r>
              <w:rPr>
                <w:rFonts w:ascii="Arial" w:cs="Arial" w:eastAsia="Arial" w:hAnsi="Arial"/>
                <w:sz w:val="20"/>
                <w:szCs w:val="20"/>
                <w:color w:val="auto"/>
              </w:rPr>
              <w:t>63</w:t>
            </w:r>
          </w:p>
        </w:tc>
        <w:tc>
          <w:tcPr>
            <w:tcW w:w="320" w:type="dxa"/>
            <w:vAlign w:val="bottom"/>
            <w:gridSpan w:val="2"/>
            <w:vMerge w:val="restart"/>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D2EEF5"/>
          </w:tcPr>
          <w:p>
            <w:pPr>
              <w:jc w:val="right"/>
              <w:ind w:right="3"/>
              <w:spacing w:after="0"/>
              <w:rPr>
                <w:sz w:val="20"/>
                <w:szCs w:val="20"/>
                <w:color w:val="auto"/>
              </w:rPr>
            </w:pPr>
            <w:r>
              <w:rPr>
                <w:rFonts w:ascii="Arial" w:cs="Arial" w:eastAsia="Arial" w:hAnsi="Arial"/>
                <w:sz w:val="20"/>
                <w:szCs w:val="20"/>
                <w:color w:val="auto"/>
              </w:rPr>
              <w:t>2,968</w:t>
            </w:r>
          </w:p>
        </w:tc>
        <w:tc>
          <w:tcPr>
            <w:tcW w:w="0" w:type="dxa"/>
            <w:vAlign w:val="bottom"/>
          </w:tcPr>
          <w:p>
            <w:pPr>
              <w:spacing w:after="0"/>
              <w:rPr>
                <w:sz w:val="1"/>
                <w:szCs w:val="1"/>
                <w:color w:val="auto"/>
              </w:rPr>
            </w:pPr>
          </w:p>
        </w:tc>
      </w:tr>
      <w:tr>
        <w:trPr>
          <w:trHeight w:val="273"/>
        </w:trPr>
        <w:tc>
          <w:tcPr>
            <w:tcW w:w="40" w:type="dxa"/>
            <w:vAlign w:val="bottom"/>
            <w:shd w:val="clear" w:color="auto" w:fill="D2EEF5"/>
          </w:tcPr>
          <w:p>
            <w:pPr>
              <w:spacing w:after="0"/>
              <w:rPr>
                <w:sz w:val="23"/>
                <w:szCs w:val="23"/>
                <w:color w:val="auto"/>
              </w:rPr>
            </w:pPr>
          </w:p>
        </w:tc>
        <w:tc>
          <w:tcPr>
            <w:tcW w:w="800" w:type="dxa"/>
            <w:vAlign w:val="bottom"/>
            <w:shd w:val="clear" w:color="auto" w:fill="D2EEF5"/>
          </w:tcPr>
          <w:p>
            <w:pPr>
              <w:spacing w:after="0"/>
              <w:rPr>
                <w:sz w:val="23"/>
                <w:szCs w:val="23"/>
                <w:color w:val="auto"/>
              </w:rPr>
            </w:pPr>
          </w:p>
        </w:tc>
        <w:tc>
          <w:tcPr>
            <w:tcW w:w="2940" w:type="dxa"/>
            <w:vAlign w:val="bottom"/>
            <w:shd w:val="clear" w:color="auto" w:fill="D2EEF5"/>
          </w:tcPr>
          <w:p>
            <w:pPr>
              <w:ind w:left="460"/>
              <w:spacing w:after="0"/>
              <w:rPr>
                <w:sz w:val="20"/>
                <w:szCs w:val="20"/>
                <w:color w:val="auto"/>
              </w:rPr>
            </w:pPr>
            <w:r>
              <w:rPr>
                <w:rFonts w:ascii="Arial" w:cs="Arial" w:eastAsia="Arial" w:hAnsi="Arial"/>
                <w:sz w:val="20"/>
                <w:szCs w:val="20"/>
                <w:color w:val="auto"/>
              </w:rPr>
              <w:t>accounts receivable</w:t>
            </w:r>
          </w:p>
        </w:tc>
        <w:tc>
          <w:tcPr>
            <w:tcW w:w="140" w:type="dxa"/>
            <w:vAlign w:val="bottom"/>
            <w:vMerge w:val="continue"/>
            <w:shd w:val="clear" w:color="auto" w:fill="D2EEF5"/>
          </w:tcPr>
          <w:p>
            <w:pPr>
              <w:spacing w:after="0"/>
              <w:rPr>
                <w:sz w:val="23"/>
                <w:szCs w:val="23"/>
                <w:color w:val="auto"/>
              </w:rPr>
            </w:pPr>
          </w:p>
        </w:tc>
        <w:tc>
          <w:tcPr>
            <w:tcW w:w="1060" w:type="dxa"/>
            <w:vAlign w:val="bottom"/>
            <w:vMerge w:val="continue"/>
            <w:shd w:val="clear" w:color="auto" w:fill="D2EEF5"/>
          </w:tcPr>
          <w:p>
            <w:pPr>
              <w:spacing w:after="0"/>
              <w:rPr>
                <w:sz w:val="23"/>
                <w:szCs w:val="23"/>
                <w:color w:val="auto"/>
              </w:rPr>
            </w:pPr>
          </w:p>
        </w:tc>
        <w:tc>
          <w:tcPr>
            <w:tcW w:w="300" w:type="dxa"/>
            <w:vAlign w:val="bottom"/>
            <w:gridSpan w:val="2"/>
            <w:vMerge w:val="continue"/>
            <w:shd w:val="clear" w:color="auto" w:fill="D2EEF5"/>
          </w:tcPr>
          <w:p>
            <w:pPr>
              <w:spacing w:after="0"/>
              <w:rPr>
                <w:sz w:val="23"/>
                <w:szCs w:val="23"/>
                <w:color w:val="auto"/>
              </w:rPr>
            </w:pPr>
          </w:p>
        </w:tc>
        <w:tc>
          <w:tcPr>
            <w:tcW w:w="1020" w:type="dxa"/>
            <w:vAlign w:val="bottom"/>
            <w:vMerge w:val="continue"/>
            <w:shd w:val="clear" w:color="auto" w:fill="D2EEF5"/>
          </w:tcPr>
          <w:p>
            <w:pPr>
              <w:spacing w:after="0"/>
              <w:rPr>
                <w:sz w:val="23"/>
                <w:szCs w:val="23"/>
                <w:color w:val="auto"/>
              </w:rPr>
            </w:pPr>
          </w:p>
        </w:tc>
        <w:tc>
          <w:tcPr>
            <w:tcW w:w="260" w:type="dxa"/>
            <w:vAlign w:val="bottom"/>
            <w:gridSpan w:val="2"/>
            <w:vMerge w:val="continue"/>
            <w:shd w:val="clear" w:color="auto" w:fill="D2EEF5"/>
          </w:tcPr>
          <w:p>
            <w:pPr>
              <w:spacing w:after="0"/>
              <w:rPr>
                <w:sz w:val="23"/>
                <w:szCs w:val="23"/>
                <w:color w:val="auto"/>
              </w:rPr>
            </w:pPr>
          </w:p>
        </w:tc>
        <w:tc>
          <w:tcPr>
            <w:tcW w:w="1060" w:type="dxa"/>
            <w:vAlign w:val="bottom"/>
            <w:vMerge w:val="continue"/>
            <w:shd w:val="clear" w:color="auto" w:fill="D2EEF5"/>
          </w:tcPr>
          <w:p>
            <w:pPr>
              <w:spacing w:after="0"/>
              <w:rPr>
                <w:sz w:val="23"/>
                <w:szCs w:val="23"/>
                <w:color w:val="auto"/>
              </w:rPr>
            </w:pPr>
          </w:p>
        </w:tc>
        <w:tc>
          <w:tcPr>
            <w:tcW w:w="280" w:type="dxa"/>
            <w:vAlign w:val="bottom"/>
            <w:gridSpan w:val="2"/>
            <w:vMerge w:val="continue"/>
            <w:shd w:val="clear" w:color="auto" w:fill="D2EEF5"/>
          </w:tcPr>
          <w:p>
            <w:pPr>
              <w:spacing w:after="0"/>
              <w:rPr>
                <w:sz w:val="23"/>
                <w:szCs w:val="23"/>
                <w:color w:val="auto"/>
              </w:rPr>
            </w:pPr>
          </w:p>
        </w:tc>
        <w:tc>
          <w:tcPr>
            <w:tcW w:w="1040" w:type="dxa"/>
            <w:vAlign w:val="bottom"/>
            <w:vMerge w:val="continue"/>
            <w:shd w:val="clear" w:color="auto" w:fill="D2EEF5"/>
          </w:tcPr>
          <w:p>
            <w:pPr>
              <w:spacing w:after="0"/>
              <w:rPr>
                <w:sz w:val="23"/>
                <w:szCs w:val="23"/>
                <w:color w:val="auto"/>
              </w:rPr>
            </w:pPr>
          </w:p>
        </w:tc>
        <w:tc>
          <w:tcPr>
            <w:tcW w:w="320" w:type="dxa"/>
            <w:vAlign w:val="bottom"/>
            <w:gridSpan w:val="2"/>
            <w:vMerge w:val="continue"/>
            <w:shd w:val="clear" w:color="auto" w:fill="D2EEF5"/>
          </w:tcPr>
          <w:p>
            <w:pPr>
              <w:spacing w:after="0"/>
              <w:rPr>
                <w:sz w:val="23"/>
                <w:szCs w:val="23"/>
                <w:color w:val="auto"/>
              </w:rPr>
            </w:pPr>
          </w:p>
        </w:tc>
        <w:tc>
          <w:tcPr>
            <w:tcW w:w="1000" w:type="dxa"/>
            <w:vAlign w:val="bottom"/>
            <w:vMerge w:val="continue"/>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40" w:type="dxa"/>
            <w:vAlign w:val="bottom"/>
          </w:tcPr>
          <w:p>
            <w:pPr>
              <w:ind w:left="200"/>
              <w:spacing w:after="0" w:line="192" w:lineRule="exact"/>
              <w:rPr>
                <w:sz w:val="20"/>
                <w:szCs w:val="20"/>
                <w:color w:val="auto"/>
              </w:rPr>
            </w:pPr>
            <w:r>
              <w:rPr>
                <w:rFonts w:ascii="Arial" w:cs="Arial" w:eastAsia="Arial" w:hAnsi="Arial"/>
                <w:sz w:val="20"/>
                <w:szCs w:val="20"/>
                <w:color w:val="auto"/>
              </w:rPr>
              <w:t>Deferred tax asset valuation</w:t>
            </w:r>
          </w:p>
        </w:tc>
        <w:tc>
          <w:tcPr>
            <w:tcW w:w="140" w:type="dxa"/>
            <w:vAlign w:val="bottom"/>
          </w:tcPr>
          <w:p>
            <w:pPr>
              <w:spacing w:after="0"/>
              <w:rPr>
                <w:sz w:val="16"/>
                <w:szCs w:val="16"/>
                <w:color w:val="auto"/>
              </w:rPr>
            </w:pPr>
          </w:p>
        </w:tc>
        <w:tc>
          <w:tcPr>
            <w:tcW w:w="1060" w:type="dxa"/>
            <w:vAlign w:val="bottom"/>
            <w:vMerge w:val="restart"/>
          </w:tcPr>
          <w:p>
            <w:pPr>
              <w:jc w:val="right"/>
              <w:ind w:right="7"/>
              <w:spacing w:after="0"/>
              <w:rPr>
                <w:sz w:val="20"/>
                <w:szCs w:val="20"/>
                <w:color w:val="auto"/>
              </w:rPr>
            </w:pPr>
            <w:r>
              <w:rPr>
                <w:rFonts w:ascii="Arial" w:cs="Arial" w:eastAsia="Arial" w:hAnsi="Arial"/>
                <w:sz w:val="20"/>
                <w:szCs w:val="20"/>
                <w:color w:val="auto"/>
              </w:rPr>
              <w:t>160,595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20"/>
                <w:szCs w:val="20"/>
                <w:color w:val="auto"/>
              </w:rPr>
              <w:t>11,135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20"/>
                <w:szCs w:val="20"/>
                <w:color w:val="auto"/>
              </w:rPr>
              <w:t>564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20"/>
                <w:szCs w:val="20"/>
                <w:color w:val="auto"/>
              </w:rPr>
              <w:t>172,294</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940" w:type="dxa"/>
            <w:vAlign w:val="bottom"/>
          </w:tcPr>
          <w:p>
            <w:pPr>
              <w:ind w:left="460"/>
              <w:spacing w:after="0"/>
              <w:rPr>
                <w:sz w:val="20"/>
                <w:szCs w:val="20"/>
                <w:color w:val="auto"/>
              </w:rPr>
            </w:pPr>
            <w:r>
              <w:rPr>
                <w:rFonts w:ascii="Arial" w:cs="Arial" w:eastAsia="Arial" w:hAnsi="Arial"/>
                <w:sz w:val="20"/>
                <w:szCs w:val="20"/>
                <w:color w:val="auto"/>
              </w:rPr>
              <w:t>allowance</w:t>
            </w:r>
          </w:p>
        </w:tc>
        <w:tc>
          <w:tcPr>
            <w:tcW w:w="1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D2EEF5"/>
          </w:tcPr>
          <w:p>
            <w:pPr>
              <w:spacing w:after="0"/>
              <w:rPr>
                <w:sz w:val="24"/>
                <w:szCs w:val="24"/>
                <w:color w:val="auto"/>
              </w:rPr>
            </w:pPr>
          </w:p>
        </w:tc>
        <w:tc>
          <w:tcPr>
            <w:tcW w:w="37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Year Ended December 31, 2024</w:t>
            </w:r>
          </w:p>
        </w:tc>
        <w:tc>
          <w:tcPr>
            <w:tcW w:w="140" w:type="dxa"/>
            <w:vAlign w:val="bottom"/>
            <w:shd w:val="clear" w:color="auto" w:fill="D2EEF5"/>
          </w:tcPr>
          <w:p>
            <w:pPr>
              <w:spacing w:after="0"/>
              <w:rPr>
                <w:sz w:val="24"/>
                <w:szCs w:val="24"/>
                <w:color w:val="auto"/>
              </w:rPr>
            </w:pPr>
          </w:p>
        </w:tc>
        <w:tc>
          <w:tcPr>
            <w:tcW w:w="106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40" w:type="dxa"/>
            <w:vAlign w:val="bottom"/>
            <w:shd w:val="clear" w:color="auto" w:fill="D2EEF5"/>
          </w:tcPr>
          <w:p>
            <w:pPr>
              <w:spacing w:after="0"/>
              <w:rPr>
                <w:sz w:val="24"/>
                <w:szCs w:val="24"/>
                <w:color w:val="auto"/>
              </w:rPr>
            </w:pPr>
          </w:p>
        </w:tc>
        <w:tc>
          <w:tcPr>
            <w:tcW w:w="106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0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00" w:type="dxa"/>
            <w:vAlign w:val="bottom"/>
            <w:shd w:val="clear" w:color="auto" w:fill="D2EEF5"/>
          </w:tcPr>
          <w:p>
            <w:pPr>
              <w:spacing w:after="0"/>
              <w:rPr>
                <w:sz w:val="24"/>
                <w:szCs w:val="24"/>
                <w:color w:val="auto"/>
              </w:rPr>
            </w:pPr>
          </w:p>
        </w:tc>
        <w:tc>
          <w:tcPr>
            <w:tcW w:w="100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3740" w:type="dxa"/>
            <w:vAlign w:val="bottom"/>
            <w:gridSpan w:val="2"/>
          </w:tcPr>
          <w:p>
            <w:pPr>
              <w:ind w:left="480"/>
              <w:spacing w:after="0"/>
              <w:rPr>
                <w:sz w:val="20"/>
                <w:szCs w:val="20"/>
                <w:color w:val="auto"/>
              </w:rPr>
            </w:pPr>
            <w:r>
              <w:rPr>
                <w:rFonts w:ascii="Arial" w:cs="Arial" w:eastAsia="Arial" w:hAnsi="Arial"/>
                <w:sz w:val="20"/>
                <w:szCs w:val="20"/>
                <w:color w:val="auto"/>
              </w:rPr>
              <w:t>Deducted from asset accounts: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shd w:val="clear" w:color="auto" w:fill="D2EEF5"/>
          </w:tcPr>
          <w:p>
            <w:pPr>
              <w:spacing w:after="0"/>
              <w:rPr>
                <w:sz w:val="17"/>
                <w:szCs w:val="17"/>
                <w:color w:val="auto"/>
              </w:rPr>
            </w:pPr>
          </w:p>
        </w:tc>
        <w:tc>
          <w:tcPr>
            <w:tcW w:w="800" w:type="dxa"/>
            <w:vAlign w:val="bottom"/>
            <w:shd w:val="clear" w:color="auto" w:fill="D2EEF5"/>
          </w:tcPr>
          <w:p>
            <w:pPr>
              <w:spacing w:after="0"/>
              <w:rPr>
                <w:sz w:val="17"/>
                <w:szCs w:val="17"/>
                <w:color w:val="auto"/>
              </w:rPr>
            </w:pPr>
          </w:p>
        </w:tc>
        <w:tc>
          <w:tcPr>
            <w:tcW w:w="2940" w:type="dxa"/>
            <w:vAlign w:val="bottom"/>
            <w:shd w:val="clear" w:color="auto" w:fill="D2EEF5"/>
          </w:tcPr>
          <w:p>
            <w:pPr>
              <w:ind w:left="200"/>
              <w:spacing w:after="0" w:line="199" w:lineRule="exact"/>
              <w:rPr>
                <w:sz w:val="20"/>
                <w:szCs w:val="20"/>
                <w:color w:val="auto"/>
              </w:rPr>
            </w:pPr>
            <w:r>
              <w:rPr>
                <w:rFonts w:ascii="Arial" w:cs="Arial" w:eastAsia="Arial" w:hAnsi="Arial"/>
                <w:sz w:val="20"/>
                <w:szCs w:val="20"/>
                <w:color w:val="auto"/>
              </w:rPr>
              <w:t>Allowance for uncollectible</w:t>
            </w:r>
          </w:p>
        </w:tc>
        <w:tc>
          <w:tcPr>
            <w:tcW w:w="140" w:type="dxa"/>
            <w:vAlign w:val="bottom"/>
            <w:vMerge w:val="restart"/>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shd w:val="clear" w:color="auto" w:fill="D2EEF5"/>
          </w:tcPr>
          <w:p>
            <w:pPr>
              <w:jc w:val="right"/>
              <w:ind w:right="7"/>
              <w:spacing w:after="0"/>
              <w:rPr>
                <w:sz w:val="20"/>
                <w:szCs w:val="20"/>
                <w:color w:val="auto"/>
              </w:rPr>
            </w:pPr>
            <w:r>
              <w:rPr>
                <w:rFonts w:ascii="Arial" w:cs="Arial" w:eastAsia="Arial" w:hAnsi="Arial"/>
                <w:sz w:val="20"/>
                <w:szCs w:val="20"/>
                <w:color w:val="auto"/>
              </w:rPr>
              <w:t>4,689</w:t>
            </w:r>
          </w:p>
        </w:tc>
        <w:tc>
          <w:tcPr>
            <w:tcW w:w="300" w:type="dxa"/>
            <w:vAlign w:val="bottom"/>
            <w:gridSpan w:val="2"/>
            <w:vMerge w:val="restart"/>
            <w:shd w:val="clear" w:color="auto" w:fill="D2EEF5"/>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D2EEF5"/>
          </w:tcPr>
          <w:p>
            <w:pPr>
              <w:jc w:val="right"/>
              <w:spacing w:after="0"/>
              <w:rPr>
                <w:sz w:val="20"/>
                <w:szCs w:val="20"/>
                <w:color w:val="auto"/>
              </w:rPr>
            </w:pPr>
            <w:r>
              <w:rPr>
                <w:rFonts w:ascii="Arial" w:cs="Arial" w:eastAsia="Arial" w:hAnsi="Arial"/>
                <w:sz w:val="20"/>
                <w:szCs w:val="20"/>
                <w:color w:val="auto"/>
              </w:rPr>
              <w:t>(435)</w:t>
            </w:r>
          </w:p>
        </w:tc>
        <w:tc>
          <w:tcPr>
            <w:tcW w:w="260" w:type="dxa"/>
            <w:vAlign w:val="bottom"/>
            <w:gridSpan w:val="2"/>
            <w:vMerge w:val="restart"/>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shd w:val="clear" w:color="auto" w:fill="D2EEF5"/>
          </w:tcPr>
          <w:p>
            <w:pPr>
              <w:jc w:val="right"/>
              <w:spacing w:after="0"/>
              <w:rPr>
                <w:sz w:val="20"/>
                <w:szCs w:val="20"/>
                <w:color w:val="auto"/>
              </w:rPr>
            </w:pPr>
            <w:r>
              <w:rPr>
                <w:rFonts w:ascii="Arial" w:cs="Arial" w:eastAsia="Arial" w:hAnsi="Arial"/>
                <w:sz w:val="20"/>
                <w:szCs w:val="20"/>
                <w:color w:val="auto"/>
              </w:rPr>
              <w:t>(1,580)</w:t>
            </w:r>
          </w:p>
        </w:tc>
        <w:tc>
          <w:tcPr>
            <w:tcW w:w="280" w:type="dxa"/>
            <w:vAlign w:val="bottom"/>
            <w:gridSpan w:val="2"/>
            <w:vMerge w:val="restart"/>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D2EEF5"/>
          </w:tcPr>
          <w:p>
            <w:pPr>
              <w:jc w:val="right"/>
              <w:spacing w:after="0"/>
              <w:rPr>
                <w:sz w:val="20"/>
                <w:szCs w:val="20"/>
                <w:color w:val="auto"/>
              </w:rPr>
            </w:pPr>
            <w:r>
              <w:rPr>
                <w:rFonts w:ascii="Arial" w:cs="Arial" w:eastAsia="Arial" w:hAnsi="Arial"/>
                <w:sz w:val="20"/>
                <w:szCs w:val="20"/>
                <w:color w:val="auto"/>
              </w:rPr>
              <w:t>(142)</w:t>
            </w:r>
          </w:p>
        </w:tc>
        <w:tc>
          <w:tcPr>
            <w:tcW w:w="320" w:type="dxa"/>
            <w:vAlign w:val="bottom"/>
            <w:gridSpan w:val="2"/>
            <w:vMerge w:val="restart"/>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D2EEF5"/>
          </w:tcPr>
          <w:p>
            <w:pPr>
              <w:jc w:val="right"/>
              <w:ind w:right="3"/>
              <w:spacing w:after="0"/>
              <w:rPr>
                <w:sz w:val="20"/>
                <w:szCs w:val="20"/>
                <w:color w:val="auto"/>
              </w:rPr>
            </w:pPr>
            <w:r>
              <w:rPr>
                <w:rFonts w:ascii="Arial" w:cs="Arial" w:eastAsia="Arial" w:hAnsi="Arial"/>
                <w:sz w:val="20"/>
                <w:szCs w:val="20"/>
                <w:color w:val="auto"/>
              </w:rPr>
              <w:t>2,532</w:t>
            </w:r>
          </w:p>
        </w:tc>
        <w:tc>
          <w:tcPr>
            <w:tcW w:w="0" w:type="dxa"/>
            <w:vAlign w:val="bottom"/>
          </w:tcPr>
          <w:p>
            <w:pPr>
              <w:spacing w:after="0"/>
              <w:rPr>
                <w:sz w:val="1"/>
                <w:szCs w:val="1"/>
                <w:color w:val="auto"/>
              </w:rPr>
            </w:pPr>
          </w:p>
        </w:tc>
      </w:tr>
      <w:tr>
        <w:trPr>
          <w:trHeight w:val="273"/>
        </w:trPr>
        <w:tc>
          <w:tcPr>
            <w:tcW w:w="40" w:type="dxa"/>
            <w:vAlign w:val="bottom"/>
            <w:shd w:val="clear" w:color="auto" w:fill="D2EEF5"/>
          </w:tcPr>
          <w:p>
            <w:pPr>
              <w:spacing w:after="0"/>
              <w:rPr>
                <w:sz w:val="23"/>
                <w:szCs w:val="23"/>
                <w:color w:val="auto"/>
              </w:rPr>
            </w:pPr>
          </w:p>
        </w:tc>
        <w:tc>
          <w:tcPr>
            <w:tcW w:w="800" w:type="dxa"/>
            <w:vAlign w:val="bottom"/>
            <w:shd w:val="clear" w:color="auto" w:fill="D2EEF5"/>
          </w:tcPr>
          <w:p>
            <w:pPr>
              <w:spacing w:after="0"/>
              <w:rPr>
                <w:sz w:val="23"/>
                <w:szCs w:val="23"/>
                <w:color w:val="auto"/>
              </w:rPr>
            </w:pPr>
          </w:p>
        </w:tc>
        <w:tc>
          <w:tcPr>
            <w:tcW w:w="2940" w:type="dxa"/>
            <w:vAlign w:val="bottom"/>
            <w:shd w:val="clear" w:color="auto" w:fill="D2EEF5"/>
          </w:tcPr>
          <w:p>
            <w:pPr>
              <w:ind w:left="460"/>
              <w:spacing w:after="0"/>
              <w:rPr>
                <w:sz w:val="20"/>
                <w:szCs w:val="20"/>
                <w:color w:val="auto"/>
              </w:rPr>
            </w:pPr>
            <w:r>
              <w:rPr>
                <w:rFonts w:ascii="Arial" w:cs="Arial" w:eastAsia="Arial" w:hAnsi="Arial"/>
                <w:sz w:val="20"/>
                <w:szCs w:val="20"/>
                <w:color w:val="auto"/>
              </w:rPr>
              <w:t>accounts receivable</w:t>
            </w:r>
          </w:p>
        </w:tc>
        <w:tc>
          <w:tcPr>
            <w:tcW w:w="140" w:type="dxa"/>
            <w:vAlign w:val="bottom"/>
            <w:vMerge w:val="continue"/>
            <w:shd w:val="clear" w:color="auto" w:fill="D2EEF5"/>
          </w:tcPr>
          <w:p>
            <w:pPr>
              <w:spacing w:after="0"/>
              <w:rPr>
                <w:sz w:val="23"/>
                <w:szCs w:val="23"/>
                <w:color w:val="auto"/>
              </w:rPr>
            </w:pPr>
          </w:p>
        </w:tc>
        <w:tc>
          <w:tcPr>
            <w:tcW w:w="1060" w:type="dxa"/>
            <w:vAlign w:val="bottom"/>
            <w:vMerge w:val="continue"/>
            <w:shd w:val="clear" w:color="auto" w:fill="D2EEF5"/>
          </w:tcPr>
          <w:p>
            <w:pPr>
              <w:spacing w:after="0"/>
              <w:rPr>
                <w:sz w:val="23"/>
                <w:szCs w:val="23"/>
                <w:color w:val="auto"/>
              </w:rPr>
            </w:pPr>
          </w:p>
        </w:tc>
        <w:tc>
          <w:tcPr>
            <w:tcW w:w="300" w:type="dxa"/>
            <w:vAlign w:val="bottom"/>
            <w:gridSpan w:val="2"/>
            <w:vMerge w:val="continue"/>
            <w:shd w:val="clear" w:color="auto" w:fill="D2EEF5"/>
          </w:tcPr>
          <w:p>
            <w:pPr>
              <w:spacing w:after="0"/>
              <w:rPr>
                <w:sz w:val="23"/>
                <w:szCs w:val="23"/>
                <w:color w:val="auto"/>
              </w:rPr>
            </w:pPr>
          </w:p>
        </w:tc>
        <w:tc>
          <w:tcPr>
            <w:tcW w:w="1020" w:type="dxa"/>
            <w:vAlign w:val="bottom"/>
            <w:vMerge w:val="continue"/>
            <w:shd w:val="clear" w:color="auto" w:fill="D2EEF5"/>
          </w:tcPr>
          <w:p>
            <w:pPr>
              <w:spacing w:after="0"/>
              <w:rPr>
                <w:sz w:val="23"/>
                <w:szCs w:val="23"/>
                <w:color w:val="auto"/>
              </w:rPr>
            </w:pPr>
          </w:p>
        </w:tc>
        <w:tc>
          <w:tcPr>
            <w:tcW w:w="260" w:type="dxa"/>
            <w:vAlign w:val="bottom"/>
            <w:gridSpan w:val="2"/>
            <w:vMerge w:val="continue"/>
            <w:shd w:val="clear" w:color="auto" w:fill="D2EEF5"/>
          </w:tcPr>
          <w:p>
            <w:pPr>
              <w:spacing w:after="0"/>
              <w:rPr>
                <w:sz w:val="23"/>
                <w:szCs w:val="23"/>
                <w:color w:val="auto"/>
              </w:rPr>
            </w:pPr>
          </w:p>
        </w:tc>
        <w:tc>
          <w:tcPr>
            <w:tcW w:w="1060" w:type="dxa"/>
            <w:vAlign w:val="bottom"/>
            <w:vMerge w:val="continue"/>
            <w:shd w:val="clear" w:color="auto" w:fill="D2EEF5"/>
          </w:tcPr>
          <w:p>
            <w:pPr>
              <w:spacing w:after="0"/>
              <w:rPr>
                <w:sz w:val="23"/>
                <w:szCs w:val="23"/>
                <w:color w:val="auto"/>
              </w:rPr>
            </w:pPr>
          </w:p>
        </w:tc>
        <w:tc>
          <w:tcPr>
            <w:tcW w:w="280" w:type="dxa"/>
            <w:vAlign w:val="bottom"/>
            <w:gridSpan w:val="2"/>
            <w:vMerge w:val="continue"/>
            <w:shd w:val="clear" w:color="auto" w:fill="D2EEF5"/>
          </w:tcPr>
          <w:p>
            <w:pPr>
              <w:spacing w:after="0"/>
              <w:rPr>
                <w:sz w:val="23"/>
                <w:szCs w:val="23"/>
                <w:color w:val="auto"/>
              </w:rPr>
            </w:pPr>
          </w:p>
        </w:tc>
        <w:tc>
          <w:tcPr>
            <w:tcW w:w="1040" w:type="dxa"/>
            <w:vAlign w:val="bottom"/>
            <w:vMerge w:val="continue"/>
            <w:shd w:val="clear" w:color="auto" w:fill="D2EEF5"/>
          </w:tcPr>
          <w:p>
            <w:pPr>
              <w:spacing w:after="0"/>
              <w:rPr>
                <w:sz w:val="23"/>
                <w:szCs w:val="23"/>
                <w:color w:val="auto"/>
              </w:rPr>
            </w:pPr>
          </w:p>
        </w:tc>
        <w:tc>
          <w:tcPr>
            <w:tcW w:w="320" w:type="dxa"/>
            <w:vAlign w:val="bottom"/>
            <w:gridSpan w:val="2"/>
            <w:vMerge w:val="continue"/>
            <w:shd w:val="clear" w:color="auto" w:fill="D2EEF5"/>
          </w:tcPr>
          <w:p>
            <w:pPr>
              <w:spacing w:after="0"/>
              <w:rPr>
                <w:sz w:val="23"/>
                <w:szCs w:val="23"/>
                <w:color w:val="auto"/>
              </w:rPr>
            </w:pPr>
          </w:p>
        </w:tc>
        <w:tc>
          <w:tcPr>
            <w:tcW w:w="1000" w:type="dxa"/>
            <w:vAlign w:val="bottom"/>
            <w:vMerge w:val="continue"/>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40" w:type="dxa"/>
            <w:vAlign w:val="bottom"/>
          </w:tcPr>
          <w:p>
            <w:pPr>
              <w:ind w:left="200"/>
              <w:spacing w:after="0" w:line="192" w:lineRule="exact"/>
              <w:rPr>
                <w:sz w:val="20"/>
                <w:szCs w:val="20"/>
                <w:color w:val="auto"/>
              </w:rPr>
            </w:pPr>
            <w:r>
              <w:rPr>
                <w:rFonts w:ascii="Arial" w:cs="Arial" w:eastAsia="Arial" w:hAnsi="Arial"/>
                <w:sz w:val="20"/>
                <w:szCs w:val="20"/>
                <w:color w:val="auto"/>
              </w:rPr>
              <w:t>Deferred tax asset valuation</w:t>
            </w:r>
          </w:p>
        </w:tc>
        <w:tc>
          <w:tcPr>
            <w:tcW w:w="140" w:type="dxa"/>
            <w:vAlign w:val="bottom"/>
          </w:tcPr>
          <w:p>
            <w:pPr>
              <w:spacing w:after="0"/>
              <w:rPr>
                <w:sz w:val="16"/>
                <w:szCs w:val="16"/>
                <w:color w:val="auto"/>
              </w:rPr>
            </w:pPr>
          </w:p>
        </w:tc>
        <w:tc>
          <w:tcPr>
            <w:tcW w:w="1060" w:type="dxa"/>
            <w:vAlign w:val="bottom"/>
            <w:vMerge w:val="restart"/>
          </w:tcPr>
          <w:p>
            <w:pPr>
              <w:jc w:val="right"/>
              <w:ind w:right="7"/>
              <w:spacing w:after="0"/>
              <w:rPr>
                <w:sz w:val="20"/>
                <w:szCs w:val="20"/>
                <w:color w:val="auto"/>
              </w:rPr>
            </w:pPr>
            <w:r>
              <w:rPr>
                <w:rFonts w:ascii="Arial" w:cs="Arial" w:eastAsia="Arial" w:hAnsi="Arial"/>
                <w:sz w:val="20"/>
                <w:szCs w:val="20"/>
                <w:color w:val="auto"/>
              </w:rPr>
              <w:t>125,435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20"/>
                <w:szCs w:val="20"/>
                <w:color w:val="auto"/>
              </w:rPr>
              <w:t>35,660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(500)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20"/>
                <w:szCs w:val="20"/>
                <w:color w:val="auto"/>
              </w:rPr>
              <w:t>160,595</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940" w:type="dxa"/>
            <w:vAlign w:val="bottom"/>
          </w:tcPr>
          <w:p>
            <w:pPr>
              <w:ind w:left="460"/>
              <w:spacing w:after="0"/>
              <w:rPr>
                <w:sz w:val="20"/>
                <w:szCs w:val="20"/>
                <w:color w:val="auto"/>
              </w:rPr>
            </w:pPr>
            <w:r>
              <w:rPr>
                <w:rFonts w:ascii="Arial" w:cs="Arial" w:eastAsia="Arial" w:hAnsi="Arial"/>
                <w:sz w:val="20"/>
                <w:szCs w:val="20"/>
                <w:color w:val="auto"/>
              </w:rPr>
              <w:t>allowance</w:t>
            </w:r>
          </w:p>
        </w:tc>
        <w:tc>
          <w:tcPr>
            <w:tcW w:w="1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D2EEF5"/>
          </w:tcPr>
          <w:p>
            <w:pPr>
              <w:spacing w:after="0"/>
              <w:rPr>
                <w:sz w:val="24"/>
                <w:szCs w:val="24"/>
                <w:color w:val="auto"/>
              </w:rPr>
            </w:pPr>
          </w:p>
        </w:tc>
        <w:tc>
          <w:tcPr>
            <w:tcW w:w="3740" w:type="dxa"/>
            <w:vAlign w:val="bottom"/>
            <w:gridSpan w:val="2"/>
            <w:shd w:val="clear" w:color="auto" w:fill="D2EEF5"/>
          </w:tcPr>
          <w:p>
            <w:pPr>
              <w:spacing w:after="0"/>
              <w:rPr>
                <w:sz w:val="20"/>
                <w:szCs w:val="20"/>
                <w:color w:val="auto"/>
              </w:rPr>
            </w:pPr>
            <w:r>
              <w:rPr>
                <w:rFonts w:ascii="Arial" w:cs="Arial" w:eastAsia="Arial" w:hAnsi="Arial"/>
                <w:sz w:val="20"/>
                <w:szCs w:val="20"/>
                <w:b w:val="1"/>
                <w:bCs w:val="1"/>
                <w:color w:val="auto"/>
              </w:rPr>
              <w:t>Year Ended December 31, 2023</w:t>
            </w:r>
          </w:p>
        </w:tc>
        <w:tc>
          <w:tcPr>
            <w:tcW w:w="140" w:type="dxa"/>
            <w:vAlign w:val="bottom"/>
            <w:shd w:val="clear" w:color="auto" w:fill="D2EEF5"/>
          </w:tcPr>
          <w:p>
            <w:pPr>
              <w:spacing w:after="0"/>
              <w:rPr>
                <w:sz w:val="24"/>
                <w:szCs w:val="24"/>
                <w:color w:val="auto"/>
              </w:rPr>
            </w:pPr>
          </w:p>
        </w:tc>
        <w:tc>
          <w:tcPr>
            <w:tcW w:w="106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80" w:type="dxa"/>
            <w:vAlign w:val="bottom"/>
            <w:shd w:val="clear" w:color="auto" w:fill="D2EEF5"/>
          </w:tcPr>
          <w:p>
            <w:pPr>
              <w:spacing w:after="0"/>
              <w:rPr>
                <w:sz w:val="24"/>
                <w:szCs w:val="24"/>
                <w:color w:val="auto"/>
              </w:rPr>
            </w:pPr>
          </w:p>
        </w:tc>
        <w:tc>
          <w:tcPr>
            <w:tcW w:w="102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40" w:type="dxa"/>
            <w:vAlign w:val="bottom"/>
            <w:shd w:val="clear" w:color="auto" w:fill="D2EEF5"/>
          </w:tcPr>
          <w:p>
            <w:pPr>
              <w:spacing w:after="0"/>
              <w:rPr>
                <w:sz w:val="24"/>
                <w:szCs w:val="24"/>
                <w:color w:val="auto"/>
              </w:rPr>
            </w:pPr>
          </w:p>
        </w:tc>
        <w:tc>
          <w:tcPr>
            <w:tcW w:w="106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160" w:type="dxa"/>
            <w:vAlign w:val="bottom"/>
            <w:shd w:val="clear" w:color="auto" w:fill="D2EEF5"/>
          </w:tcPr>
          <w:p>
            <w:pPr>
              <w:spacing w:after="0"/>
              <w:rPr>
                <w:sz w:val="24"/>
                <w:szCs w:val="24"/>
                <w:color w:val="auto"/>
              </w:rPr>
            </w:pPr>
          </w:p>
        </w:tc>
        <w:tc>
          <w:tcPr>
            <w:tcW w:w="1040" w:type="dxa"/>
            <w:vAlign w:val="bottom"/>
            <w:shd w:val="clear" w:color="auto" w:fill="D2EEF5"/>
          </w:tcPr>
          <w:p>
            <w:pPr>
              <w:spacing w:after="0"/>
              <w:rPr>
                <w:sz w:val="24"/>
                <w:szCs w:val="24"/>
                <w:color w:val="auto"/>
              </w:rPr>
            </w:pPr>
          </w:p>
        </w:tc>
        <w:tc>
          <w:tcPr>
            <w:tcW w:w="120" w:type="dxa"/>
            <w:vAlign w:val="bottom"/>
            <w:shd w:val="clear" w:color="auto" w:fill="D2EEF5"/>
          </w:tcPr>
          <w:p>
            <w:pPr>
              <w:spacing w:after="0"/>
              <w:rPr>
                <w:sz w:val="24"/>
                <w:szCs w:val="24"/>
                <w:color w:val="auto"/>
              </w:rPr>
            </w:pPr>
          </w:p>
        </w:tc>
        <w:tc>
          <w:tcPr>
            <w:tcW w:w="200" w:type="dxa"/>
            <w:vAlign w:val="bottom"/>
            <w:shd w:val="clear" w:color="auto" w:fill="D2EEF5"/>
          </w:tcPr>
          <w:p>
            <w:pPr>
              <w:spacing w:after="0"/>
              <w:rPr>
                <w:sz w:val="24"/>
                <w:szCs w:val="24"/>
                <w:color w:val="auto"/>
              </w:rPr>
            </w:pPr>
          </w:p>
        </w:tc>
        <w:tc>
          <w:tcPr>
            <w:tcW w:w="1000" w:type="dxa"/>
            <w:vAlign w:val="bottom"/>
            <w:shd w:val="clear" w:color="auto" w:fill="D2EEF5"/>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740" w:type="dxa"/>
            <w:vAlign w:val="bottom"/>
            <w:gridSpan w:val="2"/>
          </w:tcPr>
          <w:p>
            <w:pPr>
              <w:ind w:left="480"/>
              <w:spacing w:after="0"/>
              <w:rPr>
                <w:sz w:val="20"/>
                <w:szCs w:val="20"/>
                <w:color w:val="auto"/>
              </w:rPr>
            </w:pPr>
            <w:r>
              <w:rPr>
                <w:rFonts w:ascii="Arial" w:cs="Arial" w:eastAsia="Arial" w:hAnsi="Arial"/>
                <w:sz w:val="20"/>
                <w:szCs w:val="20"/>
                <w:color w:val="auto"/>
              </w:rPr>
              <w:t>Deducted from asset accounts: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D2EEF5"/>
          </w:tcPr>
          <w:p>
            <w:pPr>
              <w:spacing w:after="0"/>
              <w:rPr>
                <w:sz w:val="17"/>
                <w:szCs w:val="17"/>
                <w:color w:val="auto"/>
              </w:rPr>
            </w:pPr>
          </w:p>
        </w:tc>
        <w:tc>
          <w:tcPr>
            <w:tcW w:w="800" w:type="dxa"/>
            <w:vAlign w:val="bottom"/>
            <w:shd w:val="clear" w:color="auto" w:fill="D2EEF5"/>
          </w:tcPr>
          <w:p>
            <w:pPr>
              <w:spacing w:after="0"/>
              <w:rPr>
                <w:sz w:val="17"/>
                <w:szCs w:val="17"/>
                <w:color w:val="auto"/>
              </w:rPr>
            </w:pPr>
          </w:p>
        </w:tc>
        <w:tc>
          <w:tcPr>
            <w:tcW w:w="2940" w:type="dxa"/>
            <w:vAlign w:val="bottom"/>
            <w:shd w:val="clear" w:color="auto" w:fill="D2EEF5"/>
          </w:tcPr>
          <w:p>
            <w:pPr>
              <w:ind w:left="200"/>
              <w:spacing w:after="0" w:line="199" w:lineRule="exact"/>
              <w:rPr>
                <w:sz w:val="20"/>
                <w:szCs w:val="20"/>
                <w:color w:val="auto"/>
              </w:rPr>
            </w:pPr>
            <w:r>
              <w:rPr>
                <w:rFonts w:ascii="Arial" w:cs="Arial" w:eastAsia="Arial" w:hAnsi="Arial"/>
                <w:sz w:val="20"/>
                <w:szCs w:val="20"/>
                <w:color w:val="auto"/>
              </w:rPr>
              <w:t>Allowance for uncollectible</w:t>
            </w:r>
          </w:p>
        </w:tc>
        <w:tc>
          <w:tcPr>
            <w:tcW w:w="140" w:type="dxa"/>
            <w:vAlign w:val="bottom"/>
            <w:vMerge w:val="restart"/>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shd w:val="clear" w:color="auto" w:fill="D2EEF5"/>
          </w:tcPr>
          <w:p>
            <w:pPr>
              <w:jc w:val="right"/>
              <w:ind w:right="7"/>
              <w:spacing w:after="0"/>
              <w:rPr>
                <w:sz w:val="20"/>
                <w:szCs w:val="20"/>
                <w:color w:val="auto"/>
              </w:rPr>
            </w:pPr>
            <w:r>
              <w:rPr>
                <w:rFonts w:ascii="Arial" w:cs="Arial" w:eastAsia="Arial" w:hAnsi="Arial"/>
                <w:sz w:val="20"/>
                <w:szCs w:val="20"/>
                <w:color w:val="auto"/>
              </w:rPr>
              <w:t>1,871</w:t>
            </w:r>
          </w:p>
        </w:tc>
        <w:tc>
          <w:tcPr>
            <w:tcW w:w="300" w:type="dxa"/>
            <w:vAlign w:val="bottom"/>
            <w:gridSpan w:val="2"/>
            <w:vMerge w:val="restart"/>
            <w:shd w:val="clear" w:color="auto" w:fill="D2EEF5"/>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D2EEF5"/>
          </w:tcPr>
          <w:p>
            <w:pPr>
              <w:jc w:val="right"/>
              <w:ind w:right="8"/>
              <w:spacing w:after="0"/>
              <w:rPr>
                <w:sz w:val="20"/>
                <w:szCs w:val="20"/>
                <w:color w:val="auto"/>
              </w:rPr>
            </w:pPr>
            <w:r>
              <w:rPr>
                <w:rFonts w:ascii="Arial" w:cs="Arial" w:eastAsia="Arial" w:hAnsi="Arial"/>
                <w:sz w:val="20"/>
                <w:szCs w:val="20"/>
                <w:color w:val="auto"/>
              </w:rPr>
              <w:t>4,313</w:t>
            </w:r>
          </w:p>
        </w:tc>
        <w:tc>
          <w:tcPr>
            <w:tcW w:w="260" w:type="dxa"/>
            <w:vAlign w:val="bottom"/>
            <w:gridSpan w:val="2"/>
            <w:vMerge w:val="restart"/>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shd w:val="clear" w:color="auto" w:fill="D2EEF5"/>
          </w:tcPr>
          <w:p>
            <w:pPr>
              <w:jc w:val="right"/>
              <w:spacing w:after="0"/>
              <w:rPr>
                <w:sz w:val="20"/>
                <w:szCs w:val="20"/>
                <w:color w:val="auto"/>
              </w:rPr>
            </w:pPr>
            <w:r>
              <w:rPr>
                <w:rFonts w:ascii="Arial" w:cs="Arial" w:eastAsia="Arial" w:hAnsi="Arial"/>
                <w:sz w:val="20"/>
                <w:szCs w:val="20"/>
                <w:color w:val="auto"/>
              </w:rPr>
              <w:t>(1,502)</w:t>
            </w:r>
          </w:p>
        </w:tc>
        <w:tc>
          <w:tcPr>
            <w:tcW w:w="280" w:type="dxa"/>
            <w:vAlign w:val="bottom"/>
            <w:gridSpan w:val="2"/>
            <w:vMerge w:val="restart"/>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D2EEF5"/>
          </w:tcPr>
          <w:p>
            <w:pPr>
              <w:jc w:val="right"/>
              <w:ind w:right="3"/>
              <w:spacing w:after="0"/>
              <w:rPr>
                <w:sz w:val="20"/>
                <w:szCs w:val="20"/>
                <w:color w:val="auto"/>
              </w:rPr>
            </w:pPr>
            <w:r>
              <w:rPr>
                <w:rFonts w:ascii="Arial" w:cs="Arial" w:eastAsia="Arial" w:hAnsi="Arial"/>
                <w:sz w:val="20"/>
                <w:szCs w:val="20"/>
                <w:color w:val="auto"/>
              </w:rPr>
              <w:t>7</w:t>
            </w:r>
          </w:p>
        </w:tc>
        <w:tc>
          <w:tcPr>
            <w:tcW w:w="320" w:type="dxa"/>
            <w:vAlign w:val="bottom"/>
            <w:gridSpan w:val="2"/>
            <w:vMerge w:val="restart"/>
            <w:shd w:val="clear" w:color="auto" w:fill="D2EEF5"/>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D2EEF5"/>
          </w:tcPr>
          <w:p>
            <w:pPr>
              <w:jc w:val="right"/>
              <w:ind w:right="3"/>
              <w:spacing w:after="0"/>
              <w:rPr>
                <w:sz w:val="20"/>
                <w:szCs w:val="20"/>
                <w:color w:val="auto"/>
              </w:rPr>
            </w:pPr>
            <w:r>
              <w:rPr>
                <w:rFonts w:ascii="Arial" w:cs="Arial" w:eastAsia="Arial" w:hAnsi="Arial"/>
                <w:sz w:val="20"/>
                <w:szCs w:val="20"/>
                <w:color w:val="auto"/>
              </w:rPr>
              <w:t>4,689</w:t>
            </w:r>
          </w:p>
        </w:tc>
        <w:tc>
          <w:tcPr>
            <w:tcW w:w="0" w:type="dxa"/>
            <w:vAlign w:val="bottom"/>
          </w:tcPr>
          <w:p>
            <w:pPr>
              <w:spacing w:after="0"/>
              <w:rPr>
                <w:sz w:val="1"/>
                <w:szCs w:val="1"/>
                <w:color w:val="auto"/>
              </w:rPr>
            </w:pPr>
          </w:p>
        </w:tc>
      </w:tr>
      <w:tr>
        <w:trPr>
          <w:trHeight w:val="273"/>
        </w:trPr>
        <w:tc>
          <w:tcPr>
            <w:tcW w:w="40" w:type="dxa"/>
            <w:vAlign w:val="bottom"/>
            <w:shd w:val="clear" w:color="auto" w:fill="D2EEF5"/>
          </w:tcPr>
          <w:p>
            <w:pPr>
              <w:spacing w:after="0"/>
              <w:rPr>
                <w:sz w:val="23"/>
                <w:szCs w:val="23"/>
                <w:color w:val="auto"/>
              </w:rPr>
            </w:pPr>
          </w:p>
        </w:tc>
        <w:tc>
          <w:tcPr>
            <w:tcW w:w="800" w:type="dxa"/>
            <w:vAlign w:val="bottom"/>
            <w:shd w:val="clear" w:color="auto" w:fill="D2EEF5"/>
          </w:tcPr>
          <w:p>
            <w:pPr>
              <w:spacing w:after="0"/>
              <w:rPr>
                <w:sz w:val="23"/>
                <w:szCs w:val="23"/>
                <w:color w:val="auto"/>
              </w:rPr>
            </w:pPr>
          </w:p>
        </w:tc>
        <w:tc>
          <w:tcPr>
            <w:tcW w:w="2940" w:type="dxa"/>
            <w:vAlign w:val="bottom"/>
            <w:shd w:val="clear" w:color="auto" w:fill="D2EEF5"/>
          </w:tcPr>
          <w:p>
            <w:pPr>
              <w:ind w:left="460"/>
              <w:spacing w:after="0"/>
              <w:rPr>
                <w:sz w:val="20"/>
                <w:szCs w:val="20"/>
                <w:color w:val="auto"/>
              </w:rPr>
            </w:pPr>
            <w:r>
              <w:rPr>
                <w:rFonts w:ascii="Arial" w:cs="Arial" w:eastAsia="Arial" w:hAnsi="Arial"/>
                <w:sz w:val="20"/>
                <w:szCs w:val="20"/>
                <w:color w:val="auto"/>
              </w:rPr>
              <w:t>accounts receivable</w:t>
            </w:r>
          </w:p>
        </w:tc>
        <w:tc>
          <w:tcPr>
            <w:tcW w:w="140" w:type="dxa"/>
            <w:vAlign w:val="bottom"/>
            <w:vMerge w:val="continue"/>
            <w:shd w:val="clear" w:color="auto" w:fill="D2EEF5"/>
          </w:tcPr>
          <w:p>
            <w:pPr>
              <w:spacing w:after="0"/>
              <w:rPr>
                <w:sz w:val="23"/>
                <w:szCs w:val="23"/>
                <w:color w:val="auto"/>
              </w:rPr>
            </w:pPr>
          </w:p>
        </w:tc>
        <w:tc>
          <w:tcPr>
            <w:tcW w:w="1060" w:type="dxa"/>
            <w:vAlign w:val="bottom"/>
            <w:vMerge w:val="continue"/>
            <w:shd w:val="clear" w:color="auto" w:fill="D2EEF5"/>
          </w:tcPr>
          <w:p>
            <w:pPr>
              <w:spacing w:after="0"/>
              <w:rPr>
                <w:sz w:val="23"/>
                <w:szCs w:val="23"/>
                <w:color w:val="auto"/>
              </w:rPr>
            </w:pPr>
          </w:p>
        </w:tc>
        <w:tc>
          <w:tcPr>
            <w:tcW w:w="300" w:type="dxa"/>
            <w:vAlign w:val="bottom"/>
            <w:gridSpan w:val="2"/>
            <w:vMerge w:val="continue"/>
            <w:shd w:val="clear" w:color="auto" w:fill="D2EEF5"/>
          </w:tcPr>
          <w:p>
            <w:pPr>
              <w:spacing w:after="0"/>
              <w:rPr>
                <w:sz w:val="23"/>
                <w:szCs w:val="23"/>
                <w:color w:val="auto"/>
              </w:rPr>
            </w:pPr>
          </w:p>
        </w:tc>
        <w:tc>
          <w:tcPr>
            <w:tcW w:w="1020" w:type="dxa"/>
            <w:vAlign w:val="bottom"/>
            <w:vMerge w:val="continue"/>
            <w:shd w:val="clear" w:color="auto" w:fill="D2EEF5"/>
          </w:tcPr>
          <w:p>
            <w:pPr>
              <w:spacing w:after="0"/>
              <w:rPr>
                <w:sz w:val="23"/>
                <w:szCs w:val="23"/>
                <w:color w:val="auto"/>
              </w:rPr>
            </w:pPr>
          </w:p>
        </w:tc>
        <w:tc>
          <w:tcPr>
            <w:tcW w:w="260" w:type="dxa"/>
            <w:vAlign w:val="bottom"/>
            <w:gridSpan w:val="2"/>
            <w:vMerge w:val="continue"/>
            <w:shd w:val="clear" w:color="auto" w:fill="D2EEF5"/>
          </w:tcPr>
          <w:p>
            <w:pPr>
              <w:spacing w:after="0"/>
              <w:rPr>
                <w:sz w:val="23"/>
                <w:szCs w:val="23"/>
                <w:color w:val="auto"/>
              </w:rPr>
            </w:pPr>
          </w:p>
        </w:tc>
        <w:tc>
          <w:tcPr>
            <w:tcW w:w="1060" w:type="dxa"/>
            <w:vAlign w:val="bottom"/>
            <w:vMerge w:val="continue"/>
            <w:shd w:val="clear" w:color="auto" w:fill="D2EEF5"/>
          </w:tcPr>
          <w:p>
            <w:pPr>
              <w:spacing w:after="0"/>
              <w:rPr>
                <w:sz w:val="23"/>
                <w:szCs w:val="23"/>
                <w:color w:val="auto"/>
              </w:rPr>
            </w:pPr>
          </w:p>
        </w:tc>
        <w:tc>
          <w:tcPr>
            <w:tcW w:w="280" w:type="dxa"/>
            <w:vAlign w:val="bottom"/>
            <w:gridSpan w:val="2"/>
            <w:vMerge w:val="continue"/>
            <w:shd w:val="clear" w:color="auto" w:fill="D2EEF5"/>
          </w:tcPr>
          <w:p>
            <w:pPr>
              <w:spacing w:after="0"/>
              <w:rPr>
                <w:sz w:val="23"/>
                <w:szCs w:val="23"/>
                <w:color w:val="auto"/>
              </w:rPr>
            </w:pPr>
          </w:p>
        </w:tc>
        <w:tc>
          <w:tcPr>
            <w:tcW w:w="1040" w:type="dxa"/>
            <w:vAlign w:val="bottom"/>
            <w:vMerge w:val="continue"/>
            <w:shd w:val="clear" w:color="auto" w:fill="D2EEF5"/>
          </w:tcPr>
          <w:p>
            <w:pPr>
              <w:spacing w:after="0"/>
              <w:rPr>
                <w:sz w:val="23"/>
                <w:szCs w:val="23"/>
                <w:color w:val="auto"/>
              </w:rPr>
            </w:pPr>
          </w:p>
        </w:tc>
        <w:tc>
          <w:tcPr>
            <w:tcW w:w="320" w:type="dxa"/>
            <w:vAlign w:val="bottom"/>
            <w:gridSpan w:val="2"/>
            <w:vMerge w:val="continue"/>
            <w:shd w:val="clear" w:color="auto" w:fill="D2EEF5"/>
          </w:tcPr>
          <w:p>
            <w:pPr>
              <w:spacing w:after="0"/>
              <w:rPr>
                <w:sz w:val="23"/>
                <w:szCs w:val="23"/>
                <w:color w:val="auto"/>
              </w:rPr>
            </w:pPr>
          </w:p>
        </w:tc>
        <w:tc>
          <w:tcPr>
            <w:tcW w:w="1000" w:type="dxa"/>
            <w:vAlign w:val="bottom"/>
            <w:vMerge w:val="continue"/>
            <w:shd w:val="clear" w:color="auto" w:fill="D2EEF5"/>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40" w:type="dxa"/>
            <w:vAlign w:val="bottom"/>
          </w:tcPr>
          <w:p>
            <w:pPr>
              <w:ind w:left="200"/>
              <w:spacing w:after="0" w:line="192" w:lineRule="exact"/>
              <w:rPr>
                <w:sz w:val="20"/>
                <w:szCs w:val="20"/>
                <w:color w:val="auto"/>
              </w:rPr>
            </w:pPr>
            <w:r>
              <w:rPr>
                <w:rFonts w:ascii="Arial" w:cs="Arial" w:eastAsia="Arial" w:hAnsi="Arial"/>
                <w:sz w:val="20"/>
                <w:szCs w:val="20"/>
                <w:color w:val="auto"/>
              </w:rPr>
              <w:t>Deferred tax asset valuation</w:t>
            </w:r>
          </w:p>
        </w:tc>
        <w:tc>
          <w:tcPr>
            <w:tcW w:w="140" w:type="dxa"/>
            <w:vAlign w:val="bottom"/>
          </w:tcPr>
          <w:p>
            <w:pPr>
              <w:spacing w:after="0"/>
              <w:rPr>
                <w:sz w:val="16"/>
                <w:szCs w:val="16"/>
                <w:color w:val="auto"/>
              </w:rPr>
            </w:pPr>
          </w:p>
        </w:tc>
        <w:tc>
          <w:tcPr>
            <w:tcW w:w="1060" w:type="dxa"/>
            <w:vAlign w:val="bottom"/>
            <w:vMerge w:val="restart"/>
          </w:tcPr>
          <w:p>
            <w:pPr>
              <w:jc w:val="right"/>
              <w:ind w:right="7"/>
              <w:spacing w:after="0"/>
              <w:rPr>
                <w:sz w:val="20"/>
                <w:szCs w:val="20"/>
                <w:color w:val="auto"/>
              </w:rPr>
            </w:pPr>
            <w:r>
              <w:rPr>
                <w:rFonts w:ascii="Arial" w:cs="Arial" w:eastAsia="Arial" w:hAnsi="Arial"/>
                <w:sz w:val="20"/>
                <w:szCs w:val="20"/>
                <w:color w:val="auto"/>
              </w:rPr>
              <w:t>105,600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20"/>
                <w:szCs w:val="20"/>
                <w:color w:val="auto"/>
              </w:rPr>
              <w:t>19,682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20"/>
                <w:szCs w:val="20"/>
                <w:color w:val="auto"/>
              </w:rPr>
              <w:t>153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20"/>
                <w:szCs w:val="20"/>
                <w:color w:val="auto"/>
              </w:rPr>
              <w:t>125,435</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940" w:type="dxa"/>
            <w:vAlign w:val="bottom"/>
          </w:tcPr>
          <w:p>
            <w:pPr>
              <w:ind w:left="460"/>
              <w:spacing w:after="0"/>
              <w:rPr>
                <w:sz w:val="20"/>
                <w:szCs w:val="20"/>
                <w:color w:val="auto"/>
              </w:rPr>
            </w:pPr>
            <w:r>
              <w:rPr>
                <w:rFonts w:ascii="Arial" w:cs="Arial" w:eastAsia="Arial" w:hAnsi="Arial"/>
                <w:sz w:val="20"/>
                <w:szCs w:val="20"/>
                <w:color w:val="auto"/>
              </w:rPr>
              <w:t>allowance</w:t>
            </w:r>
          </w:p>
        </w:tc>
        <w:tc>
          <w:tcPr>
            <w:tcW w:w="1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550" w:hanging="550"/>
        <w:spacing w:after="0"/>
        <w:tabs>
          <w:tab w:leader="none" w:pos="550" w:val="left"/>
        </w:tabs>
        <w:numPr>
          <w:ilvl w:val="0"/>
          <w:numId w:val="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Uncollectible accounts written off, net of recoveries.</w:t>
      </w:r>
    </w:p>
    <w:p>
      <w:pPr>
        <w:spacing w:after="0" w:line="8" w:lineRule="exact"/>
        <w:rPr>
          <w:rFonts w:ascii="Arial" w:cs="Arial" w:eastAsia="Arial" w:hAnsi="Arial"/>
          <w:sz w:val="16"/>
          <w:szCs w:val="16"/>
          <w:b w:val="1"/>
          <w:bCs w:val="1"/>
          <w:i w:val="1"/>
          <w:iCs w:val="1"/>
          <w:color w:val="auto"/>
        </w:rPr>
      </w:pPr>
    </w:p>
    <w:p>
      <w:pPr>
        <w:ind w:left="550" w:hanging="550"/>
        <w:spacing w:after="0"/>
        <w:tabs>
          <w:tab w:leader="none" w:pos="550" w:val="left"/>
        </w:tabs>
        <w:numPr>
          <w:ilvl w:val="0"/>
          <w:numId w:val="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Change in foreign currency exchange rates.</w:t>
      </w:r>
    </w:p>
    <w:p>
      <w:pPr>
        <w:spacing w:after="0" w:line="23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10"/>
        <w:spacing w:after="0"/>
        <w:rPr>
          <w:sz w:val="20"/>
          <w:szCs w:val="20"/>
          <w:color w:val="auto"/>
        </w:rPr>
      </w:pPr>
      <w:r>
        <w:rPr>
          <w:rFonts w:ascii="Arial" w:cs="Arial" w:eastAsia="Arial" w:hAnsi="Arial"/>
          <w:sz w:val="20"/>
          <w:szCs w:val="20"/>
          <w:color w:val="auto"/>
        </w:rPr>
        <w:t>None.</w:t>
      </w:r>
    </w:p>
    <w:p>
      <w:pPr>
        <w:spacing w:after="0" w:line="24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Item 9A. Controls and Procedures</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17" w:lineRule="exact"/>
        <w:rPr>
          <w:sz w:val="20"/>
          <w:szCs w:val="20"/>
          <w:color w:val="auto"/>
        </w:rPr>
      </w:pPr>
    </w:p>
    <w:p>
      <w:pPr>
        <w:ind w:left="10" w:right="180"/>
        <w:spacing w:after="0" w:line="28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Company’s “disclosure controls and procedures” (as defined in Rules 13a-15(e) and 15d-15(e) under the Exchange Act). Based upon their evaluation, the Chief Executive Officer and Chief Financial Officer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17" w:lineRule="exact"/>
        <w:rPr>
          <w:sz w:val="20"/>
          <w:szCs w:val="20"/>
          <w:color w:val="auto"/>
        </w:rPr>
      </w:pPr>
    </w:p>
    <w:p>
      <w:pPr>
        <w:ind w:left="10" w:right="20"/>
        <w:spacing w:after="0" w:line="294"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as defined in Exchange Act Rule 13a-15(f). Using criteria set forth by the Committee of Sponsoring Organizations of the Treadway Commission (2013 framework) in Internal Control-Integrated Framework, the Company’s management assessed the effectiveness of the Company’s internal control over financial reporting as of December 31, 2025. Based on this assessment, management concluded that the Company’s internal control over financial reporting was effective as of December 31, 2025.</w:t>
      </w:r>
    </w:p>
    <w:p>
      <w:pPr>
        <w:spacing w:after="0" w:line="1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effectiveness of the Company’s internal control over financial reporting as of December 31, 2025 has been audited by Ernst</w:t>
      </w:r>
    </w:p>
    <w:p>
      <w:pPr>
        <w:spacing w:after="0" w:line="33" w:lineRule="exact"/>
        <w:rPr>
          <w:sz w:val="20"/>
          <w:szCs w:val="20"/>
          <w:color w:val="auto"/>
        </w:rPr>
      </w:pPr>
    </w:p>
    <w:p>
      <w:pPr>
        <w:ind w:left="10" w:right="460" w:hanging="10"/>
        <w:spacing w:after="0" w:line="283" w:lineRule="auto"/>
        <w:tabs>
          <w:tab w:leader="none" w:pos="215" w:val="left"/>
        </w:tabs>
        <w:numPr>
          <w:ilvl w:val="0"/>
          <w:numId w:val="59"/>
        </w:numPr>
        <w:rPr>
          <w:rFonts w:ascii="Arial" w:cs="Arial" w:eastAsia="Arial" w:hAnsi="Arial"/>
          <w:sz w:val="20"/>
          <w:szCs w:val="20"/>
          <w:color w:val="auto"/>
        </w:rPr>
      </w:pPr>
      <w:r>
        <w:rPr>
          <w:rFonts w:ascii="Arial" w:cs="Arial" w:eastAsia="Arial" w:hAnsi="Arial"/>
          <w:sz w:val="20"/>
          <w:szCs w:val="20"/>
          <w:color w:val="auto"/>
        </w:rPr>
        <w:t>Young LLP, an independent registered public accounting firm, as stated in their report, which is included in this Annual Report on Form 10-K and is included in this Item 9A below.</w:t>
      </w:r>
    </w:p>
    <w:p>
      <w:pPr>
        <w:sectPr>
          <w:pgSz w:w="11880" w:h="15480" w:orient="portrait"/>
          <w:cols w:equalWidth="0" w:num="1">
            <w:col w:w="10270"/>
          </w:cols>
          <w:pgMar w:left="810" w:top="412" w:right="80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110</w:t>
      </w:r>
    </w:p>
    <w:p>
      <w:pPr>
        <w:sectPr>
          <w:pgSz w:w="11880" w:h="15480" w:orient="portrait"/>
          <w:cols w:equalWidth="0" w:num="1">
            <w:col w:w="10270"/>
          </w:cols>
          <w:pgMar w:left="810" w:top="412" w:right="800"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17"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During the fourth quarter of 2025, there were no changes in our internal control over financial reporting that materially affected, or are reasonably likely to materially affect, our internal control over financial reporting.</w:t>
      </w:r>
    </w:p>
    <w:p>
      <w:pPr>
        <w:sectPr>
          <w:pgSz w:w="11880" w:h="15480" w:orient="portrait"/>
          <w:cols w:equalWidth="0" w:num="1">
            <w:col w:w="10260"/>
          </w:cols>
          <w:pgMar w:left="820" w:top="40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880" w:h="15480" w:orient="portrait"/>
          <w:cols w:equalWidth="0" w:num="1">
            <w:col w:w="10260"/>
          </w:cols>
          <w:pgMar w:left="820" w:top="405" w:right="800" w:bottom="0" w:gutter="0" w:footer="0" w:header="0"/>
          <w:type w:val="continuous"/>
        </w:sectPr>
      </w:pPr>
    </w:p>
    <w:bookmarkStart w:id="119" w:name="page120"/>
    <w:bookmarkEnd w:id="119"/>
    <w:p>
      <w:pPr>
        <w:ind w:right="3420"/>
        <w:spacing w:after="0" w:line="461"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Stockholders and the Board of Directors of Sotera Health Company </w:t>
      </w:r>
      <w:r>
        <w:rPr>
          <w:rFonts w:ascii="Arial" w:cs="Arial" w:eastAsia="Arial" w:hAnsi="Arial"/>
          <w:sz w:val="20"/>
          <w:szCs w:val="20"/>
          <w:b w:val="1"/>
          <w:bCs w:val="1"/>
          <w:color w:val="auto"/>
        </w:rPr>
        <w:t>Opinion on Internal Control Over Financial Reporting</w:t>
      </w:r>
    </w:p>
    <w:p>
      <w:pPr>
        <w:spacing w:after="0" w:line="2"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We have audited Sotera Health Company’s internal control over financial reporting as of December 31, 2025, based on criteria established in Internal Control—Integrated Framework issued by the Committee of Sponsoring Organizations of the Treadway Commission (2013 framework) (the COSO criteria). In our opinion, Sotera Health Company (the Company) maintained, in all material respects, effective internal control over financial reporting as of December 31, 2025, based on the COSO criteria.</w:t>
      </w:r>
    </w:p>
    <w:p>
      <w:pPr>
        <w:spacing w:after="0" w:line="129" w:lineRule="exact"/>
        <w:rPr>
          <w:sz w:val="20"/>
          <w:szCs w:val="20"/>
          <w:color w:val="auto"/>
        </w:rPr>
      </w:pPr>
    </w:p>
    <w:p>
      <w:pPr>
        <w:jc w:val="both"/>
        <w:ind w:right="20"/>
        <w:spacing w:after="0" w:line="266"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2025 consolidated financial statements of the Company and our report dated February 24, 2026 expressed an unqualified opinion thereon.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17"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5"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17"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Cleveland, Ohio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2026</w:t>
      </w:r>
    </w:p>
    <w:p>
      <w:pPr>
        <w:sectPr>
          <w:pgSz w:w="11880" w:h="15480" w:orient="portrait"/>
          <w:cols w:equalWidth="0" w:num="1">
            <w:col w:w="10260"/>
          </w:cols>
          <w:pgMar w:left="820" w:top="40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880" w:h="15480" w:orient="portrait"/>
          <w:cols w:equalWidth="0" w:num="1">
            <w:col w:w="10260"/>
          </w:cols>
          <w:pgMar w:left="820" w:top="405" w:right="800" w:bottom="0" w:gutter="0" w:footer="0" w:header="0"/>
          <w:type w:val="continuous"/>
        </w:sectPr>
      </w:pPr>
    </w:p>
    <w:bookmarkStart w:id="120" w:name="page121"/>
    <w:bookmarkEnd w:id="120"/>
    <w:p>
      <w:pPr>
        <w:spacing w:after="0"/>
        <w:rPr>
          <w:sz w:val="20"/>
          <w:szCs w:val="20"/>
          <w:color w:val="auto"/>
        </w:rPr>
      </w:pPr>
      <w:r>
        <w:rPr>
          <w:rFonts w:ascii="Arial" w:cs="Arial" w:eastAsia="Arial" w:hAnsi="Arial"/>
          <w:sz w:val="20"/>
          <w:szCs w:val="20"/>
          <w:b w:val="1"/>
          <w:bCs w:val="1"/>
          <w:color w:val="auto"/>
        </w:rPr>
        <w:t>Item 9B.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Rule 10b5-1 Trading Plans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During the three months ended December 31, 2025, none of the Company’s directors or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pacing w:after="0" w:line="193" w:lineRule="exact"/>
        <w:rPr>
          <w:sz w:val="20"/>
          <w:szCs w:val="20"/>
          <w:color w:val="auto"/>
        </w:rPr>
      </w:pPr>
    </w:p>
    <w:p>
      <w:pPr>
        <w:ind w:right="3340"/>
        <w:spacing w:after="0" w:line="541" w:lineRule="auto"/>
        <w:rPr>
          <w:sz w:val="20"/>
          <w:szCs w:val="20"/>
          <w:color w:val="auto"/>
        </w:rPr>
      </w:pPr>
      <w:r>
        <w:rPr>
          <w:rFonts w:ascii="Arial" w:cs="Arial" w:eastAsia="Arial" w:hAnsi="Arial"/>
          <w:sz w:val="20"/>
          <w:szCs w:val="20"/>
          <w:b w:val="1"/>
          <w:bCs w:val="1"/>
          <w:color w:val="auto"/>
        </w:rPr>
        <w:t xml:space="preserve">Item 9C. Disclosure Regarding Foreign Jurisdictions that Prevent Inspections </w:t>
      </w:r>
      <w:r>
        <w:rPr>
          <w:rFonts w:ascii="Arial" w:cs="Arial" w:eastAsia="Arial" w:hAnsi="Arial"/>
          <w:sz w:val="20"/>
          <w:szCs w:val="20"/>
          <w:color w:val="auto"/>
        </w:rPr>
        <w:t>Not Applicable.</w:t>
      </w:r>
    </w:p>
    <w:p>
      <w:pPr>
        <w:sectPr>
          <w:pgSz w:w="11880" w:h="15480" w:orient="portrait"/>
          <w:cols w:equalWidth="0" w:num="1">
            <w:col w:w="9960"/>
          </w:cols>
          <w:pgMar w:left="820" w:top="405"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113</w:t>
      </w:r>
    </w:p>
    <w:p>
      <w:pPr>
        <w:sectPr>
          <w:pgSz w:w="11880" w:h="15480" w:orient="portrait"/>
          <w:cols w:equalWidth="0" w:num="1">
            <w:col w:w="9960"/>
          </w:cols>
          <w:pgMar w:left="820" w:top="405" w:right="1100" w:bottom="0" w:gutter="0" w:footer="0" w:header="0"/>
          <w:type w:val="continuous"/>
        </w:sectPr>
      </w:pPr>
    </w:p>
    <w:bookmarkStart w:id="121" w:name="page122"/>
    <w:bookmarkEnd w:id="121"/>
    <w:p>
      <w:pPr>
        <w:ind w:left="4780"/>
        <w:spacing w:after="0"/>
        <w:rPr>
          <w:sz w:val="20"/>
          <w:szCs w:val="20"/>
          <w:color w:val="auto"/>
        </w:rPr>
      </w:pPr>
      <w:r>
        <w:rPr>
          <w:rFonts w:ascii="Arial" w:cs="Arial" w:eastAsia="Arial" w:hAnsi="Arial"/>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17" w:lineRule="exact"/>
        <w:rPr>
          <w:sz w:val="20"/>
          <w:szCs w:val="20"/>
          <w:color w:val="auto"/>
        </w:rPr>
      </w:pPr>
    </w:p>
    <w:p>
      <w:pPr>
        <w:ind w:right="220"/>
        <w:spacing w:after="0" w:line="279" w:lineRule="auto"/>
        <w:rPr>
          <w:sz w:val="20"/>
          <w:szCs w:val="20"/>
          <w:color w:val="auto"/>
        </w:rPr>
      </w:pPr>
      <w:r>
        <w:rPr>
          <w:rFonts w:ascii="Arial" w:cs="Arial" w:eastAsia="Arial" w:hAnsi="Arial"/>
          <w:sz w:val="19"/>
          <w:szCs w:val="19"/>
          <w:color w:val="auto"/>
        </w:rPr>
        <w:t>Certain information required by this Item is incorporated by reference to the sections titled “Board Composition, Nominations Process and Director Qualifications,” “Proposal One: Election of Director Nominees,” “Corporate Governance” and “Insider Trading Policy” to be included in our Definitive Proxy Statement for the 2026 Annual Meeting of Stockholders, which will be filed with the SEC within 120 days after the fiscal year ended December 31, 2025.</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information about our executive officers as of February 19, 2026:</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92"/>
              </w:rPr>
              <w:t>Age</w:t>
            </w:r>
          </w:p>
        </w:tc>
        <w:tc>
          <w:tcPr>
            <w:tcW w:w="26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r>
      <w:tr>
        <w:trPr>
          <w:trHeight w:val="151"/>
        </w:trPr>
        <w:tc>
          <w:tcPr>
            <w:tcW w:w="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4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280" w:type="dxa"/>
            <w:vAlign w:val="bottom"/>
          </w:tcPr>
          <w:p>
            <w:pPr>
              <w:spacing w:after="0"/>
              <w:rPr>
                <w:sz w:val="13"/>
                <w:szCs w:val="13"/>
                <w:color w:val="auto"/>
              </w:rPr>
            </w:pPr>
          </w:p>
        </w:tc>
      </w:tr>
      <w:tr>
        <w:trPr>
          <w:trHeight w:val="285"/>
        </w:trPr>
        <w:tc>
          <w:tcPr>
            <w:tcW w:w="40" w:type="dxa"/>
            <w:vAlign w:val="bottom"/>
            <w:shd w:val="clear" w:color="auto" w:fill="D2EEF5"/>
          </w:tcPr>
          <w:p>
            <w:pPr>
              <w:spacing w:after="0"/>
              <w:rPr>
                <w:sz w:val="24"/>
                <w:szCs w:val="24"/>
                <w:color w:val="auto"/>
              </w:rPr>
            </w:pPr>
          </w:p>
        </w:tc>
        <w:tc>
          <w:tcPr>
            <w:tcW w:w="486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Michael B. Petras, Jr.</w:t>
            </w:r>
          </w:p>
        </w:tc>
        <w:tc>
          <w:tcPr>
            <w:tcW w:w="320" w:type="dxa"/>
            <w:vAlign w:val="bottom"/>
            <w:shd w:val="clear" w:color="auto" w:fill="D2EEF5"/>
          </w:tcPr>
          <w:p>
            <w:pPr>
              <w:jc w:val="center"/>
              <w:spacing w:after="0"/>
              <w:rPr>
                <w:sz w:val="20"/>
                <w:szCs w:val="20"/>
                <w:color w:val="auto"/>
              </w:rPr>
            </w:pPr>
            <w:r>
              <w:rPr>
                <w:rFonts w:ascii="Arial" w:cs="Arial" w:eastAsia="Arial" w:hAnsi="Arial"/>
                <w:sz w:val="20"/>
                <w:szCs w:val="20"/>
                <w:color w:val="auto"/>
                <w:w w:val="89"/>
              </w:rPr>
              <w:t>58</w:t>
            </w:r>
          </w:p>
        </w:tc>
        <w:tc>
          <w:tcPr>
            <w:tcW w:w="260" w:type="dxa"/>
            <w:vAlign w:val="bottom"/>
            <w:shd w:val="clear" w:color="auto" w:fill="D2EEF5"/>
          </w:tcPr>
          <w:p>
            <w:pPr>
              <w:spacing w:after="0"/>
              <w:rPr>
                <w:sz w:val="24"/>
                <w:szCs w:val="24"/>
                <w:color w:val="auto"/>
              </w:rPr>
            </w:pPr>
          </w:p>
        </w:tc>
        <w:tc>
          <w:tcPr>
            <w:tcW w:w="484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Chairman and Chief Executive Officer</w:t>
            </w:r>
          </w:p>
        </w:tc>
      </w:tr>
      <w:tr>
        <w:trPr>
          <w:trHeight w:val="278"/>
        </w:trPr>
        <w:tc>
          <w:tcPr>
            <w:tcW w:w="4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20"/>
                <w:szCs w:val="20"/>
                <w:color w:val="auto"/>
              </w:rPr>
              <w:t>Jonathan (Jon) Lyons</w:t>
            </w:r>
          </w:p>
        </w:tc>
        <w:tc>
          <w:tcPr>
            <w:tcW w:w="320" w:type="dxa"/>
            <w:vAlign w:val="bottom"/>
          </w:tcPr>
          <w:p>
            <w:pPr>
              <w:jc w:val="center"/>
              <w:spacing w:after="0"/>
              <w:rPr>
                <w:sz w:val="20"/>
                <w:szCs w:val="20"/>
                <w:color w:val="auto"/>
              </w:rPr>
            </w:pPr>
            <w:r>
              <w:rPr>
                <w:rFonts w:ascii="Arial" w:cs="Arial" w:eastAsia="Arial" w:hAnsi="Arial"/>
                <w:sz w:val="20"/>
                <w:szCs w:val="20"/>
                <w:color w:val="auto"/>
                <w:w w:val="89"/>
              </w:rPr>
              <w:t>48</w:t>
            </w:r>
          </w:p>
        </w:tc>
        <w:tc>
          <w:tcPr>
            <w:tcW w:w="2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20"/>
                <w:szCs w:val="20"/>
                <w:color w:val="auto"/>
              </w:rPr>
              <w:t>Senior Vice President and Chief Financial Officer</w:t>
            </w:r>
          </w:p>
        </w:tc>
      </w:tr>
      <w:tr>
        <w:trPr>
          <w:trHeight w:val="292"/>
        </w:trPr>
        <w:tc>
          <w:tcPr>
            <w:tcW w:w="40" w:type="dxa"/>
            <w:vAlign w:val="bottom"/>
            <w:shd w:val="clear" w:color="auto" w:fill="D2EEF5"/>
          </w:tcPr>
          <w:p>
            <w:pPr>
              <w:spacing w:after="0"/>
              <w:rPr>
                <w:sz w:val="24"/>
                <w:szCs w:val="24"/>
                <w:color w:val="auto"/>
              </w:rPr>
            </w:pPr>
          </w:p>
        </w:tc>
        <w:tc>
          <w:tcPr>
            <w:tcW w:w="486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Michael (Mike) P. Rutz</w:t>
            </w:r>
          </w:p>
        </w:tc>
        <w:tc>
          <w:tcPr>
            <w:tcW w:w="320" w:type="dxa"/>
            <w:vAlign w:val="bottom"/>
            <w:shd w:val="clear" w:color="auto" w:fill="D2EEF5"/>
          </w:tcPr>
          <w:p>
            <w:pPr>
              <w:jc w:val="center"/>
              <w:spacing w:after="0"/>
              <w:rPr>
                <w:sz w:val="20"/>
                <w:szCs w:val="20"/>
                <w:color w:val="auto"/>
              </w:rPr>
            </w:pPr>
            <w:r>
              <w:rPr>
                <w:rFonts w:ascii="Arial" w:cs="Arial" w:eastAsia="Arial" w:hAnsi="Arial"/>
                <w:sz w:val="20"/>
                <w:szCs w:val="20"/>
                <w:color w:val="auto"/>
                <w:w w:val="89"/>
              </w:rPr>
              <w:t>54</w:t>
            </w:r>
          </w:p>
        </w:tc>
        <w:tc>
          <w:tcPr>
            <w:tcW w:w="260" w:type="dxa"/>
            <w:vAlign w:val="bottom"/>
            <w:shd w:val="clear" w:color="auto" w:fill="D2EEF5"/>
          </w:tcPr>
          <w:p>
            <w:pPr>
              <w:spacing w:after="0"/>
              <w:rPr>
                <w:sz w:val="24"/>
                <w:szCs w:val="24"/>
                <w:color w:val="auto"/>
              </w:rPr>
            </w:pPr>
          </w:p>
        </w:tc>
        <w:tc>
          <w:tcPr>
            <w:tcW w:w="4840" w:type="dxa"/>
            <w:vAlign w:val="bottom"/>
            <w:gridSpan w:val="2"/>
            <w:shd w:val="clear" w:color="auto" w:fill="D2EEF5"/>
          </w:tcPr>
          <w:p>
            <w:pPr>
              <w:spacing w:after="0"/>
              <w:rPr>
                <w:sz w:val="20"/>
                <w:szCs w:val="20"/>
                <w:color w:val="auto"/>
              </w:rPr>
            </w:pPr>
            <w:r>
              <w:rPr>
                <w:rFonts w:ascii="Arial" w:cs="Arial" w:eastAsia="Arial" w:hAnsi="Arial"/>
                <w:sz w:val="20"/>
                <w:szCs w:val="20"/>
                <w:color w:val="auto"/>
              </w:rPr>
              <w:t>President of Sterigenics</w:t>
            </w:r>
          </w:p>
        </w:tc>
      </w:tr>
      <w:tr>
        <w:trPr>
          <w:trHeight w:val="272"/>
        </w:trPr>
        <w:tc>
          <w:tcPr>
            <w:tcW w:w="4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Arial" w:cs="Arial" w:eastAsia="Arial" w:hAnsi="Arial"/>
                <w:sz w:val="20"/>
                <w:szCs w:val="20"/>
                <w:color w:val="auto"/>
              </w:rPr>
              <w:t>Alexander (Alex) Dimitrief</w:t>
            </w:r>
          </w:p>
        </w:tc>
        <w:tc>
          <w:tcPr>
            <w:tcW w:w="320" w:type="dxa"/>
            <w:vAlign w:val="bottom"/>
          </w:tcPr>
          <w:p>
            <w:pPr>
              <w:jc w:val="center"/>
              <w:spacing w:after="0"/>
              <w:rPr>
                <w:sz w:val="20"/>
                <w:szCs w:val="20"/>
                <w:color w:val="auto"/>
              </w:rPr>
            </w:pPr>
            <w:r>
              <w:rPr>
                <w:rFonts w:ascii="Arial" w:cs="Arial" w:eastAsia="Arial" w:hAnsi="Arial"/>
                <w:sz w:val="20"/>
                <w:szCs w:val="20"/>
                <w:color w:val="auto"/>
                <w:w w:val="89"/>
              </w:rPr>
              <w:t>67</w:t>
            </w:r>
          </w:p>
        </w:tc>
        <w:tc>
          <w:tcPr>
            <w:tcW w:w="260" w:type="dxa"/>
            <w:vAlign w:val="bottom"/>
          </w:tcPr>
          <w:p>
            <w:pPr>
              <w:spacing w:after="0"/>
              <w:rPr>
                <w:sz w:val="23"/>
                <w:szCs w:val="23"/>
                <w:color w:val="auto"/>
              </w:rPr>
            </w:pPr>
          </w:p>
        </w:tc>
        <w:tc>
          <w:tcPr>
            <w:tcW w:w="4840" w:type="dxa"/>
            <w:vAlign w:val="bottom"/>
            <w:gridSpan w:val="2"/>
          </w:tcPr>
          <w:p>
            <w:pPr>
              <w:spacing w:after="0"/>
              <w:rPr>
                <w:sz w:val="20"/>
                <w:szCs w:val="20"/>
                <w:color w:val="auto"/>
              </w:rPr>
            </w:pPr>
            <w:r>
              <w:rPr>
                <w:rFonts w:ascii="Arial" w:cs="Arial" w:eastAsia="Arial" w:hAnsi="Arial"/>
                <w:sz w:val="20"/>
                <w:szCs w:val="20"/>
                <w:color w:val="auto"/>
              </w:rPr>
              <w:t>Senior Vice President and General Counsel</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Set forth below is a brief description of the business experience of our executive officers.</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b w:val="1"/>
          <w:bCs w:val="1"/>
          <w:i w:val="1"/>
          <w:iCs w:val="1"/>
          <w:color w:val="auto"/>
        </w:rPr>
        <w:t xml:space="preserve">Michael B. Petras, Jr. </w:t>
      </w:r>
      <w:r>
        <w:rPr>
          <w:rFonts w:ascii="Arial" w:cs="Arial" w:eastAsia="Arial" w:hAnsi="Arial"/>
          <w:sz w:val="19"/>
          <w:szCs w:val="19"/>
          <w:color w:val="auto"/>
        </w:rPr>
        <w:t>has served as our Chief Executive Officer since June 2016 and as the Chairman of our board of directors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since October 2020. Mr. Petras also served as a member of Topco Parent’s board of managers from June 2016 to November 2020 and served as the Chairman of Topco Parent’s board of managers from January 2019 to November 2020. Prior to joining the Company, Mr. Petras served as chief executive officer of Post-Acute Solutions at Cardinal Health, Inc. (“Cardinal Health”), a multinational healthcare services company, from 2015 to 2016 and chief executive officer of Cardinal Health at-Home from 2013 to 2015. From 2011 to 2013, he was the chief executive officer for AssuraMed Holdings, Inc., a medical products supplier, which was sold to Cardinal Health in 2013. From 2008 to 2011, Mr. Petras was president and chief executive officer at GE Lighting, a General Electric Company (“GE”) business unit. During his over 20-year career at GE, he held several management positions in multiple disciplines. Mr. Petras was named to the board of directors of the Cleveland Clinic in 2016 and elected Vice Chair of the board of directors in 2020. Mr. Petras also serves on the board of directors of John Carroll University. Mr. Petras holds a B.S.B.A. in finance from John Carroll University and an M.B.A. in marketing from Case Western Reserve University.</w:t>
      </w:r>
    </w:p>
    <w:p>
      <w:pPr>
        <w:spacing w:after="0" w:line="152" w:lineRule="exact"/>
        <w:rPr>
          <w:sz w:val="20"/>
          <w:szCs w:val="20"/>
          <w:color w:val="auto"/>
        </w:rPr>
      </w:pPr>
    </w:p>
    <w:p>
      <w:pPr>
        <w:ind w:right="200"/>
        <w:spacing w:after="0" w:line="272" w:lineRule="auto"/>
        <w:rPr>
          <w:sz w:val="20"/>
          <w:szCs w:val="20"/>
          <w:color w:val="auto"/>
        </w:rPr>
      </w:pPr>
      <w:r>
        <w:rPr>
          <w:rFonts w:ascii="Arial" w:cs="Arial" w:eastAsia="Arial" w:hAnsi="Arial"/>
          <w:sz w:val="19"/>
          <w:szCs w:val="19"/>
          <w:b w:val="1"/>
          <w:bCs w:val="1"/>
          <w:i w:val="1"/>
          <w:iCs w:val="1"/>
          <w:color w:val="auto"/>
        </w:rPr>
        <w:t xml:space="preserve">Jonathan (Jon) M. Lyons </w:t>
      </w:r>
      <w:r>
        <w:rPr>
          <w:rFonts w:ascii="Arial" w:cs="Arial" w:eastAsia="Arial" w:hAnsi="Arial"/>
          <w:sz w:val="19"/>
          <w:szCs w:val="19"/>
          <w:color w:val="auto"/>
        </w:rPr>
        <w:t>has served as our Senior Vice President and Chief Financial Officer since June 2023. Prior to joining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Company, Mr. Lyons served as vice president, corporate FP&amp;A of Owens Corning, a global leader specializing in building and construction materials, from June 2021 to June 2023 and vice president, finance of the insulation segment from October 2018 to May 2021. Mr. Lyons joined Owens Corning in 2010 as assistant treasurer and also served as treasurer from 2011 to 2014. Mr. Lyons also spent eight years with Cardinal Health, Inc., holding several senior leadership roles in treasury, FP&amp;A, investor relations and tax after beginning his career in public accounting. Mr. Lyons holds an M.B.A. from The Ohio State University and a B.S. in Accounting from Kent State University.</w:t>
      </w:r>
    </w:p>
    <w:p>
      <w:pPr>
        <w:spacing w:after="0" w:line="147"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i w:val="1"/>
          <w:iCs w:val="1"/>
          <w:color w:val="auto"/>
        </w:rPr>
        <w:t xml:space="preserve">Michael (Mike) P. Rutz </w:t>
      </w:r>
      <w:r>
        <w:rPr>
          <w:rFonts w:ascii="Arial" w:cs="Arial" w:eastAsia="Arial" w:hAnsi="Arial"/>
          <w:sz w:val="18"/>
          <w:szCs w:val="18"/>
          <w:color w:val="auto"/>
        </w:rPr>
        <w:t>has served as President of Sterigenics since October 2020. Prior to that, Mr. Rutz was Chief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Sterigenics from May 2020 to October 2020. Prior to joining the Company, he was senior vice president and general manager of the Semiconductor Business Unit at Littelfuse, Inc. (“Littelfuse”), a multinational electronic manufacturing company, where he was responsible for leading sales, marketing, product development, operations and business development for power and protection-based semiconductor products. Mr. Rutz joined Littelfuse in 2014 as senior vice president of global operations, overseeing the company’s manufacturing, procurement, planning, quality, and operational excellence initiatives. Prior to joining Littelfuse, Mr. Rutz served as senior vice president global supply chain at WMS Gaming, a Chicago-based manufacturer of equipment and software for the gaming industry. Mr. Rutz also spent 16 years with Motorola Solutions, Inc., a telecommunications company, in the paging, cellular and networking groups, most recently as vice president, networks supply chain. Mr. Rutz holds a Bachelor’s degree in Mechanical Engineering from the University of Michigan and Master’s degrees in Mechanical Engineering and Management from the Massachusetts Institute of Technology.</w:t>
      </w:r>
    </w:p>
    <w:p>
      <w:pPr>
        <w:sectPr>
          <w:pgSz w:w="11880" w:h="15480" w:orient="portrait"/>
          <w:cols w:equalWidth="0" w:num="1">
            <w:col w:w="10320"/>
          </w:cols>
          <w:pgMar w:left="820" w:top="40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114</w:t>
      </w:r>
    </w:p>
    <w:p>
      <w:pPr>
        <w:sectPr>
          <w:pgSz w:w="11880" w:h="15480" w:orient="portrait"/>
          <w:cols w:equalWidth="0" w:num="1">
            <w:col w:w="10320"/>
          </w:cols>
          <w:pgMar w:left="820" w:top="405" w:right="740" w:bottom="0" w:gutter="0" w:footer="0" w:header="0"/>
          <w:type w:val="continuous"/>
        </w:sectPr>
      </w:pPr>
    </w:p>
    <w:bookmarkStart w:id="122" w:name="page123"/>
    <w:bookmarkEnd w:id="122"/>
    <w:p>
      <w:pPr>
        <w:spacing w:after="0" w:line="284" w:lineRule="auto"/>
        <w:rPr>
          <w:sz w:val="20"/>
          <w:szCs w:val="20"/>
          <w:color w:val="auto"/>
        </w:rPr>
      </w:pPr>
      <w:r>
        <w:rPr>
          <w:rFonts w:ascii="Arial" w:cs="Arial" w:eastAsia="Arial" w:hAnsi="Arial"/>
          <w:sz w:val="18"/>
          <w:szCs w:val="18"/>
          <w:b w:val="1"/>
          <w:bCs w:val="1"/>
          <w:i w:val="1"/>
          <w:iCs w:val="1"/>
          <w:color w:val="auto"/>
        </w:rPr>
        <w:t xml:space="preserve">Alexander (Alex) Dimitrief </w:t>
      </w:r>
      <w:r>
        <w:rPr>
          <w:rFonts w:ascii="Arial" w:cs="Arial" w:eastAsia="Arial" w:hAnsi="Arial"/>
          <w:sz w:val="18"/>
          <w:szCs w:val="18"/>
          <w:color w:val="auto"/>
        </w:rPr>
        <w:t>has served as our Senior Vice President and General Counsel since November 2022 and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Secretary from November 2022 to December 2024. Prior to joining the Company, from February 2020 to October 2022, he was a partner at Zeughauser Group, a legal management consulting firm, where he remains as an advisor. Mr. Dimitrief is also an independent director of Eos Energy Enterprises, Global Chair of Ronald McDonald House and an advisor to Earlylands Advisory. He was a senior fellow and distinguished adjunct professor at New York Law School from August 2020 to December 2022 and a lecturer on law at Harvard Law School from September 2019 to December 2022. Mr. Dimitrief previously served in a variety of leadership roles at GE. He was president and chief executive officer of GE’s Global Growth Organization from late 2017 until his retirement from GE in January 2019. He previously served as GE’s senior vice president and general counsel from 2015 to 2018 and held other senior legal roles at GE beginning in 2007. Prior to joining GE, Mr. Dimitrief was a partner at Kirkland &amp; Ellis LLP, where he practiced law for twenty years. Mr. Dimitrief holds a B.A. in Economics and Political Science from Yale College and a J.D. from Harvard Law School.</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57"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The information required by this Item is incorporated by reference to the sections titled “Non-Employee Director Compensation,” “Compensation Discussion and Analysis,” “Compensation Tables,” “Potential Termination Payments” and “CEO Pay Ratio” to be included in our Definitive Proxy Statement for the 2026 Annual Meeting of Stockholders, which will be filed with the SEC within 120 days after the fiscal year ended December 31, 2025.</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269"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The information required by this Item is incorporated by reference to the sections titled “Security Ownership of Certain Beneficial Owners and Management” and “Equity Compensation Plan Information” to be included in our Definitive Proxy Statement for the 2026 Annual Meeting of Stockholders, which will be filed with the SEC within 120 days after the fiscal year ended December 31, 2025.</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57"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The information required by this Item is incorporated by reference to the sections titled “Director Independence” and “Certain Relationships and Related Party Transactions” to be included in our Definitive Proxy Statement for the 2026 Annual Meeting of Stockholders, which will be filed with the SEC within 120 days after the fiscal year ended December 31, 2025.</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57" w:lineRule="exact"/>
        <w:rPr>
          <w:sz w:val="20"/>
          <w:szCs w:val="20"/>
          <w:color w:val="auto"/>
        </w:rPr>
      </w:pPr>
    </w:p>
    <w:p>
      <w:pPr>
        <w:ind w:right="440"/>
        <w:spacing w:after="0" w:line="299" w:lineRule="auto"/>
        <w:rPr>
          <w:sz w:val="20"/>
          <w:szCs w:val="20"/>
          <w:color w:val="auto"/>
        </w:rPr>
      </w:pPr>
      <w:r>
        <w:rPr>
          <w:rFonts w:ascii="Arial" w:cs="Arial" w:eastAsia="Arial" w:hAnsi="Arial"/>
          <w:sz w:val="18"/>
          <w:szCs w:val="18"/>
          <w:color w:val="auto"/>
        </w:rPr>
        <w:t>The information required by this Item is incorporated by reference to the sections titled “Independent Registered Public Accounting Firm Fees” and “Policy on Audit Committee’s Pre-Approval of Audit and Permissible Non-Audit Services of Independent Registered Public Accounting Firm” to be included in our Definitive Proxy Statement for the 2026 Annual Meeting of Stockholders, which will be filed with the SEC within 120 days after the fiscal year ended December 31, 2025.</w:t>
      </w:r>
    </w:p>
    <w:p>
      <w:pPr>
        <w:sectPr>
          <w:pgSz w:w="11880" w:h="15480" w:orient="portrait"/>
          <w:cols w:equalWidth="0" w:num="1">
            <w:col w:w="10240"/>
          </w:cols>
          <w:pgMar w:left="820" w:top="40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880" w:h="15480" w:orient="portrait"/>
          <w:cols w:equalWidth="0" w:num="1">
            <w:col w:w="10240"/>
          </w:cols>
          <w:pgMar w:left="820" w:top="409" w:right="820" w:bottom="0" w:gutter="0" w:footer="0" w:header="0"/>
          <w:type w:val="continuous"/>
        </w:sectPr>
      </w:pPr>
    </w:p>
    <w:bookmarkStart w:id="123" w:name="page124"/>
    <w:bookmarkEnd w:id="123"/>
    <w:p>
      <w:pPr>
        <w:jc w:val="center"/>
        <w:ind w:right="10"/>
        <w:spacing w:after="0"/>
        <w:rPr>
          <w:sz w:val="20"/>
          <w:szCs w:val="20"/>
          <w:color w:val="auto"/>
        </w:rPr>
      </w:pPr>
      <w:r>
        <w:rPr>
          <w:rFonts w:ascii="Arial" w:cs="Arial" w:eastAsia="Arial" w:hAnsi="Arial"/>
          <w:sz w:val="20"/>
          <w:szCs w:val="20"/>
          <w:b w:val="1"/>
          <w:bCs w:val="1"/>
          <w:color w:val="auto"/>
        </w:rPr>
        <w:t>Part IV</w:t>
      </w:r>
    </w:p>
    <w:p>
      <w:pPr>
        <w:spacing w:after="0" w:line="25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50" w:lineRule="exact"/>
        <w:rPr>
          <w:sz w:val="20"/>
          <w:szCs w:val="20"/>
          <w:color w:val="auto"/>
        </w:rPr>
      </w:pPr>
    </w:p>
    <w:p>
      <w:pPr>
        <w:ind w:left="370" w:hanging="370"/>
        <w:spacing w:after="0"/>
        <w:tabs>
          <w:tab w:leader="none" w:pos="37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Documents Filed with Report</w:t>
      </w:r>
    </w:p>
    <w:p>
      <w:pPr>
        <w:spacing w:after="0" w:line="130" w:lineRule="exact"/>
        <w:rPr>
          <w:rFonts w:ascii="Arial" w:cs="Arial" w:eastAsia="Arial" w:hAnsi="Arial"/>
          <w:sz w:val="20"/>
          <w:szCs w:val="20"/>
          <w:b w:val="1"/>
          <w:bCs w:val="1"/>
          <w:color w:val="auto"/>
        </w:rPr>
      </w:pPr>
    </w:p>
    <w:p>
      <w:pPr>
        <w:ind w:left="1090" w:hanging="370"/>
        <w:spacing w:after="0"/>
        <w:tabs>
          <w:tab w:leader="none" w:pos="1090" w:val="left"/>
        </w:tabs>
        <w:numPr>
          <w:ilvl w:val="1"/>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Consolidated Financial Statements</w:t>
      </w:r>
    </w:p>
    <w:p>
      <w:pPr>
        <w:spacing w:after="0" w:line="77" w:lineRule="exact"/>
        <w:rPr>
          <w:rFonts w:ascii="Arial" w:cs="Arial" w:eastAsia="Arial" w:hAnsi="Arial"/>
          <w:sz w:val="20"/>
          <w:szCs w:val="20"/>
          <w:b w:val="1"/>
          <w:bCs w:val="1"/>
          <w:color w:val="auto"/>
        </w:rPr>
      </w:pPr>
    </w:p>
    <w:p>
      <w:pPr>
        <w:ind w:left="1090" w:right="780"/>
        <w:spacing w:after="0" w:line="283" w:lineRule="auto"/>
        <w:rPr>
          <w:rFonts w:ascii="Arial" w:cs="Arial" w:eastAsia="Arial" w:hAnsi="Arial"/>
          <w:sz w:val="20"/>
          <w:szCs w:val="20"/>
          <w:b w:val="1"/>
          <w:bCs w:val="1"/>
          <w:color w:val="auto"/>
        </w:rPr>
      </w:pPr>
      <w:r>
        <w:rPr>
          <w:rFonts w:ascii="Arial" w:cs="Arial" w:eastAsia="Arial" w:hAnsi="Arial"/>
          <w:sz w:val="20"/>
          <w:szCs w:val="20"/>
          <w:color w:val="auto"/>
        </w:rPr>
        <w:t>The consolidated financial statements are filed as part of this Annual Report on Form 10-K under Item 8, “Financial Statements and Supplementary Data”</w:t>
      </w:r>
    </w:p>
    <w:p>
      <w:pPr>
        <w:spacing w:after="0" w:line="50" w:lineRule="exact"/>
        <w:rPr>
          <w:rFonts w:ascii="Arial" w:cs="Arial" w:eastAsia="Arial" w:hAnsi="Arial"/>
          <w:sz w:val="20"/>
          <w:szCs w:val="20"/>
          <w:b w:val="1"/>
          <w:bCs w:val="1"/>
          <w:color w:val="auto"/>
        </w:rPr>
      </w:pPr>
    </w:p>
    <w:p>
      <w:pPr>
        <w:ind w:left="1090" w:hanging="370"/>
        <w:spacing w:after="0"/>
        <w:tabs>
          <w:tab w:leader="none" w:pos="1090" w:val="left"/>
        </w:tabs>
        <w:numPr>
          <w:ilvl w:val="1"/>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 Schedules</w:t>
      </w:r>
    </w:p>
    <w:p>
      <w:pPr>
        <w:spacing w:after="0" w:line="77" w:lineRule="exact"/>
        <w:rPr>
          <w:rFonts w:ascii="Arial" w:cs="Arial" w:eastAsia="Arial" w:hAnsi="Arial"/>
          <w:sz w:val="20"/>
          <w:szCs w:val="20"/>
          <w:b w:val="1"/>
          <w:bCs w:val="1"/>
          <w:color w:val="auto"/>
        </w:rPr>
      </w:pPr>
    </w:p>
    <w:p>
      <w:pPr>
        <w:ind w:left="1090"/>
        <w:spacing w:after="0"/>
        <w:rPr>
          <w:rFonts w:ascii="Arial" w:cs="Arial" w:eastAsia="Arial" w:hAnsi="Arial"/>
          <w:sz w:val="20"/>
          <w:szCs w:val="20"/>
          <w:b w:val="1"/>
          <w:bCs w:val="1"/>
          <w:color w:val="auto"/>
        </w:rPr>
      </w:pPr>
      <w:r>
        <w:rPr>
          <w:rFonts w:ascii="Arial" w:cs="Arial" w:eastAsia="Arial" w:hAnsi="Arial"/>
          <w:sz w:val="19"/>
          <w:szCs w:val="19"/>
          <w:color w:val="auto"/>
        </w:rPr>
        <w:t>Schedule II - Valuation and Qualifying Accounts for the years ended December 31, 2025, 2024 and 2023</w:t>
      </w:r>
    </w:p>
    <w:p>
      <w:pPr>
        <w:spacing w:after="0" w:line="101" w:lineRule="exact"/>
        <w:rPr>
          <w:rFonts w:ascii="Arial" w:cs="Arial" w:eastAsia="Arial" w:hAnsi="Arial"/>
          <w:sz w:val="20"/>
          <w:szCs w:val="20"/>
          <w:b w:val="1"/>
          <w:bCs w:val="1"/>
          <w:color w:val="auto"/>
        </w:rPr>
      </w:pPr>
    </w:p>
    <w:p>
      <w:pPr>
        <w:ind w:left="1090" w:right="60"/>
        <w:spacing w:after="0" w:line="266" w:lineRule="auto"/>
        <w:rPr>
          <w:rFonts w:ascii="Arial" w:cs="Arial" w:eastAsia="Arial" w:hAnsi="Arial"/>
          <w:sz w:val="20"/>
          <w:szCs w:val="20"/>
          <w:b w:val="1"/>
          <w:bCs w:val="1"/>
          <w:color w:val="auto"/>
        </w:rPr>
      </w:pPr>
      <w:r>
        <w:rPr>
          <w:rFonts w:ascii="Arial" w:cs="Arial" w:eastAsia="Arial" w:hAnsi="Arial"/>
          <w:sz w:val="20"/>
          <w:szCs w:val="20"/>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68" w:lineRule="exact"/>
        <w:rPr>
          <w:rFonts w:ascii="Arial" w:cs="Arial" w:eastAsia="Arial" w:hAnsi="Arial"/>
          <w:sz w:val="20"/>
          <w:szCs w:val="20"/>
          <w:b w:val="1"/>
          <w:bCs w:val="1"/>
          <w:color w:val="auto"/>
        </w:rPr>
      </w:pPr>
    </w:p>
    <w:p>
      <w:pPr>
        <w:ind w:left="1090" w:hanging="370"/>
        <w:spacing w:after="0"/>
        <w:tabs>
          <w:tab w:leader="none" w:pos="1090" w:val="left"/>
        </w:tabs>
        <w:numPr>
          <w:ilvl w:val="1"/>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Exhibits</w:t>
      </w:r>
    </w:p>
    <w:p>
      <w:pPr>
        <w:spacing w:after="0" w:line="77" w:lineRule="exact"/>
        <w:rPr>
          <w:rFonts w:ascii="Arial" w:cs="Arial" w:eastAsia="Arial" w:hAnsi="Arial"/>
          <w:sz w:val="20"/>
          <w:szCs w:val="20"/>
          <w:b w:val="1"/>
          <w:bCs w:val="1"/>
          <w:color w:val="auto"/>
        </w:rPr>
      </w:pPr>
    </w:p>
    <w:p>
      <w:pPr>
        <w:ind w:left="1090" w:right="120"/>
        <w:spacing w:after="0" w:line="283" w:lineRule="auto"/>
        <w:rPr>
          <w:rFonts w:ascii="Arial" w:cs="Arial" w:eastAsia="Arial" w:hAnsi="Arial"/>
          <w:sz w:val="20"/>
          <w:szCs w:val="20"/>
          <w:b w:val="1"/>
          <w:bCs w:val="1"/>
          <w:color w:val="auto"/>
        </w:rPr>
      </w:pPr>
      <w:r>
        <w:rPr>
          <w:rFonts w:ascii="Arial" w:cs="Arial" w:eastAsia="Arial" w:hAnsi="Arial"/>
          <w:sz w:val="20"/>
          <w:szCs w:val="20"/>
          <w:color w:val="auto"/>
        </w:rPr>
        <w:t>The exhibits listed in the following Exhibit Index are filed, furnished, or incorporated by reference, as applicable, as part of this Annual Report on Form 10-K.</w:t>
      </w:r>
    </w:p>
    <w:p>
      <w:pPr>
        <w:sectPr>
          <w:pgSz w:w="11880" w:h="15480" w:orient="portrait"/>
          <w:cols w:equalWidth="0" w:num="1">
            <w:col w:w="10270"/>
          </w:cols>
          <w:pgMar w:left="810" w:top="40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-389255</wp:posOffset>
            </wp:positionV>
            <wp:extent cx="762000"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7">
                      <a:extLst>
                        <a:ext uri="{28A0092B-C50C-407E-A947-70E740481C1C}"/>
                      </a:extLst>
                    </a:blip>
                    <a:srcRect/>
                    <a:stretch>
                      <a:fillRect/>
                    </a:stretch>
                  </pic:blipFill>
                  <pic:spPr bwMode="auto">
                    <a:xfrm>
                      <a:off x="0" y="0"/>
                      <a:ext cx="762000"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762000"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8">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3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20" w:type="dxa"/>
            <w:vAlign w:val="bottom"/>
            <w:gridSpan w:val="2"/>
          </w:tcPr>
          <w:p>
            <w:pPr>
              <w:ind w:left="10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line="192"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Description of Exhibits</w:t>
            </w:r>
          </w:p>
        </w:tc>
        <w:tc>
          <w:tcPr>
            <w:tcW w:w="14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0"/>
              </w:rPr>
              <w:t>Furnished</w:t>
            </w:r>
          </w:p>
        </w:tc>
        <w:tc>
          <w:tcPr>
            <w:tcW w:w="140" w:type="dxa"/>
            <w:vAlign w:val="bottom"/>
          </w:tcPr>
          <w:p>
            <w:pPr>
              <w:spacing w:after="0"/>
              <w:rPr>
                <w:sz w:val="17"/>
                <w:szCs w:val="17"/>
                <w:color w:val="auto"/>
              </w:rPr>
            </w:pPr>
          </w:p>
        </w:tc>
        <w:tc>
          <w:tcPr>
            <w:tcW w:w="700" w:type="dxa"/>
            <w:vAlign w:val="bottom"/>
            <w:vMerge w:val="restart"/>
          </w:tcPr>
          <w:p>
            <w:pPr>
              <w:ind w:left="140"/>
              <w:spacing w:after="0"/>
              <w:rPr>
                <w:sz w:val="20"/>
                <w:szCs w:val="20"/>
                <w:color w:val="auto"/>
              </w:rPr>
            </w:pPr>
            <w:r>
              <w:rPr>
                <w:rFonts w:ascii="Arial" w:cs="Arial" w:eastAsia="Arial" w:hAnsi="Arial"/>
                <w:sz w:val="20"/>
                <w:szCs w:val="20"/>
                <w:b w:val="1"/>
                <w:bCs w:val="1"/>
                <w:color w:val="auto"/>
              </w:rPr>
              <w:t>Form</w:t>
            </w:r>
          </w:p>
        </w:tc>
        <w:tc>
          <w:tcPr>
            <w:tcW w:w="1140" w:type="dxa"/>
            <w:vAlign w:val="bottom"/>
            <w:vMerge w:val="restart"/>
          </w:tcPr>
          <w:p>
            <w:pPr>
              <w:ind w:left="320"/>
              <w:spacing w:after="0"/>
              <w:rPr>
                <w:sz w:val="20"/>
                <w:szCs w:val="20"/>
                <w:color w:val="auto"/>
              </w:rPr>
            </w:pPr>
            <w:r>
              <w:rPr>
                <w:rFonts w:ascii="Arial" w:cs="Arial" w:eastAsia="Arial" w:hAnsi="Arial"/>
                <w:sz w:val="20"/>
                <w:szCs w:val="20"/>
                <w:b w:val="1"/>
                <w:bCs w:val="1"/>
                <w:color w:val="auto"/>
              </w:rPr>
              <w:t>File No.</w:t>
            </w:r>
          </w:p>
        </w:tc>
        <w:tc>
          <w:tcPr>
            <w:tcW w:w="208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Exhibit  Filing Date</w:t>
            </w:r>
          </w:p>
        </w:tc>
        <w:tc>
          <w:tcPr>
            <w:tcW w:w="0" w:type="dxa"/>
            <w:vAlign w:val="bottom"/>
          </w:tcPr>
          <w:p>
            <w:pPr>
              <w:spacing w:after="0"/>
              <w:rPr>
                <w:sz w:val="1"/>
                <w:szCs w:val="1"/>
                <w:color w:val="auto"/>
              </w:rPr>
            </w:pPr>
          </w:p>
        </w:tc>
      </w:tr>
      <w:tr>
        <w:trPr>
          <w:trHeight w:val="263"/>
        </w:trPr>
        <w:tc>
          <w:tcPr>
            <w:tcW w:w="36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20"/>
                <w:szCs w:val="20"/>
                <w:b w:val="1"/>
                <w:bCs w:val="1"/>
                <w:color w:val="auto"/>
                <w:w w:val="94"/>
              </w:rPr>
              <w:t>Herewith</w:t>
            </w:r>
          </w:p>
        </w:tc>
        <w:tc>
          <w:tcPr>
            <w:tcW w:w="1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5676900"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9">
                      <a:extLst>
                        <a:ext uri="{28A0092B-C50C-407E-A947-70E740481C1C}"/>
                      </a:extLst>
                    </a:blip>
                    <a:srcRect/>
                    <a:stretch>
                      <a:fillRect/>
                    </a:stretch>
                  </pic:blipFill>
                  <pic:spPr bwMode="auto">
                    <a:xfrm>
                      <a:off x="0" y="0"/>
                      <a:ext cx="5676900" cy="12700"/>
                    </a:xfrm>
                    <a:prstGeom prst="rect">
                      <a:avLst/>
                    </a:prstGeom>
                    <a:noFill/>
                  </pic:spPr>
                </pic:pic>
              </a:graphicData>
            </a:graphic>
          </wp:anchor>
        </w:drawing>
      </w:r>
    </w:p>
    <w:p>
      <w:pPr>
        <w:spacing w:after="0" w:line="1" w:lineRule="exact"/>
        <w:rPr>
          <w:sz w:val="20"/>
          <w:szCs w:val="20"/>
          <w:color w:val="auto"/>
        </w:rPr>
      </w:pPr>
    </w:p>
    <w:p>
      <w:pPr>
        <w:sectPr>
          <w:pgSz w:w="11880" w:h="15480" w:orient="portrait"/>
          <w:cols w:equalWidth="0" w:num="2">
            <w:col w:w="1070" w:space="260"/>
            <w:col w:w="8940"/>
          </w:cols>
          <w:pgMar w:left="810" w:top="405" w:right="800" w:bottom="0" w:gutter="0" w:footer="0" w:header="0"/>
          <w:type w:val="continuous"/>
        </w:sectPr>
      </w:pPr>
    </w:p>
    <w:p>
      <w:pPr>
        <w:spacing w:after="0" w:line="99" w:lineRule="exact"/>
        <w:rPr>
          <w:sz w:val="20"/>
          <w:szCs w:val="20"/>
          <w:color w:val="auto"/>
        </w:rPr>
      </w:pPr>
    </w:p>
    <w:p>
      <w:pPr>
        <w:ind w:left="50"/>
        <w:spacing w:after="0"/>
        <w:rPr>
          <w:sz w:val="20"/>
          <w:szCs w:val="20"/>
          <w:color w:val="auto"/>
        </w:rPr>
      </w:pPr>
      <w:r>
        <w:rPr>
          <w:rFonts w:ascii="Arial" w:cs="Arial" w:eastAsia="Arial" w:hAnsi="Arial"/>
          <w:sz w:val="20"/>
          <w:szCs w:val="20"/>
          <w:color w:val="auto"/>
        </w:rPr>
        <w:t>3.1</w:t>
      </w:r>
    </w:p>
    <w:p>
      <w:pPr>
        <w:spacing w:after="0" w:line="200" w:lineRule="exact"/>
        <w:rPr>
          <w:sz w:val="20"/>
          <w:szCs w:val="20"/>
          <w:color w:val="auto"/>
        </w:rPr>
      </w:pPr>
    </w:p>
    <w:p>
      <w:pPr>
        <w:spacing w:after="0" w:line="365" w:lineRule="exact"/>
        <w:rPr>
          <w:sz w:val="20"/>
          <w:szCs w:val="20"/>
          <w:color w:val="auto"/>
        </w:rPr>
      </w:pPr>
    </w:p>
    <w:p>
      <w:pPr>
        <w:ind w:left="50"/>
        <w:spacing w:after="0"/>
        <w:rPr>
          <w:sz w:val="20"/>
          <w:szCs w:val="20"/>
          <w:color w:val="auto"/>
        </w:rPr>
      </w:pPr>
      <w:r>
        <w:rPr>
          <w:rFonts w:ascii="Arial" w:cs="Arial" w:eastAsia="Arial" w:hAnsi="Arial"/>
          <w:sz w:val="20"/>
          <w:szCs w:val="20"/>
          <w:color w:val="auto"/>
        </w:rPr>
        <w:t>3.2</w:t>
      </w:r>
    </w:p>
    <w:p>
      <w:pPr>
        <w:spacing w:after="0" w:line="200" w:lineRule="exact"/>
        <w:rPr>
          <w:sz w:val="20"/>
          <w:szCs w:val="20"/>
          <w:color w:val="auto"/>
        </w:rPr>
      </w:pPr>
    </w:p>
    <w:p>
      <w:pPr>
        <w:spacing w:after="0" w:line="365" w:lineRule="exact"/>
        <w:rPr>
          <w:sz w:val="20"/>
          <w:szCs w:val="20"/>
          <w:color w:val="auto"/>
        </w:rPr>
      </w:pPr>
    </w:p>
    <w:p>
      <w:pPr>
        <w:ind w:left="50"/>
        <w:spacing w:after="0"/>
        <w:rPr>
          <w:sz w:val="20"/>
          <w:szCs w:val="20"/>
          <w:color w:val="auto"/>
        </w:rPr>
      </w:pPr>
      <w:r>
        <w:rPr>
          <w:rFonts w:ascii="Arial" w:cs="Arial" w:eastAsia="Arial" w:hAnsi="Arial"/>
          <w:sz w:val="20"/>
          <w:szCs w:val="20"/>
          <w:color w:val="auto"/>
        </w:rPr>
        <w:t>3.3</w:t>
      </w:r>
    </w:p>
    <w:p>
      <w:pPr>
        <w:spacing w:after="0" w:line="265" w:lineRule="exact"/>
        <w:rPr>
          <w:sz w:val="20"/>
          <w:szCs w:val="20"/>
          <w:color w:val="auto"/>
        </w:rPr>
      </w:pPr>
    </w:p>
    <w:p>
      <w:pPr>
        <w:ind w:left="50"/>
        <w:spacing w:after="0"/>
        <w:rPr>
          <w:sz w:val="20"/>
          <w:szCs w:val="20"/>
          <w:color w:val="auto"/>
        </w:rPr>
      </w:pPr>
      <w:r>
        <w:rPr>
          <w:rFonts w:ascii="Arial" w:cs="Arial" w:eastAsia="Arial" w:hAnsi="Arial"/>
          <w:sz w:val="20"/>
          <w:szCs w:val="20"/>
          <w:color w:val="auto"/>
        </w:rPr>
        <w:t>4.1</w:t>
      </w:r>
    </w:p>
    <w:p>
      <w:pPr>
        <w:spacing w:after="0" w:line="265" w:lineRule="exact"/>
        <w:rPr>
          <w:sz w:val="20"/>
          <w:szCs w:val="20"/>
          <w:color w:val="auto"/>
        </w:rPr>
      </w:pPr>
    </w:p>
    <w:p>
      <w:pPr>
        <w:ind w:left="50"/>
        <w:spacing w:after="0"/>
        <w:rPr>
          <w:sz w:val="20"/>
          <w:szCs w:val="20"/>
          <w:color w:val="auto"/>
        </w:rPr>
      </w:pPr>
      <w:r>
        <w:rPr>
          <w:rFonts w:ascii="Arial" w:cs="Arial" w:eastAsia="Arial" w:hAnsi="Arial"/>
          <w:sz w:val="20"/>
          <w:szCs w:val="20"/>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
        <w:spacing w:after="0"/>
        <w:rPr>
          <w:sz w:val="20"/>
          <w:szCs w:val="20"/>
          <w:color w:val="auto"/>
        </w:rPr>
      </w:pPr>
      <w:r>
        <w:rPr>
          <w:rFonts w:ascii="Arial" w:cs="Arial" w:eastAsia="Arial" w:hAnsi="Arial"/>
          <w:sz w:val="20"/>
          <w:szCs w:val="20"/>
          <w:color w:val="auto"/>
        </w:rPr>
        <w:t>4.3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
        <w:spacing w:after="0"/>
        <w:rPr>
          <w:sz w:val="20"/>
          <w:szCs w:val="20"/>
          <w:color w:val="auto"/>
        </w:rPr>
      </w:pPr>
      <w:r>
        <w:rPr>
          <w:rFonts w:ascii="Arial" w:cs="Arial" w:eastAsia="Arial" w:hAnsi="Arial"/>
          <w:sz w:val="20"/>
          <w:szCs w:val="20"/>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
        <w:spacing w:after="0"/>
        <w:rPr>
          <w:sz w:val="20"/>
          <w:szCs w:val="20"/>
          <w:color w:val="auto"/>
        </w:rPr>
      </w:pPr>
      <w:r>
        <w:rPr>
          <w:rFonts w:ascii="Arial" w:cs="Arial" w:eastAsia="Arial" w:hAnsi="Arial"/>
          <w:sz w:val="20"/>
          <w:szCs w:val="20"/>
          <w:color w:val="auto"/>
        </w:rPr>
        <w:t>4.5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88" w:lineRule="exact"/>
        <w:rPr>
          <w:sz w:val="20"/>
          <w:szCs w:val="20"/>
          <w:color w:val="auto"/>
        </w:rPr>
      </w:pPr>
    </w:p>
    <w:p>
      <w:pPr>
        <w:ind w:left="5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br w:type="column"/>
      </w:r>
    </w:p>
    <w:p>
      <w:pPr>
        <w:spacing w:after="0" w:line="208" w:lineRule="auto"/>
        <w:rPr>
          <w:sz w:val="20"/>
          <w:szCs w:val="20"/>
          <w:color w:val="auto"/>
        </w:rPr>
      </w:pPr>
      <w:r>
        <w:rPr>
          <w:rFonts w:ascii="Arial" w:cs="Arial" w:eastAsia="Arial" w:hAnsi="Arial"/>
          <w:sz w:val="20"/>
          <w:szCs w:val="20"/>
          <w:u w:val="single" w:color="auto"/>
          <w:color w:val="1C2790"/>
        </w:rPr>
        <w:t>Amended and Restated Certificate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Incorporation of the Registrant</w:t>
      </w:r>
    </w:p>
    <w:p>
      <w:pPr>
        <w:spacing w:after="0" w:line="165" w:lineRule="exact"/>
        <w:rPr>
          <w:sz w:val="20"/>
          <w:szCs w:val="20"/>
          <w:color w:val="auto"/>
        </w:rPr>
      </w:pPr>
    </w:p>
    <w:p>
      <w:pPr>
        <w:ind w:right="900"/>
        <w:spacing w:after="0" w:line="224" w:lineRule="auto"/>
        <w:rPr>
          <w:sz w:val="20"/>
          <w:szCs w:val="20"/>
          <w:color w:val="auto"/>
        </w:rPr>
      </w:pPr>
      <w:r>
        <w:rPr>
          <w:rFonts w:ascii="Arial" w:cs="Arial" w:eastAsia="Arial" w:hAnsi="Arial"/>
          <w:sz w:val="20"/>
          <w:szCs w:val="20"/>
          <w:u w:val="single" w:color="auto"/>
          <w:color w:val="1C2790"/>
        </w:rPr>
        <w:t>Certificate of Amendment to the Amended and Restated Certificate of Incorporation of Sotera Health Company, dated May 23, 2024</w:t>
      </w:r>
    </w:p>
    <w:p>
      <w:pPr>
        <w:spacing w:after="0" w:line="136" w:lineRule="exact"/>
        <w:rPr>
          <w:sz w:val="20"/>
          <w:szCs w:val="20"/>
          <w:color w:val="auto"/>
        </w:rPr>
      </w:pPr>
    </w:p>
    <w:p>
      <w:pPr>
        <w:ind w:right="1120"/>
        <w:spacing w:after="0" w:line="241" w:lineRule="auto"/>
        <w:rPr>
          <w:sz w:val="20"/>
          <w:szCs w:val="20"/>
          <w:color w:val="auto"/>
        </w:rPr>
      </w:pPr>
      <w:r>
        <w:rPr>
          <w:rFonts w:ascii="Arial" w:cs="Arial" w:eastAsia="Arial" w:hAnsi="Arial"/>
          <w:sz w:val="20"/>
          <w:szCs w:val="20"/>
          <w:u w:val="single" w:color="auto"/>
          <w:color w:val="1C2790"/>
        </w:rPr>
        <w:t>Amended and Restated Bylaws of Sotera Health Company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Description of our Common Stock</w:t>
      </w:r>
    </w:p>
    <w:p>
      <w:pPr>
        <w:spacing w:after="0" w:line="165" w:lineRule="exact"/>
        <w:rPr>
          <w:sz w:val="20"/>
          <w:szCs w:val="20"/>
          <w:color w:val="auto"/>
        </w:rPr>
      </w:pPr>
    </w:p>
    <w:p>
      <w:pPr>
        <w:ind w:right="940"/>
        <w:spacing w:after="0" w:line="241" w:lineRule="auto"/>
        <w:rPr>
          <w:sz w:val="20"/>
          <w:szCs w:val="20"/>
          <w:color w:val="auto"/>
        </w:rPr>
      </w:pPr>
      <w:r>
        <w:rPr>
          <w:rFonts w:ascii="Arial" w:cs="Arial" w:eastAsia="Arial" w:hAnsi="Arial"/>
          <w:sz w:val="20"/>
          <w:szCs w:val="20"/>
          <w:u w:val="single" w:color="auto"/>
          <w:color w:val="1C2790"/>
        </w:rPr>
        <w:t>Amended and Restated Registration Rights Agreement</w:t>
      </w:r>
    </w:p>
    <w:p>
      <w:pPr>
        <w:spacing w:after="0" w:line="143" w:lineRule="exact"/>
        <w:rPr>
          <w:sz w:val="20"/>
          <w:szCs w:val="20"/>
          <w:color w:val="auto"/>
        </w:rPr>
      </w:pPr>
    </w:p>
    <w:p>
      <w:pPr>
        <w:ind w:right="900"/>
        <w:spacing w:after="0" w:line="219" w:lineRule="auto"/>
        <w:rPr>
          <w:sz w:val="20"/>
          <w:szCs w:val="20"/>
          <w:color w:val="auto"/>
        </w:rPr>
      </w:pPr>
      <w:r>
        <w:rPr>
          <w:rFonts w:ascii="Arial" w:cs="Arial" w:eastAsia="Arial" w:hAnsi="Arial"/>
          <w:sz w:val="20"/>
          <w:szCs w:val="20"/>
          <w:u w:val="single" w:color="auto"/>
          <w:color w:val="1C2790"/>
        </w:rPr>
        <w:t>Indenture dated as of May 30, 2024, among Sotera Health Holdings, LLC, as Issuer of the Notes, Sotera Health Company, as Holdings, and the Guarantors party hereto and Wilmington Trust, National Association</w:t>
      </w:r>
    </w:p>
    <w:p>
      <w:pPr>
        <w:spacing w:after="0" w:line="146" w:lineRule="exact"/>
        <w:rPr>
          <w:sz w:val="20"/>
          <w:szCs w:val="20"/>
          <w:color w:val="auto"/>
        </w:rPr>
      </w:pPr>
    </w:p>
    <w:p>
      <w:pPr>
        <w:ind w:right="960"/>
        <w:spacing w:after="0" w:line="241" w:lineRule="auto"/>
        <w:rPr>
          <w:sz w:val="20"/>
          <w:szCs w:val="20"/>
          <w:color w:val="auto"/>
        </w:rPr>
      </w:pPr>
      <w:r>
        <w:rPr>
          <w:rFonts w:ascii="Arial" w:cs="Arial" w:eastAsia="Arial" w:hAnsi="Arial"/>
          <w:sz w:val="20"/>
          <w:szCs w:val="20"/>
          <w:u w:val="single" w:color="auto"/>
          <w:color w:val="1C2790"/>
        </w:rPr>
        <w:t>Form of 7.375% Senior Secured Notes due 2031</w:t>
      </w:r>
    </w:p>
    <w:p>
      <w:pPr>
        <w:spacing w:after="0" w:line="123" w:lineRule="exact"/>
        <w:rPr>
          <w:sz w:val="20"/>
          <w:szCs w:val="20"/>
          <w:color w:val="auto"/>
        </w:rPr>
      </w:pPr>
    </w:p>
    <w:p>
      <w:pPr>
        <w:ind w:right="900"/>
        <w:spacing w:after="0" w:line="233" w:lineRule="auto"/>
        <w:rPr>
          <w:sz w:val="20"/>
          <w:szCs w:val="20"/>
          <w:color w:val="auto"/>
        </w:rPr>
      </w:pPr>
      <w:r>
        <w:rPr>
          <w:rFonts w:ascii="Arial" w:cs="Arial" w:eastAsia="Arial" w:hAnsi="Arial"/>
          <w:sz w:val="19"/>
          <w:szCs w:val="19"/>
          <w:u w:val="single" w:color="auto"/>
          <w:color w:val="1C2790"/>
        </w:rPr>
        <w:t>Notes Security Agreement, dated as of May 30, 2024, among Sotera Health Holdings, LLC, Sotera Health Company, the other Grantors party thereto, and Wilmington Trust, National Association</w:t>
      </w:r>
    </w:p>
    <w:p>
      <w:pPr>
        <w:spacing w:after="0" w:line="129" w:lineRule="exact"/>
        <w:rPr>
          <w:sz w:val="20"/>
          <w:szCs w:val="20"/>
          <w:color w:val="auto"/>
        </w:rPr>
      </w:pPr>
    </w:p>
    <w:p>
      <w:pPr>
        <w:ind w:right="1000"/>
        <w:spacing w:after="0" w:line="286" w:lineRule="auto"/>
        <w:rPr>
          <w:sz w:val="20"/>
          <w:szCs w:val="20"/>
          <w:color w:val="auto"/>
        </w:rPr>
      </w:pPr>
      <w:r>
        <w:rPr>
          <w:rFonts w:ascii="Arial" w:cs="Arial" w:eastAsia="Arial" w:hAnsi="Arial"/>
          <w:sz w:val="17"/>
          <w:szCs w:val="17"/>
          <w:u w:val="single" w:color="auto"/>
          <w:color w:val="1C2790"/>
        </w:rPr>
        <w:t>Employment Agreement by and between Sotera Health Company and Michael B. Petras, Jr., dated as of November 10, 2020</w:t>
      </w:r>
    </w:p>
    <w:p>
      <w:pPr>
        <w:spacing w:after="0" w:line="96" w:lineRule="exact"/>
        <w:rPr>
          <w:sz w:val="20"/>
          <w:szCs w:val="20"/>
          <w:color w:val="auto"/>
        </w:rPr>
      </w:pPr>
    </w:p>
    <w:p>
      <w:pPr>
        <w:ind w:right="980"/>
        <w:spacing w:after="0" w:line="230" w:lineRule="auto"/>
        <w:rPr>
          <w:sz w:val="20"/>
          <w:szCs w:val="20"/>
          <w:color w:val="auto"/>
        </w:rPr>
      </w:pPr>
      <w:r>
        <w:rPr>
          <w:rFonts w:ascii="Arial" w:cs="Arial" w:eastAsia="Arial" w:hAnsi="Arial"/>
          <w:sz w:val="20"/>
          <w:szCs w:val="20"/>
          <w:u w:val="single" w:color="auto"/>
          <w:color w:val="1C2790"/>
        </w:rPr>
        <w:t>Executed Employment Offer by Sotera Health Company and Alex Dimitrief dated as of October 28, 2022</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0" w:type="dxa"/>
            <w:vAlign w:val="bottom"/>
          </w:tcPr>
          <w:p>
            <w:pPr>
              <w:jc w:val="center"/>
              <w:ind w:right="40"/>
              <w:spacing w:after="0"/>
              <w:rPr>
                <w:sz w:val="20"/>
                <w:szCs w:val="20"/>
                <w:color w:val="auto"/>
              </w:rPr>
            </w:pPr>
            <w:r>
              <w:rPr>
                <w:rFonts w:ascii="Arial" w:cs="Arial" w:eastAsia="Arial" w:hAnsi="Arial"/>
                <w:sz w:val="20"/>
                <w:szCs w:val="20"/>
                <w:color w:val="auto"/>
                <w:w w:val="94"/>
              </w:rPr>
              <w:t>10-K</w:t>
            </w: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001-39729</w:t>
            </w:r>
          </w:p>
        </w:tc>
        <w:tc>
          <w:tcPr>
            <w:tcW w:w="680" w:type="dxa"/>
            <w:vAlign w:val="bottom"/>
          </w:tcPr>
          <w:p>
            <w:pPr>
              <w:jc w:val="center"/>
              <w:spacing w:after="0"/>
              <w:rPr>
                <w:sz w:val="20"/>
                <w:szCs w:val="20"/>
                <w:color w:val="auto"/>
              </w:rPr>
            </w:pPr>
            <w:r>
              <w:rPr>
                <w:rFonts w:ascii="Arial" w:cs="Arial" w:eastAsia="Arial" w:hAnsi="Arial"/>
                <w:sz w:val="20"/>
                <w:szCs w:val="20"/>
                <w:color w:val="auto"/>
                <w:w w:val="93"/>
              </w:rPr>
              <w:t>3.1</w:t>
            </w:r>
          </w:p>
        </w:tc>
        <w:tc>
          <w:tcPr>
            <w:tcW w:w="1100" w:type="dxa"/>
            <w:vAlign w:val="bottom"/>
          </w:tcPr>
          <w:p>
            <w:pPr>
              <w:jc w:val="right"/>
              <w:spacing w:after="0"/>
              <w:rPr>
                <w:sz w:val="20"/>
                <w:szCs w:val="20"/>
                <w:color w:val="auto"/>
              </w:rPr>
            </w:pPr>
            <w:r>
              <w:rPr>
                <w:rFonts w:ascii="Arial" w:cs="Arial" w:eastAsia="Arial" w:hAnsi="Arial"/>
                <w:sz w:val="20"/>
                <w:szCs w:val="20"/>
                <w:color w:val="auto"/>
              </w:rPr>
              <w:t>2021-03-09</w:t>
            </w:r>
          </w:p>
        </w:tc>
      </w:tr>
      <w:tr>
        <w:trPr>
          <w:trHeight w:val="795"/>
        </w:trPr>
        <w:tc>
          <w:tcPr>
            <w:tcW w:w="620" w:type="dxa"/>
            <w:vAlign w:val="bottom"/>
          </w:tcPr>
          <w:p>
            <w:pPr>
              <w:jc w:val="center"/>
              <w:ind w:right="40"/>
              <w:spacing w:after="0"/>
              <w:rPr>
                <w:sz w:val="20"/>
                <w:szCs w:val="20"/>
                <w:color w:val="auto"/>
              </w:rPr>
            </w:pPr>
            <w:r>
              <w:rPr>
                <w:rFonts w:ascii="Arial" w:cs="Arial" w:eastAsia="Arial" w:hAnsi="Arial"/>
                <w:sz w:val="20"/>
                <w:szCs w:val="20"/>
                <w:color w:val="auto"/>
              </w:rPr>
              <w:t>8-K</w:t>
            </w: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001-39729</w:t>
            </w:r>
          </w:p>
        </w:tc>
        <w:tc>
          <w:tcPr>
            <w:tcW w:w="680" w:type="dxa"/>
            <w:vAlign w:val="bottom"/>
          </w:tcPr>
          <w:p>
            <w:pPr>
              <w:jc w:val="center"/>
              <w:spacing w:after="0"/>
              <w:rPr>
                <w:sz w:val="20"/>
                <w:szCs w:val="20"/>
                <w:color w:val="auto"/>
              </w:rPr>
            </w:pPr>
            <w:r>
              <w:rPr>
                <w:rFonts w:ascii="Arial" w:cs="Arial" w:eastAsia="Arial" w:hAnsi="Arial"/>
                <w:sz w:val="20"/>
                <w:szCs w:val="20"/>
                <w:color w:val="auto"/>
                <w:w w:val="93"/>
              </w:rPr>
              <w:t>3.1</w:t>
            </w:r>
          </w:p>
        </w:tc>
        <w:tc>
          <w:tcPr>
            <w:tcW w:w="1100" w:type="dxa"/>
            <w:vAlign w:val="bottom"/>
          </w:tcPr>
          <w:p>
            <w:pPr>
              <w:jc w:val="right"/>
              <w:spacing w:after="0"/>
              <w:rPr>
                <w:sz w:val="20"/>
                <w:szCs w:val="20"/>
                <w:color w:val="auto"/>
              </w:rPr>
            </w:pPr>
            <w:r>
              <w:rPr>
                <w:rFonts w:ascii="Arial" w:cs="Arial" w:eastAsia="Arial" w:hAnsi="Arial"/>
                <w:sz w:val="20"/>
                <w:szCs w:val="20"/>
                <w:color w:val="auto"/>
              </w:rPr>
              <w:t>2024-05-24</w:t>
            </w:r>
          </w:p>
        </w:tc>
      </w:tr>
      <w:tr>
        <w:trPr>
          <w:trHeight w:val="795"/>
        </w:trPr>
        <w:tc>
          <w:tcPr>
            <w:tcW w:w="620" w:type="dxa"/>
            <w:vAlign w:val="bottom"/>
          </w:tcPr>
          <w:p>
            <w:pPr>
              <w:jc w:val="center"/>
              <w:ind w:right="40"/>
              <w:spacing w:after="0"/>
              <w:rPr>
                <w:sz w:val="20"/>
                <w:szCs w:val="20"/>
                <w:color w:val="auto"/>
              </w:rPr>
            </w:pPr>
            <w:r>
              <w:rPr>
                <w:rFonts w:ascii="Arial" w:cs="Arial" w:eastAsia="Arial" w:hAnsi="Arial"/>
                <w:sz w:val="20"/>
                <w:szCs w:val="20"/>
                <w:color w:val="auto"/>
                <w:w w:val="89"/>
              </w:rPr>
              <w:t>10-Q</w:t>
            </w: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001-39729</w:t>
            </w:r>
          </w:p>
        </w:tc>
        <w:tc>
          <w:tcPr>
            <w:tcW w:w="680" w:type="dxa"/>
            <w:vAlign w:val="bottom"/>
          </w:tcPr>
          <w:p>
            <w:pPr>
              <w:jc w:val="center"/>
              <w:spacing w:after="0"/>
              <w:rPr>
                <w:sz w:val="20"/>
                <w:szCs w:val="20"/>
                <w:color w:val="auto"/>
              </w:rPr>
            </w:pPr>
            <w:r>
              <w:rPr>
                <w:rFonts w:ascii="Arial" w:cs="Arial" w:eastAsia="Arial" w:hAnsi="Arial"/>
                <w:sz w:val="20"/>
                <w:szCs w:val="20"/>
                <w:color w:val="auto"/>
                <w:w w:val="93"/>
              </w:rPr>
              <w:t>3.1</w:t>
            </w:r>
          </w:p>
        </w:tc>
        <w:tc>
          <w:tcPr>
            <w:tcW w:w="1100" w:type="dxa"/>
            <w:vAlign w:val="bottom"/>
          </w:tcPr>
          <w:p>
            <w:pPr>
              <w:jc w:val="right"/>
              <w:spacing w:after="0"/>
              <w:rPr>
                <w:sz w:val="20"/>
                <w:szCs w:val="20"/>
                <w:color w:val="auto"/>
              </w:rPr>
            </w:pPr>
            <w:r>
              <w:rPr>
                <w:rFonts w:ascii="Arial" w:cs="Arial" w:eastAsia="Arial" w:hAnsi="Arial"/>
                <w:sz w:val="20"/>
                <w:szCs w:val="20"/>
                <w:color w:val="auto"/>
              </w:rPr>
              <w:t>2024-11-05</w:t>
            </w:r>
          </w:p>
        </w:tc>
      </w:tr>
      <w:tr>
        <w:trPr>
          <w:trHeight w:val="495"/>
        </w:trPr>
        <w:tc>
          <w:tcPr>
            <w:tcW w:w="620" w:type="dxa"/>
            <w:vAlign w:val="bottom"/>
          </w:tcPr>
          <w:p>
            <w:pPr>
              <w:jc w:val="center"/>
              <w:ind w:right="40"/>
              <w:spacing w:after="0"/>
              <w:rPr>
                <w:sz w:val="20"/>
                <w:szCs w:val="20"/>
                <w:color w:val="auto"/>
              </w:rPr>
            </w:pPr>
            <w:r>
              <w:rPr>
                <w:rFonts w:ascii="Arial" w:cs="Arial" w:eastAsia="Arial" w:hAnsi="Arial"/>
                <w:sz w:val="20"/>
                <w:szCs w:val="20"/>
                <w:color w:val="auto"/>
                <w:w w:val="94"/>
              </w:rPr>
              <w:t>10-K</w:t>
            </w: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001-39729</w:t>
            </w:r>
          </w:p>
        </w:tc>
        <w:tc>
          <w:tcPr>
            <w:tcW w:w="680" w:type="dxa"/>
            <w:vAlign w:val="bottom"/>
          </w:tcPr>
          <w:p>
            <w:pPr>
              <w:jc w:val="center"/>
              <w:spacing w:after="0"/>
              <w:rPr>
                <w:sz w:val="20"/>
                <w:szCs w:val="20"/>
                <w:color w:val="auto"/>
              </w:rPr>
            </w:pPr>
            <w:r>
              <w:rPr>
                <w:rFonts w:ascii="Arial" w:cs="Arial" w:eastAsia="Arial" w:hAnsi="Arial"/>
                <w:sz w:val="20"/>
                <w:szCs w:val="20"/>
                <w:color w:val="auto"/>
                <w:w w:val="93"/>
              </w:rPr>
              <w:t>4.1</w:t>
            </w:r>
          </w:p>
        </w:tc>
        <w:tc>
          <w:tcPr>
            <w:tcW w:w="1100" w:type="dxa"/>
            <w:vAlign w:val="bottom"/>
          </w:tcPr>
          <w:p>
            <w:pPr>
              <w:jc w:val="right"/>
              <w:spacing w:after="0"/>
              <w:rPr>
                <w:sz w:val="20"/>
                <w:szCs w:val="20"/>
                <w:color w:val="auto"/>
              </w:rPr>
            </w:pPr>
            <w:r>
              <w:rPr>
                <w:rFonts w:ascii="Arial" w:cs="Arial" w:eastAsia="Arial" w:hAnsi="Arial"/>
                <w:sz w:val="20"/>
                <w:szCs w:val="20"/>
                <w:color w:val="auto"/>
              </w:rPr>
              <w:t>2021-03-09</w:t>
            </w:r>
          </w:p>
        </w:tc>
      </w:tr>
      <w:tr>
        <w:trPr>
          <w:trHeight w:val="495"/>
        </w:trPr>
        <w:tc>
          <w:tcPr>
            <w:tcW w:w="620" w:type="dxa"/>
            <w:vAlign w:val="bottom"/>
          </w:tcPr>
          <w:p>
            <w:pPr>
              <w:jc w:val="center"/>
              <w:ind w:right="40"/>
              <w:spacing w:after="0"/>
              <w:rPr>
                <w:sz w:val="20"/>
                <w:szCs w:val="20"/>
                <w:color w:val="auto"/>
              </w:rPr>
            </w:pPr>
            <w:r>
              <w:rPr>
                <w:rFonts w:ascii="Arial" w:cs="Arial" w:eastAsia="Arial" w:hAnsi="Arial"/>
                <w:sz w:val="20"/>
                <w:szCs w:val="20"/>
                <w:color w:val="auto"/>
                <w:w w:val="94"/>
              </w:rPr>
              <w:t>10-K</w:t>
            </w: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001-39729</w:t>
            </w:r>
          </w:p>
        </w:tc>
        <w:tc>
          <w:tcPr>
            <w:tcW w:w="680" w:type="dxa"/>
            <w:vAlign w:val="bottom"/>
          </w:tcPr>
          <w:p>
            <w:pPr>
              <w:jc w:val="center"/>
              <w:spacing w:after="0"/>
              <w:rPr>
                <w:sz w:val="20"/>
                <w:szCs w:val="20"/>
                <w:color w:val="auto"/>
              </w:rPr>
            </w:pPr>
            <w:r>
              <w:rPr>
                <w:rFonts w:ascii="Arial" w:cs="Arial" w:eastAsia="Arial" w:hAnsi="Arial"/>
                <w:sz w:val="20"/>
                <w:szCs w:val="20"/>
                <w:color w:val="auto"/>
                <w:w w:val="93"/>
              </w:rPr>
              <w:t>4.2</w:t>
            </w:r>
          </w:p>
        </w:tc>
        <w:tc>
          <w:tcPr>
            <w:tcW w:w="1100" w:type="dxa"/>
            <w:vAlign w:val="bottom"/>
          </w:tcPr>
          <w:p>
            <w:pPr>
              <w:jc w:val="right"/>
              <w:spacing w:after="0"/>
              <w:rPr>
                <w:sz w:val="20"/>
                <w:szCs w:val="20"/>
                <w:color w:val="auto"/>
              </w:rPr>
            </w:pPr>
            <w:r>
              <w:rPr>
                <w:rFonts w:ascii="Arial" w:cs="Arial" w:eastAsia="Arial" w:hAnsi="Arial"/>
                <w:sz w:val="20"/>
                <w:szCs w:val="20"/>
                <w:color w:val="auto"/>
              </w:rPr>
              <w:t>2021-03-09</w:t>
            </w:r>
          </w:p>
        </w:tc>
      </w:tr>
      <w:tr>
        <w:trPr>
          <w:trHeight w:val="1005"/>
        </w:trPr>
        <w:tc>
          <w:tcPr>
            <w:tcW w:w="620" w:type="dxa"/>
            <w:vAlign w:val="bottom"/>
          </w:tcPr>
          <w:p>
            <w:pPr>
              <w:jc w:val="center"/>
              <w:ind w:right="40"/>
              <w:spacing w:after="0"/>
              <w:rPr>
                <w:sz w:val="20"/>
                <w:szCs w:val="20"/>
                <w:color w:val="auto"/>
              </w:rPr>
            </w:pPr>
            <w:r>
              <w:rPr>
                <w:rFonts w:ascii="Arial" w:cs="Arial" w:eastAsia="Arial" w:hAnsi="Arial"/>
                <w:sz w:val="20"/>
                <w:szCs w:val="20"/>
                <w:color w:val="auto"/>
                <w:w w:val="89"/>
              </w:rPr>
              <w:t>10-Q</w:t>
            </w: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001-39729</w:t>
            </w:r>
          </w:p>
        </w:tc>
        <w:tc>
          <w:tcPr>
            <w:tcW w:w="680" w:type="dxa"/>
            <w:vAlign w:val="bottom"/>
          </w:tcPr>
          <w:p>
            <w:pPr>
              <w:jc w:val="center"/>
              <w:spacing w:after="0"/>
              <w:rPr>
                <w:sz w:val="20"/>
                <w:szCs w:val="20"/>
                <w:color w:val="auto"/>
              </w:rPr>
            </w:pPr>
            <w:r>
              <w:rPr>
                <w:rFonts w:ascii="Arial" w:cs="Arial" w:eastAsia="Arial" w:hAnsi="Arial"/>
                <w:sz w:val="20"/>
                <w:szCs w:val="20"/>
                <w:color w:val="auto"/>
                <w:w w:val="93"/>
              </w:rPr>
              <w:t>4.1</w:t>
            </w:r>
          </w:p>
        </w:tc>
        <w:tc>
          <w:tcPr>
            <w:tcW w:w="1100" w:type="dxa"/>
            <w:vAlign w:val="bottom"/>
          </w:tcPr>
          <w:p>
            <w:pPr>
              <w:jc w:val="right"/>
              <w:spacing w:after="0"/>
              <w:rPr>
                <w:sz w:val="20"/>
                <w:szCs w:val="20"/>
                <w:color w:val="auto"/>
              </w:rPr>
            </w:pPr>
            <w:r>
              <w:rPr>
                <w:rFonts w:ascii="Arial" w:cs="Arial" w:eastAsia="Arial" w:hAnsi="Arial"/>
                <w:sz w:val="20"/>
                <w:szCs w:val="20"/>
                <w:color w:val="auto"/>
              </w:rPr>
              <w:t>2024-08-05</w:t>
            </w:r>
          </w:p>
        </w:tc>
      </w:tr>
      <w:tr>
        <w:trPr>
          <w:trHeight w:val="1005"/>
        </w:trPr>
        <w:tc>
          <w:tcPr>
            <w:tcW w:w="620" w:type="dxa"/>
            <w:vAlign w:val="bottom"/>
          </w:tcPr>
          <w:p>
            <w:pPr>
              <w:jc w:val="center"/>
              <w:ind w:right="40"/>
              <w:spacing w:after="0"/>
              <w:rPr>
                <w:sz w:val="20"/>
                <w:szCs w:val="20"/>
                <w:color w:val="auto"/>
              </w:rPr>
            </w:pPr>
            <w:r>
              <w:rPr>
                <w:rFonts w:ascii="Arial" w:cs="Arial" w:eastAsia="Arial" w:hAnsi="Arial"/>
                <w:sz w:val="20"/>
                <w:szCs w:val="20"/>
                <w:color w:val="auto"/>
                <w:w w:val="89"/>
              </w:rPr>
              <w:t>10-Q</w:t>
            </w: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001-39729</w:t>
            </w:r>
          </w:p>
        </w:tc>
        <w:tc>
          <w:tcPr>
            <w:tcW w:w="680" w:type="dxa"/>
            <w:vAlign w:val="bottom"/>
          </w:tcPr>
          <w:p>
            <w:pPr>
              <w:jc w:val="center"/>
              <w:spacing w:after="0"/>
              <w:rPr>
                <w:sz w:val="20"/>
                <w:szCs w:val="20"/>
                <w:color w:val="auto"/>
              </w:rPr>
            </w:pPr>
            <w:r>
              <w:rPr>
                <w:rFonts w:ascii="Arial" w:cs="Arial" w:eastAsia="Arial" w:hAnsi="Arial"/>
                <w:sz w:val="20"/>
                <w:szCs w:val="20"/>
                <w:color w:val="auto"/>
                <w:w w:val="93"/>
              </w:rPr>
              <w:t>4.2</w:t>
            </w:r>
          </w:p>
        </w:tc>
        <w:tc>
          <w:tcPr>
            <w:tcW w:w="1100" w:type="dxa"/>
            <w:vAlign w:val="bottom"/>
          </w:tcPr>
          <w:p>
            <w:pPr>
              <w:jc w:val="right"/>
              <w:spacing w:after="0"/>
              <w:rPr>
                <w:sz w:val="20"/>
                <w:szCs w:val="20"/>
                <w:color w:val="auto"/>
              </w:rPr>
            </w:pPr>
            <w:r>
              <w:rPr>
                <w:rFonts w:ascii="Arial" w:cs="Arial" w:eastAsia="Arial" w:hAnsi="Arial"/>
                <w:sz w:val="20"/>
                <w:szCs w:val="20"/>
                <w:color w:val="auto"/>
              </w:rPr>
              <w:t>2024-08-05</w:t>
            </w:r>
          </w:p>
        </w:tc>
      </w:tr>
      <w:tr>
        <w:trPr>
          <w:trHeight w:val="885"/>
        </w:trPr>
        <w:tc>
          <w:tcPr>
            <w:tcW w:w="620" w:type="dxa"/>
            <w:vAlign w:val="bottom"/>
          </w:tcPr>
          <w:p>
            <w:pPr>
              <w:jc w:val="center"/>
              <w:ind w:right="40"/>
              <w:spacing w:after="0"/>
              <w:rPr>
                <w:sz w:val="20"/>
                <w:szCs w:val="20"/>
                <w:color w:val="auto"/>
              </w:rPr>
            </w:pPr>
            <w:r>
              <w:rPr>
                <w:rFonts w:ascii="Arial" w:cs="Arial" w:eastAsia="Arial" w:hAnsi="Arial"/>
                <w:sz w:val="20"/>
                <w:szCs w:val="20"/>
                <w:color w:val="auto"/>
                <w:w w:val="89"/>
              </w:rPr>
              <w:t>10-Q</w:t>
            </w: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001-39729</w:t>
            </w:r>
          </w:p>
        </w:tc>
        <w:tc>
          <w:tcPr>
            <w:tcW w:w="680" w:type="dxa"/>
            <w:vAlign w:val="bottom"/>
          </w:tcPr>
          <w:p>
            <w:pPr>
              <w:jc w:val="center"/>
              <w:spacing w:after="0"/>
              <w:rPr>
                <w:sz w:val="20"/>
                <w:szCs w:val="20"/>
                <w:color w:val="auto"/>
              </w:rPr>
            </w:pPr>
            <w:r>
              <w:rPr>
                <w:rFonts w:ascii="Arial" w:cs="Arial" w:eastAsia="Arial" w:hAnsi="Arial"/>
                <w:sz w:val="20"/>
                <w:szCs w:val="20"/>
                <w:color w:val="auto"/>
                <w:w w:val="93"/>
              </w:rPr>
              <w:t>4.3</w:t>
            </w:r>
          </w:p>
        </w:tc>
        <w:tc>
          <w:tcPr>
            <w:tcW w:w="1100" w:type="dxa"/>
            <w:vAlign w:val="bottom"/>
          </w:tcPr>
          <w:p>
            <w:pPr>
              <w:jc w:val="right"/>
              <w:spacing w:after="0"/>
              <w:rPr>
                <w:sz w:val="20"/>
                <w:szCs w:val="20"/>
                <w:color w:val="auto"/>
              </w:rPr>
            </w:pPr>
            <w:r>
              <w:rPr>
                <w:rFonts w:ascii="Arial" w:cs="Arial" w:eastAsia="Arial" w:hAnsi="Arial"/>
                <w:sz w:val="20"/>
                <w:szCs w:val="20"/>
                <w:color w:val="auto"/>
              </w:rPr>
              <w:t>2024-08-05</w:t>
            </w:r>
          </w:p>
        </w:tc>
      </w:tr>
      <w:tr>
        <w:trPr>
          <w:trHeight w:val="990"/>
        </w:trPr>
        <w:tc>
          <w:tcPr>
            <w:tcW w:w="1860" w:type="dxa"/>
            <w:vAlign w:val="bottom"/>
            <w:gridSpan w:val="2"/>
          </w:tcPr>
          <w:p>
            <w:pPr>
              <w:jc w:val="right"/>
              <w:ind w:right="60"/>
              <w:spacing w:after="0"/>
              <w:rPr>
                <w:sz w:val="20"/>
                <w:szCs w:val="20"/>
                <w:color w:val="auto"/>
              </w:rPr>
            </w:pPr>
            <w:r>
              <w:rPr>
                <w:rFonts w:ascii="Arial" w:cs="Arial" w:eastAsia="Arial" w:hAnsi="Arial"/>
                <w:sz w:val="20"/>
                <w:szCs w:val="20"/>
                <w:color w:val="auto"/>
                <w:w w:val="96"/>
              </w:rPr>
              <w:t>S-1/A   333-249648</w:t>
            </w:r>
          </w:p>
        </w:tc>
        <w:tc>
          <w:tcPr>
            <w:tcW w:w="680" w:type="dxa"/>
            <w:vAlign w:val="bottom"/>
          </w:tcPr>
          <w:p>
            <w:pPr>
              <w:jc w:val="center"/>
              <w:spacing w:after="0"/>
              <w:rPr>
                <w:sz w:val="20"/>
                <w:szCs w:val="20"/>
                <w:color w:val="auto"/>
              </w:rPr>
            </w:pPr>
            <w:r>
              <w:rPr>
                <w:rFonts w:ascii="Arial" w:cs="Arial" w:eastAsia="Arial" w:hAnsi="Arial"/>
                <w:sz w:val="20"/>
                <w:szCs w:val="20"/>
                <w:color w:val="auto"/>
                <w:w w:val="87"/>
              </w:rPr>
              <w:t>10.1</w:t>
            </w:r>
          </w:p>
        </w:tc>
        <w:tc>
          <w:tcPr>
            <w:tcW w:w="1100" w:type="dxa"/>
            <w:vAlign w:val="bottom"/>
          </w:tcPr>
          <w:p>
            <w:pPr>
              <w:jc w:val="right"/>
              <w:spacing w:after="0"/>
              <w:rPr>
                <w:sz w:val="20"/>
                <w:szCs w:val="20"/>
                <w:color w:val="auto"/>
              </w:rPr>
            </w:pPr>
            <w:r>
              <w:rPr>
                <w:rFonts w:ascii="Arial" w:cs="Arial" w:eastAsia="Arial" w:hAnsi="Arial"/>
                <w:sz w:val="20"/>
                <w:szCs w:val="20"/>
                <w:color w:val="auto"/>
              </w:rPr>
              <w:t>2020-11-12</w:t>
            </w:r>
          </w:p>
        </w:tc>
      </w:tr>
      <w:tr>
        <w:trPr>
          <w:trHeight w:val="795"/>
        </w:trPr>
        <w:tc>
          <w:tcPr>
            <w:tcW w:w="620" w:type="dxa"/>
            <w:vAlign w:val="bottom"/>
          </w:tcPr>
          <w:p>
            <w:pPr>
              <w:jc w:val="center"/>
              <w:ind w:right="40"/>
              <w:spacing w:after="0"/>
              <w:rPr>
                <w:sz w:val="20"/>
                <w:szCs w:val="20"/>
                <w:color w:val="auto"/>
              </w:rPr>
            </w:pPr>
            <w:r>
              <w:rPr>
                <w:rFonts w:ascii="Arial" w:cs="Arial" w:eastAsia="Arial" w:hAnsi="Arial"/>
                <w:sz w:val="20"/>
                <w:szCs w:val="20"/>
                <w:color w:val="auto"/>
                <w:w w:val="94"/>
              </w:rPr>
              <w:t>10-K</w:t>
            </w: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001-39729</w:t>
            </w:r>
          </w:p>
        </w:tc>
        <w:tc>
          <w:tcPr>
            <w:tcW w:w="680" w:type="dxa"/>
            <w:vAlign w:val="bottom"/>
          </w:tcPr>
          <w:p>
            <w:pPr>
              <w:jc w:val="center"/>
              <w:spacing w:after="0"/>
              <w:rPr>
                <w:sz w:val="20"/>
                <w:szCs w:val="20"/>
                <w:color w:val="auto"/>
              </w:rPr>
            </w:pPr>
            <w:r>
              <w:rPr>
                <w:rFonts w:ascii="Arial" w:cs="Arial" w:eastAsia="Arial" w:hAnsi="Arial"/>
                <w:sz w:val="20"/>
                <w:szCs w:val="20"/>
                <w:color w:val="auto"/>
                <w:w w:val="87"/>
              </w:rPr>
              <w:t>10.7</w:t>
            </w:r>
          </w:p>
        </w:tc>
        <w:tc>
          <w:tcPr>
            <w:tcW w:w="1100" w:type="dxa"/>
            <w:vAlign w:val="bottom"/>
          </w:tcPr>
          <w:p>
            <w:pPr>
              <w:jc w:val="right"/>
              <w:spacing w:after="0"/>
              <w:rPr>
                <w:sz w:val="20"/>
                <w:szCs w:val="20"/>
                <w:color w:val="auto"/>
              </w:rPr>
            </w:pPr>
            <w:r>
              <w:rPr>
                <w:rFonts w:ascii="Arial" w:cs="Arial" w:eastAsia="Arial" w:hAnsi="Arial"/>
                <w:sz w:val="20"/>
                <w:szCs w:val="20"/>
                <w:color w:val="auto"/>
              </w:rPr>
              <w:t>2023-02-28</w:t>
            </w:r>
          </w:p>
        </w:tc>
      </w:tr>
    </w:tbl>
    <w:p>
      <w:pPr>
        <w:spacing w:after="0" w:line="399" w:lineRule="exact"/>
        <w:rPr>
          <w:sz w:val="20"/>
          <w:szCs w:val="20"/>
          <w:color w:val="auto"/>
        </w:rPr>
      </w:pPr>
    </w:p>
    <w:p>
      <w:pPr>
        <w:sectPr>
          <w:pgSz w:w="11880" w:h="15480" w:orient="portrait"/>
          <w:cols w:equalWidth="0" w:num="3">
            <w:col w:w="650" w:space="720"/>
            <w:col w:w="4400" w:space="720"/>
            <w:col w:w="3780"/>
          </w:cols>
          <w:pgMar w:left="810" w:top="405"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116</w:t>
      </w:r>
    </w:p>
    <w:p>
      <w:pPr>
        <w:sectPr>
          <w:pgSz w:w="11880" w:h="15480" w:orient="portrait"/>
          <w:cols w:equalWidth="0" w:num="1">
            <w:col w:w="10270"/>
          </w:cols>
          <w:pgMar w:left="810" w:top="405" w:right="800" w:bottom="0" w:gutter="0" w:footer="0" w:header="0"/>
          <w:type w:val="continuous"/>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514350</wp:posOffset>
            </wp:positionH>
            <wp:positionV relativeFrom="page">
              <wp:posOffset>476250</wp:posOffset>
            </wp:positionV>
            <wp:extent cx="762000"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0">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38735</wp:posOffset>
            </wp:positionV>
            <wp:extent cx="762000"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1">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3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20" w:type="dxa"/>
            <w:vAlign w:val="bottom"/>
            <w:gridSpan w:val="2"/>
          </w:tcPr>
          <w:p>
            <w:pPr>
              <w:ind w:left="10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line="192"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Description of Exhibits</w:t>
            </w:r>
          </w:p>
        </w:tc>
        <w:tc>
          <w:tcPr>
            <w:tcW w:w="14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0"/>
              </w:rPr>
              <w:t>Furnished</w:t>
            </w:r>
          </w:p>
        </w:tc>
        <w:tc>
          <w:tcPr>
            <w:tcW w:w="140" w:type="dxa"/>
            <w:vAlign w:val="bottom"/>
          </w:tcPr>
          <w:p>
            <w:pPr>
              <w:spacing w:after="0"/>
              <w:rPr>
                <w:sz w:val="17"/>
                <w:szCs w:val="17"/>
                <w:color w:val="auto"/>
              </w:rPr>
            </w:pPr>
          </w:p>
        </w:tc>
        <w:tc>
          <w:tcPr>
            <w:tcW w:w="700" w:type="dxa"/>
            <w:vAlign w:val="bottom"/>
            <w:vMerge w:val="restart"/>
          </w:tcPr>
          <w:p>
            <w:pPr>
              <w:ind w:left="140"/>
              <w:spacing w:after="0"/>
              <w:rPr>
                <w:sz w:val="20"/>
                <w:szCs w:val="20"/>
                <w:color w:val="auto"/>
              </w:rPr>
            </w:pPr>
            <w:r>
              <w:rPr>
                <w:rFonts w:ascii="Arial" w:cs="Arial" w:eastAsia="Arial" w:hAnsi="Arial"/>
                <w:sz w:val="20"/>
                <w:szCs w:val="20"/>
                <w:b w:val="1"/>
                <w:bCs w:val="1"/>
                <w:color w:val="auto"/>
              </w:rPr>
              <w:t>Form</w:t>
            </w:r>
          </w:p>
        </w:tc>
        <w:tc>
          <w:tcPr>
            <w:tcW w:w="1140" w:type="dxa"/>
            <w:vAlign w:val="bottom"/>
            <w:vMerge w:val="restart"/>
          </w:tcPr>
          <w:p>
            <w:pPr>
              <w:ind w:left="320"/>
              <w:spacing w:after="0"/>
              <w:rPr>
                <w:sz w:val="20"/>
                <w:szCs w:val="20"/>
                <w:color w:val="auto"/>
              </w:rPr>
            </w:pPr>
            <w:r>
              <w:rPr>
                <w:rFonts w:ascii="Arial" w:cs="Arial" w:eastAsia="Arial" w:hAnsi="Arial"/>
                <w:sz w:val="20"/>
                <w:szCs w:val="20"/>
                <w:b w:val="1"/>
                <w:bCs w:val="1"/>
                <w:color w:val="auto"/>
              </w:rPr>
              <w:t>File No.</w:t>
            </w:r>
          </w:p>
        </w:tc>
        <w:tc>
          <w:tcPr>
            <w:tcW w:w="208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Exhibit  Filing Date</w:t>
            </w:r>
          </w:p>
        </w:tc>
        <w:tc>
          <w:tcPr>
            <w:tcW w:w="0" w:type="dxa"/>
            <w:vAlign w:val="bottom"/>
          </w:tcPr>
          <w:p>
            <w:pPr>
              <w:spacing w:after="0"/>
              <w:rPr>
                <w:sz w:val="1"/>
                <w:szCs w:val="1"/>
                <w:color w:val="auto"/>
              </w:rPr>
            </w:pPr>
          </w:p>
        </w:tc>
      </w:tr>
      <w:tr>
        <w:trPr>
          <w:trHeight w:val="265"/>
        </w:trPr>
        <w:tc>
          <w:tcPr>
            <w:tcW w:w="364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20"/>
                <w:szCs w:val="20"/>
                <w:b w:val="1"/>
                <w:bCs w:val="1"/>
                <w:color w:val="auto"/>
                <w:w w:val="94"/>
              </w:rPr>
              <w:t>Herewith</w:t>
            </w:r>
          </w:p>
        </w:tc>
        <w:tc>
          <w:tcPr>
            <w:tcW w:w="14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5676900"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2">
                      <a:extLst>
                        <a:ext uri="{28A0092B-C50C-407E-A947-70E740481C1C}"/>
                      </a:extLst>
                    </a:blip>
                    <a:srcRect/>
                    <a:stretch>
                      <a:fillRect/>
                    </a:stretch>
                  </pic:blipFill>
                  <pic:spPr bwMode="auto">
                    <a:xfrm>
                      <a:off x="0" y="0"/>
                      <a:ext cx="5676900" cy="12700"/>
                    </a:xfrm>
                    <a:prstGeom prst="rect">
                      <a:avLst/>
                    </a:prstGeom>
                    <a:noFill/>
                  </pic:spPr>
                </pic:pic>
              </a:graphicData>
            </a:graphic>
          </wp:anchor>
        </w:drawing>
      </w:r>
    </w:p>
    <w:p>
      <w:pPr>
        <w:spacing w:after="0" w:line="8" w:lineRule="exact"/>
        <w:rPr>
          <w:sz w:val="20"/>
          <w:szCs w:val="20"/>
          <w:color w:val="auto"/>
        </w:rPr>
      </w:pPr>
    </w:p>
    <w:p>
      <w:pPr>
        <w:sectPr>
          <w:pgSz w:w="11880" w:h="15480" w:orient="portrait"/>
          <w:cols w:equalWidth="0" w:num="2">
            <w:col w:w="1020" w:space="260"/>
            <w:col w:w="8940"/>
          </w:cols>
          <w:pgMar w:left="860" w:top="458" w:right="800" w:bottom="0" w:gutter="0" w:footer="0" w:header="0"/>
        </w:sect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10.3+</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10.7+</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10.8+</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10.9+</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10.11</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10.12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10.16</w:t>
      </w:r>
    </w:p>
    <w:p>
      <w:pPr>
        <w:spacing w:after="0" w:line="20" w:lineRule="exact"/>
        <w:rPr>
          <w:sz w:val="20"/>
          <w:szCs w:val="20"/>
          <w:color w:val="auto"/>
        </w:rPr>
      </w:pPr>
      <w:r>
        <w:rPr>
          <w:sz w:val="20"/>
          <w:szCs w:val="20"/>
          <w:color w:val="auto"/>
        </w:rPr>
        <w:br w:type="column"/>
      </w:r>
    </w:p>
    <w:p>
      <w:pPr>
        <w:ind w:right="900"/>
        <w:spacing w:after="0" w:line="224" w:lineRule="auto"/>
        <w:rPr>
          <w:sz w:val="20"/>
          <w:szCs w:val="20"/>
          <w:color w:val="auto"/>
        </w:rPr>
      </w:pPr>
      <w:r>
        <w:rPr>
          <w:rFonts w:ascii="Arial" w:cs="Arial" w:eastAsia="Arial" w:hAnsi="Arial"/>
          <w:sz w:val="20"/>
          <w:szCs w:val="20"/>
          <w:u w:val="single" w:color="auto"/>
          <w:color w:val="1C2790"/>
        </w:rPr>
        <w:t>Executed Restrictive Covenants Agreement by and between Sotera Health Company and Alex Dimitrief, dated as of November 1, 2022</w:t>
      </w:r>
    </w:p>
    <w:p>
      <w:pPr>
        <w:spacing w:after="0" w:line="21" w:lineRule="exact"/>
        <w:rPr>
          <w:sz w:val="20"/>
          <w:szCs w:val="20"/>
          <w:color w:val="auto"/>
        </w:rPr>
      </w:pPr>
    </w:p>
    <w:p>
      <w:pPr>
        <w:jc w:val="both"/>
        <w:ind w:right="1080"/>
        <w:spacing w:after="0" w:line="286" w:lineRule="auto"/>
        <w:rPr>
          <w:sz w:val="20"/>
          <w:szCs w:val="20"/>
          <w:color w:val="auto"/>
        </w:rPr>
      </w:pPr>
      <w:r>
        <w:rPr>
          <w:rFonts w:ascii="Arial" w:cs="Arial" w:eastAsia="Arial" w:hAnsi="Arial"/>
          <w:sz w:val="17"/>
          <w:szCs w:val="17"/>
          <w:u w:val="single" w:color="auto"/>
          <w:color w:val="1C2790"/>
        </w:rPr>
        <w:t>Cash Retention Bonus Agreement by and between Michael Rutz and Sotera Health Company dated as of November 7, 2022</w:t>
      </w:r>
    </w:p>
    <w:p>
      <w:pPr>
        <w:spacing w:after="0" w:line="201" w:lineRule="exact"/>
        <w:rPr>
          <w:sz w:val="20"/>
          <w:szCs w:val="20"/>
          <w:color w:val="auto"/>
        </w:rPr>
      </w:pPr>
    </w:p>
    <w:p>
      <w:pPr>
        <w:ind w:right="980"/>
        <w:spacing w:after="0" w:line="263" w:lineRule="auto"/>
        <w:rPr>
          <w:sz w:val="20"/>
          <w:szCs w:val="20"/>
          <w:color w:val="auto"/>
        </w:rPr>
      </w:pPr>
      <w:r>
        <w:rPr>
          <w:rFonts w:ascii="Arial" w:cs="Arial" w:eastAsia="Arial" w:hAnsi="Arial"/>
          <w:sz w:val="18"/>
          <w:szCs w:val="18"/>
          <w:u w:val="single" w:color="auto"/>
          <w:color w:val="1C2790"/>
        </w:rPr>
        <w:t>Amended and Restated Employment Offer by Sotera Health Company and Jonathan M. Lyons dated as of February 26, 2025</w:t>
      </w:r>
    </w:p>
    <w:p>
      <w:pPr>
        <w:spacing w:after="0" w:line="225" w:lineRule="exact"/>
        <w:rPr>
          <w:sz w:val="20"/>
          <w:szCs w:val="20"/>
          <w:color w:val="auto"/>
        </w:rPr>
      </w:pPr>
    </w:p>
    <w:p>
      <w:pPr>
        <w:ind w:right="880"/>
        <w:spacing w:after="0" w:line="224" w:lineRule="auto"/>
        <w:rPr>
          <w:sz w:val="20"/>
          <w:szCs w:val="20"/>
          <w:color w:val="auto"/>
        </w:rPr>
      </w:pPr>
      <w:r>
        <w:rPr>
          <w:rFonts w:ascii="Arial" w:cs="Arial" w:eastAsia="Arial" w:hAnsi="Arial"/>
          <w:sz w:val="20"/>
          <w:szCs w:val="20"/>
          <w:u w:val="single" w:color="auto"/>
          <w:color w:val="1C2790"/>
        </w:rPr>
        <w:t>Executed Restrictive Covenants Agreement by and between Sotera Health Company and Jonathan M. Lyons dated as of June 26, 2023</w:t>
      </w:r>
    </w:p>
    <w:p>
      <w:pPr>
        <w:spacing w:after="0" w:line="141" w:lineRule="exact"/>
        <w:rPr>
          <w:sz w:val="20"/>
          <w:szCs w:val="20"/>
          <w:color w:val="auto"/>
        </w:rPr>
      </w:pPr>
    </w:p>
    <w:p>
      <w:pPr>
        <w:jc w:val="both"/>
        <w:ind w:right="1240"/>
        <w:spacing w:after="0" w:line="243" w:lineRule="auto"/>
        <w:rPr>
          <w:sz w:val="20"/>
          <w:szCs w:val="20"/>
          <w:color w:val="auto"/>
        </w:rPr>
      </w:pPr>
      <w:r>
        <w:rPr>
          <w:rFonts w:ascii="Arial" w:cs="Arial" w:eastAsia="Arial" w:hAnsi="Arial"/>
          <w:sz w:val="19"/>
          <w:szCs w:val="19"/>
          <w:u w:val="single" w:color="auto"/>
          <w:color w:val="1C2790"/>
        </w:rPr>
        <w:t>Sotera Health Company Supplemental Retirement Benefit Plan, effective as of January 1, 2018</w:t>
      </w:r>
    </w:p>
    <w:p>
      <w:pPr>
        <w:spacing w:after="0" w:line="111" w:lineRule="exact"/>
        <w:rPr>
          <w:sz w:val="20"/>
          <w:szCs w:val="20"/>
          <w:color w:val="auto"/>
        </w:rPr>
      </w:pPr>
    </w:p>
    <w:p>
      <w:pPr>
        <w:jc w:val="both"/>
        <w:ind w:right="1240"/>
        <w:spacing w:after="0" w:line="241" w:lineRule="auto"/>
        <w:rPr>
          <w:sz w:val="20"/>
          <w:szCs w:val="20"/>
          <w:color w:val="auto"/>
        </w:rPr>
      </w:pPr>
      <w:r>
        <w:rPr>
          <w:rFonts w:ascii="Arial" w:cs="Arial" w:eastAsia="Arial" w:hAnsi="Arial"/>
          <w:sz w:val="20"/>
          <w:szCs w:val="20"/>
          <w:u w:val="single" w:color="auto"/>
          <w:color w:val="1C2790"/>
        </w:rPr>
        <w:t>Sotera Health Company 2020 Omnibus Incentive Plan</w:t>
      </w:r>
    </w:p>
    <w:p>
      <w:pPr>
        <w:spacing w:after="0" w:line="128" w:lineRule="exact"/>
        <w:rPr>
          <w:sz w:val="20"/>
          <w:szCs w:val="20"/>
          <w:color w:val="auto"/>
        </w:rPr>
      </w:pPr>
    </w:p>
    <w:p>
      <w:pPr>
        <w:ind w:right="1100"/>
        <w:spacing w:after="0" w:line="263" w:lineRule="auto"/>
        <w:rPr>
          <w:sz w:val="20"/>
          <w:szCs w:val="20"/>
          <w:color w:val="auto"/>
        </w:rPr>
      </w:pPr>
      <w:r>
        <w:rPr>
          <w:rFonts w:ascii="Arial" w:cs="Arial" w:eastAsia="Arial" w:hAnsi="Arial"/>
          <w:sz w:val="18"/>
          <w:szCs w:val="18"/>
          <w:u w:val="single" w:color="auto"/>
          <w:color w:val="1C2790"/>
        </w:rPr>
        <w:t>Form of Sotera Health Company 2020 Omnibus Incentive Plan Restricted Stock Unit Grant Notice and Agreement</w:t>
      </w:r>
    </w:p>
    <w:p>
      <w:pPr>
        <w:spacing w:after="0" w:line="115" w:lineRule="exact"/>
        <w:rPr>
          <w:sz w:val="20"/>
          <w:szCs w:val="20"/>
          <w:color w:val="auto"/>
        </w:rPr>
      </w:pPr>
    </w:p>
    <w:p>
      <w:pPr>
        <w:jc w:val="both"/>
        <w:ind w:right="1320"/>
        <w:spacing w:after="0" w:line="243" w:lineRule="auto"/>
        <w:rPr>
          <w:sz w:val="20"/>
          <w:szCs w:val="20"/>
          <w:color w:val="auto"/>
        </w:rPr>
      </w:pPr>
      <w:r>
        <w:rPr>
          <w:rFonts w:ascii="Arial" w:cs="Arial" w:eastAsia="Arial" w:hAnsi="Arial"/>
          <w:sz w:val="19"/>
          <w:szCs w:val="19"/>
          <w:u w:val="single" w:color="auto"/>
          <w:color w:val="1C2790"/>
        </w:rPr>
        <w:t>Form of Sotera Health Company 2020 Omnibus Incentive Plan Stock Option Grant Notice and Agreement</w:t>
      </w:r>
    </w:p>
    <w:p>
      <w:pPr>
        <w:spacing w:after="0" w:line="131" w:lineRule="exact"/>
        <w:rPr>
          <w:sz w:val="20"/>
          <w:szCs w:val="20"/>
          <w:color w:val="auto"/>
        </w:rPr>
      </w:pPr>
    </w:p>
    <w:p>
      <w:pPr>
        <w:ind w:right="1220"/>
        <w:spacing w:after="0" w:line="263" w:lineRule="auto"/>
        <w:rPr>
          <w:sz w:val="20"/>
          <w:szCs w:val="20"/>
          <w:color w:val="auto"/>
        </w:rPr>
      </w:pPr>
      <w:r>
        <w:rPr>
          <w:rFonts w:ascii="Arial" w:cs="Arial" w:eastAsia="Arial" w:hAnsi="Arial"/>
          <w:sz w:val="18"/>
          <w:szCs w:val="18"/>
          <w:u w:val="single" w:color="auto"/>
          <w:color w:val="1C2790"/>
        </w:rPr>
        <w:t>Form of Indemnification Agreement entered into between the Registrant and each director and executive officer</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Stockholders Agreement</w:t>
      </w:r>
    </w:p>
    <w:p>
      <w:pPr>
        <w:spacing w:after="0" w:line="175" w:lineRule="exact"/>
        <w:rPr>
          <w:sz w:val="20"/>
          <w:szCs w:val="20"/>
          <w:color w:val="auto"/>
        </w:rPr>
      </w:pPr>
    </w:p>
    <w:p>
      <w:pPr>
        <w:ind w:right="920"/>
        <w:spacing w:after="0" w:line="217" w:lineRule="auto"/>
        <w:rPr>
          <w:sz w:val="20"/>
          <w:szCs w:val="20"/>
          <w:color w:val="auto"/>
        </w:rPr>
      </w:pPr>
      <w:r>
        <w:rPr>
          <w:rFonts w:ascii="Arial" w:cs="Arial" w:eastAsia="Arial" w:hAnsi="Arial"/>
          <w:sz w:val="20"/>
          <w:szCs w:val="20"/>
          <w:u w:val="single" w:color="auto"/>
          <w:color w:val="1C2790"/>
        </w:rPr>
        <w:t>2019 Credit Agreement, dated as of December 13, 2019, among the Registrant, Sotera Health Holdings, LLC, the lenders and issuing banks party thereto and Jefferies Finance LLC, as first lien administrative agent and first lien collateral agent</w:t>
      </w:r>
    </w:p>
    <w:p>
      <w:pPr>
        <w:spacing w:after="0" w:line="139" w:lineRule="exact"/>
        <w:rPr>
          <w:sz w:val="20"/>
          <w:szCs w:val="20"/>
          <w:color w:val="auto"/>
        </w:rPr>
      </w:pPr>
    </w:p>
    <w:p>
      <w:pPr>
        <w:ind w:right="960"/>
        <w:spacing w:after="0" w:line="265" w:lineRule="auto"/>
        <w:rPr>
          <w:sz w:val="20"/>
          <w:szCs w:val="20"/>
          <w:color w:val="auto"/>
        </w:rPr>
      </w:pPr>
      <w:r>
        <w:rPr>
          <w:rFonts w:ascii="Arial" w:cs="Arial" w:eastAsia="Arial" w:hAnsi="Arial"/>
          <w:sz w:val="17"/>
          <w:szCs w:val="17"/>
          <w:u w:val="single" w:color="auto"/>
          <w:color w:val="1C2790"/>
        </w:rPr>
        <w:t>Guarantee Agreement, dated as of December 13, 2019, among the Registrant, Sotera Health Holdings, LLC, the other guarantors party thereto and Jefferies Finance LLC, as first lien collateral agent</w:t>
      </w:r>
    </w:p>
    <w:p>
      <w:pPr>
        <w:spacing w:after="0" w:line="106" w:lineRule="exact"/>
        <w:rPr>
          <w:sz w:val="20"/>
          <w:szCs w:val="20"/>
          <w:color w:val="auto"/>
        </w:rPr>
      </w:pPr>
    </w:p>
    <w:p>
      <w:pPr>
        <w:ind w:right="960"/>
        <w:spacing w:after="0" w:line="265" w:lineRule="auto"/>
        <w:rPr>
          <w:sz w:val="20"/>
          <w:szCs w:val="20"/>
          <w:color w:val="auto"/>
        </w:rPr>
      </w:pPr>
      <w:r>
        <w:rPr>
          <w:rFonts w:ascii="Arial" w:cs="Arial" w:eastAsia="Arial" w:hAnsi="Arial"/>
          <w:sz w:val="17"/>
          <w:szCs w:val="17"/>
          <w:u w:val="single" w:color="auto"/>
          <w:color w:val="1C2790"/>
        </w:rPr>
        <w:t>Collateral Agreement, dated as of December 13, 2019, among the Registrant, Sotera Health Holdings, LLC, the other guarantors party thereto and Jefferies Finance LLC, as first lien collateral agent</w:t>
      </w:r>
    </w:p>
    <w:p>
      <w:pPr>
        <w:spacing w:after="0" w:line="116" w:lineRule="exact"/>
        <w:rPr>
          <w:sz w:val="20"/>
          <w:szCs w:val="20"/>
          <w:color w:val="auto"/>
        </w:rPr>
      </w:pPr>
    </w:p>
    <w:p>
      <w:pPr>
        <w:ind w:right="1120"/>
        <w:spacing w:after="0" w:line="224" w:lineRule="auto"/>
        <w:rPr>
          <w:sz w:val="20"/>
          <w:szCs w:val="20"/>
          <w:color w:val="auto"/>
        </w:rPr>
      </w:pPr>
      <w:r>
        <w:rPr>
          <w:rFonts w:ascii="Arial" w:cs="Arial" w:eastAsia="Arial" w:hAnsi="Arial"/>
          <w:sz w:val="20"/>
          <w:szCs w:val="20"/>
          <w:u w:val="single" w:color="auto"/>
          <w:color w:val="1C2790"/>
        </w:rPr>
        <w:t>Patent Security Agreement, dated as of December 13, 2019, between Sterigenics U.S., LLC and Jefferies Finance LLC, as collateral agent</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40"/>
        <w:spacing w:after="0"/>
        <w:tabs>
          <w:tab w:leader="none" w:pos="760" w:val="left"/>
          <w:tab w:leader="none" w:pos="2000" w:val="left"/>
          <w:tab w:leader="none" w:pos="268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10.8</w:t>
      </w:r>
      <w:r>
        <w:rPr>
          <w:sz w:val="20"/>
          <w:szCs w:val="20"/>
          <w:color w:val="auto"/>
        </w:rPr>
        <w:tab/>
      </w:r>
      <w:r>
        <w:rPr>
          <w:rFonts w:ascii="Arial" w:cs="Arial" w:eastAsia="Arial" w:hAnsi="Arial"/>
          <w:sz w:val="18"/>
          <w:szCs w:val="18"/>
          <w:color w:val="auto"/>
        </w:rPr>
        <w:t>2023-02-28</w:t>
      </w: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760" w:val="left"/>
          <w:tab w:leader="none" w:pos="2000" w:val="left"/>
          <w:tab w:leader="none" w:pos="268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10.9</w:t>
      </w:r>
      <w:r>
        <w:rPr>
          <w:sz w:val="20"/>
          <w:szCs w:val="20"/>
          <w:color w:val="auto"/>
        </w:rPr>
        <w:tab/>
      </w:r>
      <w:r>
        <w:rPr>
          <w:rFonts w:ascii="Arial" w:cs="Arial" w:eastAsia="Arial" w:hAnsi="Arial"/>
          <w:sz w:val="18"/>
          <w:szCs w:val="18"/>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tabs>
          <w:tab w:leader="none" w:pos="760" w:val="left"/>
          <w:tab w:leader="none" w:pos="2000" w:val="left"/>
          <w:tab w:leader="none" w:pos="268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2025-05-01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tabs>
          <w:tab w:leader="none" w:pos="760" w:val="left"/>
          <w:tab w:leader="none" w:pos="2000" w:val="left"/>
          <w:tab w:leader="none" w:pos="268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10.3</w:t>
      </w:r>
      <w:r>
        <w:rPr>
          <w:sz w:val="20"/>
          <w:szCs w:val="20"/>
          <w:color w:val="auto"/>
        </w:rPr>
        <w:tab/>
      </w:r>
      <w:r>
        <w:rPr>
          <w:rFonts w:ascii="Arial" w:cs="Arial" w:eastAsia="Arial" w:hAnsi="Arial"/>
          <w:sz w:val="18"/>
          <w:szCs w:val="18"/>
          <w:color w:val="auto"/>
        </w:rPr>
        <w:t>2023-08-03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700" w:val="left"/>
          <w:tab w:leader="none" w:pos="2000" w:val="left"/>
          <w:tab w:leader="none" w:pos="2680" w:val="left"/>
        </w:tabs>
        <w:rPr>
          <w:sz w:val="20"/>
          <w:szCs w:val="20"/>
          <w:color w:val="auto"/>
        </w:rPr>
      </w:pPr>
      <w:r>
        <w:rPr>
          <w:rFonts w:ascii="Arial" w:cs="Arial" w:eastAsia="Arial" w:hAnsi="Arial"/>
          <w:sz w:val="20"/>
          <w:szCs w:val="20"/>
          <w:color w:val="auto"/>
        </w:rPr>
        <w:t>S-1/A</w:t>
        <w:tab/>
        <w:t>333-249648</w:t>
      </w:r>
      <w:r>
        <w:rPr>
          <w:sz w:val="20"/>
          <w:szCs w:val="20"/>
          <w:color w:val="auto"/>
        </w:rPr>
        <w:tab/>
      </w: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2020-11-12</w:t>
      </w:r>
    </w:p>
    <w:p>
      <w:pPr>
        <w:spacing w:after="0" w:line="200" w:lineRule="exact"/>
        <w:rPr>
          <w:sz w:val="20"/>
          <w:szCs w:val="20"/>
          <w:color w:val="auto"/>
        </w:rPr>
      </w:pPr>
    </w:p>
    <w:p>
      <w:pPr>
        <w:spacing w:after="0" w:line="245" w:lineRule="exact"/>
        <w:rPr>
          <w:sz w:val="20"/>
          <w:szCs w:val="20"/>
          <w:color w:val="auto"/>
        </w:rPr>
      </w:pPr>
    </w:p>
    <w:p>
      <w:pPr>
        <w:spacing w:after="0"/>
        <w:tabs>
          <w:tab w:leader="none" w:pos="700" w:val="left"/>
          <w:tab w:leader="none" w:pos="2000" w:val="left"/>
          <w:tab w:leader="none" w:pos="2680" w:val="left"/>
        </w:tabs>
        <w:rPr>
          <w:sz w:val="20"/>
          <w:szCs w:val="20"/>
          <w:color w:val="auto"/>
        </w:rPr>
      </w:pPr>
      <w:r>
        <w:rPr>
          <w:rFonts w:ascii="Arial" w:cs="Arial" w:eastAsia="Arial" w:hAnsi="Arial"/>
          <w:sz w:val="20"/>
          <w:szCs w:val="20"/>
          <w:color w:val="auto"/>
        </w:rPr>
        <w:t>S-1/A</w:t>
        <w:tab/>
        <w:t>333-249648</w:t>
      </w:r>
      <w:r>
        <w:rPr>
          <w:sz w:val="20"/>
          <w:szCs w:val="20"/>
          <w:color w:val="auto"/>
        </w:rPr>
        <w:tab/>
      </w:r>
      <w:r>
        <w:rPr>
          <w:rFonts w:ascii="Arial" w:cs="Arial" w:eastAsia="Arial" w:hAnsi="Arial"/>
          <w:sz w:val="20"/>
          <w:szCs w:val="20"/>
          <w:color w:val="auto"/>
        </w:rPr>
        <w:t>10.5</w:t>
      </w:r>
      <w:r>
        <w:rPr>
          <w:sz w:val="20"/>
          <w:szCs w:val="20"/>
          <w:color w:val="auto"/>
        </w:rPr>
        <w:tab/>
      </w:r>
      <w:r>
        <w:rPr>
          <w:rFonts w:ascii="Arial" w:cs="Arial" w:eastAsia="Arial" w:hAnsi="Arial"/>
          <w:sz w:val="18"/>
          <w:szCs w:val="18"/>
          <w:color w:val="auto"/>
        </w:rPr>
        <w:t>2020-11-12</w:t>
      </w:r>
    </w:p>
    <w:p>
      <w:pPr>
        <w:spacing w:after="0" w:line="200" w:lineRule="exact"/>
        <w:rPr>
          <w:sz w:val="20"/>
          <w:szCs w:val="20"/>
          <w:color w:val="auto"/>
        </w:rPr>
      </w:pPr>
    </w:p>
    <w:p>
      <w:pPr>
        <w:spacing w:after="0" w:line="260" w:lineRule="exact"/>
        <w:rPr>
          <w:sz w:val="20"/>
          <w:szCs w:val="20"/>
          <w:color w:val="auto"/>
        </w:rPr>
      </w:pPr>
    </w:p>
    <w:p>
      <w:pPr>
        <w:spacing w:after="0"/>
        <w:tabs>
          <w:tab w:leader="none" w:pos="700" w:val="left"/>
          <w:tab w:leader="none" w:pos="2000" w:val="left"/>
          <w:tab w:leader="none" w:pos="2680" w:val="left"/>
        </w:tabs>
        <w:rPr>
          <w:sz w:val="20"/>
          <w:szCs w:val="20"/>
          <w:color w:val="auto"/>
        </w:rPr>
      </w:pPr>
      <w:r>
        <w:rPr>
          <w:rFonts w:ascii="Arial" w:cs="Arial" w:eastAsia="Arial" w:hAnsi="Arial"/>
          <w:sz w:val="20"/>
          <w:szCs w:val="20"/>
          <w:color w:val="auto"/>
        </w:rPr>
        <w:t>S-1/A</w:t>
        <w:tab/>
        <w:t>333-249648</w:t>
      </w:r>
      <w:r>
        <w:rPr>
          <w:sz w:val="20"/>
          <w:szCs w:val="20"/>
          <w:color w:val="auto"/>
        </w:rPr>
        <w:tab/>
      </w:r>
      <w:r>
        <w:rPr>
          <w:rFonts w:ascii="Arial" w:cs="Arial" w:eastAsia="Arial" w:hAnsi="Arial"/>
          <w:sz w:val="20"/>
          <w:szCs w:val="20"/>
          <w:color w:val="auto"/>
        </w:rPr>
        <w:t>10.6</w:t>
      </w:r>
      <w:r>
        <w:rPr>
          <w:sz w:val="20"/>
          <w:szCs w:val="20"/>
          <w:color w:val="auto"/>
        </w:rPr>
        <w:tab/>
      </w:r>
      <w:r>
        <w:rPr>
          <w:rFonts w:ascii="Arial" w:cs="Arial" w:eastAsia="Arial" w:hAnsi="Arial"/>
          <w:sz w:val="18"/>
          <w:szCs w:val="18"/>
          <w:color w:val="auto"/>
        </w:rPr>
        <w:t>2020-11-12</w:t>
      </w:r>
    </w:p>
    <w:p>
      <w:pPr>
        <w:spacing w:after="0" w:line="200" w:lineRule="exact"/>
        <w:rPr>
          <w:sz w:val="20"/>
          <w:szCs w:val="20"/>
          <w:color w:val="auto"/>
        </w:rPr>
      </w:pPr>
    </w:p>
    <w:p>
      <w:pPr>
        <w:spacing w:after="0" w:line="365" w:lineRule="exact"/>
        <w:rPr>
          <w:sz w:val="20"/>
          <w:szCs w:val="20"/>
          <w:color w:val="auto"/>
        </w:rPr>
      </w:pPr>
    </w:p>
    <w:p>
      <w:pPr>
        <w:spacing w:after="0"/>
        <w:tabs>
          <w:tab w:leader="none" w:pos="700" w:val="left"/>
          <w:tab w:leader="none" w:pos="2000" w:val="left"/>
          <w:tab w:leader="none" w:pos="2680" w:val="left"/>
        </w:tabs>
        <w:rPr>
          <w:sz w:val="20"/>
          <w:szCs w:val="20"/>
          <w:color w:val="auto"/>
        </w:rPr>
      </w:pPr>
      <w:r>
        <w:rPr>
          <w:rFonts w:ascii="Arial" w:cs="Arial" w:eastAsia="Arial" w:hAnsi="Arial"/>
          <w:sz w:val="20"/>
          <w:szCs w:val="20"/>
          <w:color w:val="auto"/>
        </w:rPr>
        <w:t>S-1/A</w:t>
        <w:tab/>
        <w:t>333-249648</w:t>
      </w:r>
      <w:r>
        <w:rPr>
          <w:sz w:val="20"/>
          <w:szCs w:val="20"/>
          <w:color w:val="auto"/>
        </w:rPr>
        <w:tab/>
      </w:r>
      <w:r>
        <w:rPr>
          <w:rFonts w:ascii="Arial" w:cs="Arial" w:eastAsia="Arial" w:hAnsi="Arial"/>
          <w:sz w:val="20"/>
          <w:szCs w:val="20"/>
          <w:color w:val="auto"/>
        </w:rPr>
        <w:t>10.7</w:t>
      </w:r>
      <w:r>
        <w:rPr>
          <w:sz w:val="20"/>
          <w:szCs w:val="20"/>
          <w:color w:val="auto"/>
        </w:rPr>
        <w:tab/>
      </w:r>
      <w:r>
        <w:rPr>
          <w:rFonts w:ascii="Arial" w:cs="Arial" w:eastAsia="Arial" w:hAnsi="Arial"/>
          <w:sz w:val="18"/>
          <w:szCs w:val="18"/>
          <w:color w:val="auto"/>
        </w:rPr>
        <w:t>2020-11-12</w:t>
      </w:r>
    </w:p>
    <w:p>
      <w:pPr>
        <w:spacing w:after="0" w:line="200" w:lineRule="exact"/>
        <w:rPr>
          <w:sz w:val="20"/>
          <w:szCs w:val="20"/>
          <w:color w:val="auto"/>
        </w:rPr>
      </w:pPr>
    </w:p>
    <w:p>
      <w:pPr>
        <w:spacing w:after="0" w:line="365" w:lineRule="exact"/>
        <w:rPr>
          <w:sz w:val="20"/>
          <w:szCs w:val="20"/>
          <w:color w:val="auto"/>
        </w:rPr>
      </w:pPr>
    </w:p>
    <w:p>
      <w:pPr>
        <w:jc w:val="both"/>
        <w:ind w:left="40" w:right="140" w:hanging="32"/>
        <w:spacing w:after="0" w:line="658" w:lineRule="auto"/>
        <w:rPr>
          <w:sz w:val="20"/>
          <w:szCs w:val="20"/>
          <w:color w:val="auto"/>
        </w:rPr>
      </w:pPr>
      <w:r>
        <w:rPr>
          <w:rFonts w:ascii="Arial" w:cs="Arial" w:eastAsia="Arial" w:hAnsi="Arial"/>
          <w:sz w:val="20"/>
          <w:szCs w:val="20"/>
          <w:color w:val="auto"/>
        </w:rPr>
        <w:t>S-1/A</w:t>
      </w:r>
      <w:r>
        <w:rPr>
          <w:sz w:val="20"/>
          <w:szCs w:val="20"/>
          <w:color w:val="auto"/>
        </w:rPr>
        <w:t xml:space="preserve"> </w:t>
      </w:r>
      <w:r>
        <w:rPr>
          <w:rFonts w:ascii="Arial" w:cs="Arial" w:eastAsia="Arial" w:hAnsi="Arial"/>
          <w:sz w:val="20"/>
          <w:szCs w:val="20"/>
          <w:color w:val="auto"/>
        </w:rPr>
        <w:t>333-249648 10.8 2020-11-02 10-K 001-39729 10.9 2021-03-09</w:t>
      </w:r>
    </w:p>
    <w:p>
      <w:pPr>
        <w:spacing w:after="0" w:line="344" w:lineRule="exact"/>
        <w:rPr>
          <w:sz w:val="20"/>
          <w:szCs w:val="20"/>
          <w:color w:val="auto"/>
        </w:rPr>
      </w:pPr>
    </w:p>
    <w:p>
      <w:pPr>
        <w:ind w:left="100"/>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10.10</w:t>
      </w:r>
      <w:r>
        <w:rPr>
          <w:sz w:val="20"/>
          <w:szCs w:val="20"/>
          <w:color w:val="auto"/>
        </w:rPr>
        <w:tab/>
      </w:r>
      <w:r>
        <w:rPr>
          <w:rFonts w:ascii="Arial" w:cs="Arial" w:eastAsia="Arial" w:hAnsi="Arial"/>
          <w:sz w:val="18"/>
          <w:szCs w:val="18"/>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10.11</w:t>
      </w:r>
      <w:r>
        <w:rPr>
          <w:sz w:val="20"/>
          <w:szCs w:val="20"/>
          <w:color w:val="auto"/>
        </w:rPr>
        <w:tab/>
      </w:r>
      <w:r>
        <w:rPr>
          <w:rFonts w:ascii="Arial" w:cs="Arial" w:eastAsia="Arial" w:hAnsi="Arial"/>
          <w:sz w:val="18"/>
          <w:szCs w:val="18"/>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0"/>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10.12</w:t>
      </w:r>
      <w:r>
        <w:rPr>
          <w:sz w:val="20"/>
          <w:szCs w:val="20"/>
          <w:color w:val="auto"/>
        </w:rPr>
        <w:tab/>
      </w:r>
      <w:r>
        <w:rPr>
          <w:rFonts w:ascii="Arial" w:cs="Arial" w:eastAsia="Arial" w:hAnsi="Arial"/>
          <w:sz w:val="18"/>
          <w:szCs w:val="18"/>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10.13</w:t>
      </w:r>
      <w:r>
        <w:rPr>
          <w:sz w:val="20"/>
          <w:szCs w:val="20"/>
          <w:color w:val="auto"/>
        </w:rPr>
        <w:tab/>
      </w:r>
      <w:r>
        <w:rPr>
          <w:rFonts w:ascii="Arial" w:cs="Arial" w:eastAsia="Arial" w:hAnsi="Arial"/>
          <w:sz w:val="18"/>
          <w:szCs w:val="18"/>
          <w:color w:val="auto"/>
        </w:rPr>
        <w:t>2020-10-23</w:t>
      </w:r>
    </w:p>
    <w:p>
      <w:pPr>
        <w:spacing w:after="0" w:line="528" w:lineRule="exact"/>
        <w:rPr>
          <w:sz w:val="20"/>
          <w:szCs w:val="20"/>
          <w:color w:val="auto"/>
        </w:rPr>
      </w:pPr>
    </w:p>
    <w:p>
      <w:pPr>
        <w:sectPr>
          <w:pgSz w:w="11880" w:h="15480" w:orient="portrait"/>
          <w:cols w:equalWidth="0" w:num="3">
            <w:col w:w="600" w:space="720"/>
            <w:col w:w="4400" w:space="720"/>
            <w:col w:w="3780"/>
          </w:cols>
          <w:pgMar w:left="860" w:top="458" w:right="800" w:bottom="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117</w:t>
      </w:r>
    </w:p>
    <w:p>
      <w:pPr>
        <w:sectPr>
          <w:pgSz w:w="11880" w:h="15480" w:orient="portrait"/>
          <w:cols w:equalWidth="0" w:num="1">
            <w:col w:w="10220"/>
          </w:cols>
          <w:pgMar w:left="860" w:top="458" w:right="800" w:bottom="0" w:gutter="0" w:footer="0" w:header="0"/>
          <w:type w:val="continuous"/>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514350</wp:posOffset>
            </wp:positionH>
            <wp:positionV relativeFrom="page">
              <wp:posOffset>476250</wp:posOffset>
            </wp:positionV>
            <wp:extent cx="762000"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3">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38735</wp:posOffset>
            </wp:positionV>
            <wp:extent cx="762000"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4">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3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20" w:type="dxa"/>
            <w:vAlign w:val="bottom"/>
            <w:gridSpan w:val="2"/>
          </w:tcPr>
          <w:p>
            <w:pPr>
              <w:ind w:left="10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line="192"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Description of Exhibits</w:t>
            </w:r>
          </w:p>
        </w:tc>
        <w:tc>
          <w:tcPr>
            <w:tcW w:w="14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0"/>
              </w:rPr>
              <w:t>Furnished</w:t>
            </w:r>
          </w:p>
        </w:tc>
        <w:tc>
          <w:tcPr>
            <w:tcW w:w="140" w:type="dxa"/>
            <w:vAlign w:val="bottom"/>
          </w:tcPr>
          <w:p>
            <w:pPr>
              <w:spacing w:after="0"/>
              <w:rPr>
                <w:sz w:val="17"/>
                <w:szCs w:val="17"/>
                <w:color w:val="auto"/>
              </w:rPr>
            </w:pPr>
          </w:p>
        </w:tc>
        <w:tc>
          <w:tcPr>
            <w:tcW w:w="700" w:type="dxa"/>
            <w:vAlign w:val="bottom"/>
            <w:vMerge w:val="restart"/>
          </w:tcPr>
          <w:p>
            <w:pPr>
              <w:ind w:left="140"/>
              <w:spacing w:after="0"/>
              <w:rPr>
                <w:sz w:val="20"/>
                <w:szCs w:val="20"/>
                <w:color w:val="auto"/>
              </w:rPr>
            </w:pPr>
            <w:r>
              <w:rPr>
                <w:rFonts w:ascii="Arial" w:cs="Arial" w:eastAsia="Arial" w:hAnsi="Arial"/>
                <w:sz w:val="20"/>
                <w:szCs w:val="20"/>
                <w:b w:val="1"/>
                <w:bCs w:val="1"/>
                <w:color w:val="auto"/>
              </w:rPr>
              <w:t>Form</w:t>
            </w:r>
          </w:p>
        </w:tc>
        <w:tc>
          <w:tcPr>
            <w:tcW w:w="1140" w:type="dxa"/>
            <w:vAlign w:val="bottom"/>
            <w:vMerge w:val="restart"/>
          </w:tcPr>
          <w:p>
            <w:pPr>
              <w:ind w:left="320"/>
              <w:spacing w:after="0"/>
              <w:rPr>
                <w:sz w:val="20"/>
                <w:szCs w:val="20"/>
                <w:color w:val="auto"/>
              </w:rPr>
            </w:pPr>
            <w:r>
              <w:rPr>
                <w:rFonts w:ascii="Arial" w:cs="Arial" w:eastAsia="Arial" w:hAnsi="Arial"/>
                <w:sz w:val="20"/>
                <w:szCs w:val="20"/>
                <w:b w:val="1"/>
                <w:bCs w:val="1"/>
                <w:color w:val="auto"/>
              </w:rPr>
              <w:t>File No.</w:t>
            </w:r>
          </w:p>
        </w:tc>
        <w:tc>
          <w:tcPr>
            <w:tcW w:w="208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Exhibit  Filing Date</w:t>
            </w:r>
          </w:p>
        </w:tc>
        <w:tc>
          <w:tcPr>
            <w:tcW w:w="0" w:type="dxa"/>
            <w:vAlign w:val="bottom"/>
          </w:tcPr>
          <w:p>
            <w:pPr>
              <w:spacing w:after="0"/>
              <w:rPr>
                <w:sz w:val="1"/>
                <w:szCs w:val="1"/>
                <w:color w:val="auto"/>
              </w:rPr>
            </w:pPr>
          </w:p>
        </w:tc>
      </w:tr>
      <w:tr>
        <w:trPr>
          <w:trHeight w:val="265"/>
        </w:trPr>
        <w:tc>
          <w:tcPr>
            <w:tcW w:w="364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20"/>
                <w:szCs w:val="20"/>
                <w:b w:val="1"/>
                <w:bCs w:val="1"/>
                <w:color w:val="auto"/>
                <w:w w:val="94"/>
              </w:rPr>
              <w:t>Herewith</w:t>
            </w:r>
          </w:p>
        </w:tc>
        <w:tc>
          <w:tcPr>
            <w:tcW w:w="14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5676900"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5">
                      <a:extLst>
                        <a:ext uri="{28A0092B-C50C-407E-A947-70E740481C1C}"/>
                      </a:extLst>
                    </a:blip>
                    <a:srcRect/>
                    <a:stretch>
                      <a:fillRect/>
                    </a:stretch>
                  </pic:blipFill>
                  <pic:spPr bwMode="auto">
                    <a:xfrm>
                      <a:off x="0" y="0"/>
                      <a:ext cx="5676900" cy="12700"/>
                    </a:xfrm>
                    <a:prstGeom prst="rect">
                      <a:avLst/>
                    </a:prstGeom>
                    <a:noFill/>
                  </pic:spPr>
                </pic:pic>
              </a:graphicData>
            </a:graphic>
          </wp:anchor>
        </w:drawing>
      </w:r>
    </w:p>
    <w:p>
      <w:pPr>
        <w:spacing w:after="0" w:line="38" w:lineRule="exact"/>
        <w:rPr>
          <w:sz w:val="20"/>
          <w:szCs w:val="20"/>
          <w:color w:val="auto"/>
        </w:rPr>
      </w:pPr>
    </w:p>
    <w:p>
      <w:pPr>
        <w:sectPr>
          <w:pgSz w:w="11880" w:h="15480" w:orient="portrait"/>
          <w:cols w:equalWidth="0" w:num="2">
            <w:col w:w="1020" w:space="260"/>
            <w:col w:w="8940"/>
          </w:cols>
          <w:pgMar w:left="860" w:top="458" w:right="800" w:bottom="0" w:gutter="0" w:footer="0" w:header="0"/>
        </w:sect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10.25†</w:t>
      </w:r>
    </w:p>
    <w:p>
      <w:pPr>
        <w:spacing w:after="0" w:line="20" w:lineRule="exact"/>
        <w:rPr>
          <w:sz w:val="20"/>
          <w:szCs w:val="20"/>
          <w:color w:val="auto"/>
        </w:rPr>
      </w:pPr>
      <w:r>
        <w:rPr>
          <w:sz w:val="20"/>
          <w:szCs w:val="20"/>
          <w:color w:val="auto"/>
        </w:rPr>
        <w:br w:type="column"/>
      </w:r>
    </w:p>
    <w:p>
      <w:pPr>
        <w:ind w:right="900"/>
        <w:spacing w:after="0" w:line="224" w:lineRule="auto"/>
        <w:rPr>
          <w:sz w:val="20"/>
          <w:szCs w:val="20"/>
          <w:color w:val="auto"/>
        </w:rPr>
      </w:pPr>
      <w:r>
        <w:rPr>
          <w:rFonts w:ascii="Arial" w:cs="Arial" w:eastAsia="Arial" w:hAnsi="Arial"/>
          <w:sz w:val="20"/>
          <w:szCs w:val="20"/>
          <w:u w:val="single" w:color="auto"/>
          <w:color w:val="1C2790"/>
        </w:rPr>
        <w:t>Trademark Security Agreement, dated as of December 13, 2019, between Sterigenics U.S., LLC and Jefferies Finance LLC, as collateral agent</w:t>
      </w:r>
    </w:p>
    <w:p>
      <w:pPr>
        <w:spacing w:after="0" w:line="176" w:lineRule="exact"/>
        <w:rPr>
          <w:sz w:val="20"/>
          <w:szCs w:val="20"/>
          <w:color w:val="auto"/>
        </w:rPr>
      </w:pPr>
    </w:p>
    <w:p>
      <w:pPr>
        <w:ind w:right="900"/>
        <w:spacing w:after="0" w:line="224" w:lineRule="auto"/>
        <w:rPr>
          <w:sz w:val="20"/>
          <w:szCs w:val="20"/>
          <w:color w:val="auto"/>
        </w:rPr>
      </w:pPr>
      <w:r>
        <w:rPr>
          <w:rFonts w:ascii="Arial" w:cs="Arial" w:eastAsia="Arial" w:hAnsi="Arial"/>
          <w:sz w:val="20"/>
          <w:szCs w:val="20"/>
          <w:u w:val="single" w:color="auto"/>
          <w:color w:val="1C2790"/>
        </w:rPr>
        <w:t>Trademark Security Agreement, dated as of December 13, 2019, between Nelson Laboratories, LLC and Jefferies Finance LLC, as collateral agent</w:t>
      </w:r>
    </w:p>
    <w:p>
      <w:pPr>
        <w:spacing w:after="0" w:line="146" w:lineRule="exact"/>
        <w:rPr>
          <w:sz w:val="20"/>
          <w:szCs w:val="20"/>
          <w:color w:val="auto"/>
        </w:rPr>
      </w:pPr>
    </w:p>
    <w:p>
      <w:pPr>
        <w:ind w:right="900"/>
        <w:spacing w:after="0" w:line="224" w:lineRule="auto"/>
        <w:rPr>
          <w:sz w:val="20"/>
          <w:szCs w:val="20"/>
          <w:color w:val="auto"/>
        </w:rPr>
      </w:pPr>
      <w:r>
        <w:rPr>
          <w:rFonts w:ascii="Arial" w:cs="Arial" w:eastAsia="Arial" w:hAnsi="Arial"/>
          <w:sz w:val="20"/>
          <w:szCs w:val="20"/>
          <w:u w:val="single" w:color="auto"/>
          <w:color w:val="1C2790"/>
        </w:rPr>
        <w:t>Trademark Security Agreement, dated as of December 13, 2019, between Sotera Health LLC and Jefferies Finance LLC, as collateral agent</w:t>
      </w:r>
    </w:p>
    <w:p>
      <w:pPr>
        <w:spacing w:after="0" w:line="146" w:lineRule="exact"/>
        <w:rPr>
          <w:sz w:val="20"/>
          <w:szCs w:val="20"/>
          <w:color w:val="auto"/>
        </w:rPr>
      </w:pPr>
    </w:p>
    <w:p>
      <w:pPr>
        <w:ind w:right="960"/>
        <w:spacing w:after="0" w:line="224" w:lineRule="auto"/>
        <w:rPr>
          <w:sz w:val="20"/>
          <w:szCs w:val="20"/>
          <w:color w:val="auto"/>
        </w:rPr>
      </w:pPr>
      <w:r>
        <w:rPr>
          <w:rFonts w:ascii="Arial" w:cs="Arial" w:eastAsia="Arial" w:hAnsi="Arial"/>
          <w:sz w:val="20"/>
          <w:szCs w:val="20"/>
          <w:u w:val="single" w:color="auto"/>
          <w:color w:val="1C2790"/>
        </w:rPr>
        <w:t>Copyright Security Agreement, dated as of December 13, 2019, among Jefferies Finance LLC and Nelson Laboratories, LLC, as collateral agent</w:t>
      </w:r>
    </w:p>
    <w:p>
      <w:pPr>
        <w:spacing w:after="0" w:line="254" w:lineRule="exact"/>
        <w:rPr>
          <w:sz w:val="20"/>
          <w:szCs w:val="20"/>
          <w:color w:val="auto"/>
        </w:rPr>
      </w:pPr>
    </w:p>
    <w:p>
      <w:pPr>
        <w:ind w:right="880"/>
        <w:spacing w:after="0" w:line="230" w:lineRule="auto"/>
        <w:rPr>
          <w:sz w:val="20"/>
          <w:szCs w:val="20"/>
          <w:color w:val="auto"/>
        </w:rPr>
      </w:pPr>
      <w:r>
        <w:rPr>
          <w:rFonts w:ascii="Arial" w:cs="Arial" w:eastAsia="Arial" w:hAnsi="Arial"/>
          <w:sz w:val="19"/>
          <w:szCs w:val="19"/>
          <w:u w:val="single" w:color="auto"/>
          <w:color w:val="1C2790"/>
        </w:rPr>
        <w:t>First Lien Collateral Agreement, dated as of July 31, 2020, among the Registrant, Sotera Health Holdings, LLC, the other grantors party thereto and Wilmington Trust, National Association, as first lien notes collateral agent</w:t>
      </w:r>
    </w:p>
    <w:p>
      <w:pPr>
        <w:spacing w:after="0" w:line="246" w:lineRule="exact"/>
        <w:rPr>
          <w:sz w:val="20"/>
          <w:szCs w:val="20"/>
          <w:color w:val="auto"/>
        </w:rPr>
      </w:pPr>
    </w:p>
    <w:p>
      <w:pPr>
        <w:ind w:right="900"/>
        <w:spacing w:after="0" w:line="221" w:lineRule="auto"/>
        <w:rPr>
          <w:sz w:val="20"/>
          <w:szCs w:val="20"/>
          <w:color w:val="auto"/>
        </w:rPr>
      </w:pPr>
      <w:r>
        <w:rPr>
          <w:rFonts w:ascii="Arial" w:cs="Arial" w:eastAsia="Arial" w:hAnsi="Arial"/>
          <w:sz w:val="20"/>
          <w:szCs w:val="20"/>
          <w:u w:val="single" w:color="auto"/>
          <w:color w:val="1C2790"/>
        </w:rPr>
        <w:t>Patent Security Agreement, dated as of July 31, 2020, between Sterigenics U.S., LLC and Wilmington Trust, National Association, as first lien notes collateral agent</w:t>
      </w:r>
    </w:p>
    <w:p>
      <w:pPr>
        <w:spacing w:after="0" w:line="216" w:lineRule="exact"/>
        <w:rPr>
          <w:sz w:val="20"/>
          <w:szCs w:val="20"/>
          <w:color w:val="auto"/>
        </w:rPr>
      </w:pPr>
    </w:p>
    <w:p>
      <w:pPr>
        <w:ind w:right="900"/>
        <w:spacing w:after="0" w:line="221" w:lineRule="auto"/>
        <w:rPr>
          <w:sz w:val="20"/>
          <w:szCs w:val="20"/>
          <w:color w:val="auto"/>
        </w:rPr>
      </w:pPr>
      <w:r>
        <w:rPr>
          <w:rFonts w:ascii="Arial" w:cs="Arial" w:eastAsia="Arial" w:hAnsi="Arial"/>
          <w:sz w:val="20"/>
          <w:szCs w:val="20"/>
          <w:u w:val="single" w:color="auto"/>
          <w:color w:val="1C2790"/>
        </w:rPr>
        <w:t>Trademark Security Agreement, dated as of July 31, 2020, between Sotera Health Holdings LLC and Wilmington Trust, National Association, as first lien notes collateral agent</w:t>
      </w:r>
    </w:p>
    <w:p>
      <w:pPr>
        <w:spacing w:after="0" w:line="306" w:lineRule="exact"/>
        <w:rPr>
          <w:sz w:val="20"/>
          <w:szCs w:val="20"/>
          <w:color w:val="auto"/>
        </w:rPr>
      </w:pPr>
    </w:p>
    <w:p>
      <w:pPr>
        <w:ind w:right="960"/>
        <w:spacing w:after="0" w:line="221" w:lineRule="auto"/>
        <w:rPr>
          <w:sz w:val="20"/>
          <w:szCs w:val="20"/>
          <w:color w:val="auto"/>
        </w:rPr>
      </w:pPr>
      <w:r>
        <w:rPr>
          <w:rFonts w:ascii="Arial" w:cs="Arial" w:eastAsia="Arial" w:hAnsi="Arial"/>
          <w:sz w:val="20"/>
          <w:szCs w:val="20"/>
          <w:u w:val="single" w:color="auto"/>
          <w:color w:val="1C2790"/>
        </w:rPr>
        <w:t>Copyright Security Agreement, dated as of July 31, 2020, between Nelson Laboratories, LLC and Wilmington Trust, National Association, as first lien notes collateral agent</w:t>
      </w:r>
    </w:p>
    <w:p>
      <w:pPr>
        <w:spacing w:after="0" w:line="311" w:lineRule="exact"/>
        <w:rPr>
          <w:sz w:val="20"/>
          <w:szCs w:val="20"/>
          <w:color w:val="auto"/>
        </w:rPr>
      </w:pPr>
    </w:p>
    <w:p>
      <w:pPr>
        <w:ind w:right="920"/>
        <w:spacing w:after="0" w:line="219" w:lineRule="auto"/>
        <w:rPr>
          <w:sz w:val="20"/>
          <w:szCs w:val="20"/>
          <w:color w:val="auto"/>
        </w:rPr>
      </w:pPr>
      <w:r>
        <w:rPr>
          <w:rFonts w:ascii="Arial" w:cs="Arial" w:eastAsia="Arial" w:hAnsi="Arial"/>
          <w:sz w:val="20"/>
          <w:szCs w:val="20"/>
          <w:u w:val="single" w:color="auto"/>
          <w:color w:val="1C2790"/>
        </w:rPr>
        <w:t>Restated Supply Agreement, dated as of October 6, 2020, between Balchem Corporation and Sterigenics U.S., LLC, Sterigenics S. De R.L. De C.V., Sterigenics Costa Rica S.R.L. and Sterigenics EO Canada, Inc.</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100"/>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10.14</w:t>
      </w:r>
      <w:r>
        <w:rPr>
          <w:sz w:val="20"/>
          <w:szCs w:val="20"/>
          <w:color w:val="auto"/>
        </w:rPr>
        <w:tab/>
      </w:r>
      <w:r>
        <w:rPr>
          <w:rFonts w:ascii="Arial" w:cs="Arial" w:eastAsia="Arial" w:hAnsi="Arial"/>
          <w:sz w:val="18"/>
          <w:szCs w:val="18"/>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10.15</w:t>
      </w:r>
      <w:r>
        <w:rPr>
          <w:sz w:val="20"/>
          <w:szCs w:val="20"/>
          <w:color w:val="auto"/>
        </w:rPr>
        <w:tab/>
      </w:r>
      <w:r>
        <w:rPr>
          <w:rFonts w:ascii="Arial" w:cs="Arial" w:eastAsia="Arial" w:hAnsi="Arial"/>
          <w:sz w:val="18"/>
          <w:szCs w:val="18"/>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10.16</w:t>
      </w:r>
      <w:r>
        <w:rPr>
          <w:sz w:val="20"/>
          <w:szCs w:val="20"/>
          <w:color w:val="auto"/>
        </w:rPr>
        <w:tab/>
      </w:r>
      <w:r>
        <w:rPr>
          <w:rFonts w:ascii="Arial" w:cs="Arial" w:eastAsia="Arial" w:hAnsi="Arial"/>
          <w:sz w:val="18"/>
          <w:szCs w:val="18"/>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10.17</w:t>
      </w:r>
      <w:r>
        <w:rPr>
          <w:sz w:val="20"/>
          <w:szCs w:val="20"/>
          <w:color w:val="auto"/>
        </w:rPr>
        <w:tab/>
      </w:r>
      <w:r>
        <w:rPr>
          <w:rFonts w:ascii="Arial" w:cs="Arial" w:eastAsia="Arial" w:hAnsi="Arial"/>
          <w:sz w:val="18"/>
          <w:szCs w:val="18"/>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0"/>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10.26</w:t>
      </w:r>
      <w:r>
        <w:rPr>
          <w:sz w:val="20"/>
          <w:szCs w:val="20"/>
          <w:color w:val="auto"/>
        </w:rPr>
        <w:tab/>
      </w:r>
      <w:r>
        <w:rPr>
          <w:rFonts w:ascii="Arial" w:cs="Arial" w:eastAsia="Arial" w:hAnsi="Arial"/>
          <w:sz w:val="18"/>
          <w:szCs w:val="18"/>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0"/>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10.27</w:t>
      </w:r>
      <w:r>
        <w:rPr>
          <w:sz w:val="20"/>
          <w:szCs w:val="20"/>
          <w:color w:val="auto"/>
        </w:rPr>
        <w:tab/>
      </w:r>
      <w:r>
        <w:rPr>
          <w:rFonts w:ascii="Arial" w:cs="Arial" w:eastAsia="Arial" w:hAnsi="Arial"/>
          <w:sz w:val="18"/>
          <w:szCs w:val="18"/>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10.28</w:t>
      </w:r>
      <w:r>
        <w:rPr>
          <w:sz w:val="20"/>
          <w:szCs w:val="20"/>
          <w:color w:val="auto"/>
        </w:rPr>
        <w:tab/>
      </w:r>
      <w:r>
        <w:rPr>
          <w:rFonts w:ascii="Arial" w:cs="Arial" w:eastAsia="Arial" w:hAnsi="Arial"/>
          <w:sz w:val="18"/>
          <w:szCs w:val="18"/>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0"/>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10.29</w:t>
      </w:r>
      <w:r>
        <w:rPr>
          <w:sz w:val="20"/>
          <w:szCs w:val="20"/>
          <w:color w:val="auto"/>
        </w:rPr>
        <w:tab/>
      </w:r>
      <w:r>
        <w:rPr>
          <w:rFonts w:ascii="Arial" w:cs="Arial" w:eastAsia="Arial" w:hAnsi="Arial"/>
          <w:sz w:val="18"/>
          <w:szCs w:val="18"/>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S-1/A</w:t>
        <w:tab/>
        <w:t>333-249648</w:t>
        <w:tab/>
        <w:t>10.30</w:t>
      </w:r>
      <w:r>
        <w:rPr>
          <w:sz w:val="20"/>
          <w:szCs w:val="20"/>
          <w:color w:val="auto"/>
        </w:rPr>
        <w:tab/>
      </w:r>
      <w:r>
        <w:rPr>
          <w:rFonts w:ascii="Arial" w:cs="Arial" w:eastAsia="Arial" w:hAnsi="Arial"/>
          <w:sz w:val="18"/>
          <w:szCs w:val="18"/>
          <w:color w:val="auto"/>
        </w:rPr>
        <w:t>2020-11-18</w:t>
      </w:r>
    </w:p>
    <w:p>
      <w:pPr>
        <w:spacing w:after="0" w:line="729" w:lineRule="exact"/>
        <w:rPr>
          <w:sz w:val="20"/>
          <w:szCs w:val="20"/>
          <w:color w:val="auto"/>
        </w:rPr>
      </w:pPr>
    </w:p>
    <w:p>
      <w:pPr>
        <w:sectPr>
          <w:pgSz w:w="11880" w:h="15480" w:orient="portrait"/>
          <w:cols w:equalWidth="0" w:num="3">
            <w:col w:w="600" w:space="720"/>
            <w:col w:w="4400" w:space="720"/>
            <w:col w:w="3780"/>
          </w:cols>
          <w:pgMar w:left="860" w:top="458" w:right="800" w:bottom="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10.26+</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10.27+</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10.28+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1100"/>
        <w:spacing w:after="0" w:line="241" w:lineRule="auto"/>
        <w:rPr>
          <w:sz w:val="20"/>
          <w:szCs w:val="20"/>
          <w:color w:val="auto"/>
        </w:rPr>
      </w:pPr>
      <w:r>
        <w:rPr>
          <w:rFonts w:ascii="Arial" w:cs="Arial" w:eastAsia="Arial" w:hAnsi="Arial"/>
          <w:sz w:val="20"/>
          <w:szCs w:val="20"/>
          <w:u w:val="single" w:color="auto"/>
          <w:color w:val="1C2790"/>
        </w:rPr>
        <w:t>Form of Restricted Stock Agreement and Acknowledgement</w:t>
      </w:r>
    </w:p>
    <w:p>
      <w:pPr>
        <w:spacing w:after="0" w:line="123" w:lineRule="exact"/>
        <w:rPr>
          <w:sz w:val="20"/>
          <w:szCs w:val="20"/>
          <w:color w:val="auto"/>
        </w:rPr>
      </w:pPr>
    </w:p>
    <w:p>
      <w:pPr>
        <w:ind w:right="1260"/>
        <w:spacing w:after="0" w:line="241" w:lineRule="auto"/>
        <w:rPr>
          <w:sz w:val="20"/>
          <w:szCs w:val="20"/>
          <w:color w:val="auto"/>
        </w:rPr>
      </w:pPr>
      <w:r>
        <w:rPr>
          <w:rFonts w:ascii="Arial" w:cs="Arial" w:eastAsia="Arial" w:hAnsi="Arial"/>
          <w:sz w:val="20"/>
          <w:szCs w:val="20"/>
          <w:u w:val="single" w:color="auto"/>
          <w:color w:val="1C2790"/>
        </w:rPr>
        <w:t>Non-Employee Director Compensation Policy</w:t>
      </w:r>
    </w:p>
    <w:p>
      <w:pPr>
        <w:spacing w:after="0" w:line="128" w:lineRule="exact"/>
        <w:rPr>
          <w:sz w:val="20"/>
          <w:szCs w:val="20"/>
          <w:color w:val="auto"/>
        </w:rPr>
      </w:pPr>
    </w:p>
    <w:p>
      <w:pPr>
        <w:jc w:val="both"/>
        <w:ind w:right="1120"/>
        <w:spacing w:after="0" w:line="263" w:lineRule="auto"/>
        <w:rPr>
          <w:sz w:val="20"/>
          <w:szCs w:val="20"/>
          <w:color w:val="auto"/>
        </w:rPr>
      </w:pPr>
      <w:r>
        <w:rPr>
          <w:rFonts w:ascii="Arial" w:cs="Arial" w:eastAsia="Arial" w:hAnsi="Arial"/>
          <w:sz w:val="18"/>
          <w:szCs w:val="18"/>
          <w:u w:val="single" w:color="auto"/>
          <w:color w:val="1C2790"/>
        </w:rPr>
        <w:t>Employment Agreement by and between Sotera Health LLC and Michael P. Rutz, dated as of May 21, 2020</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S-1/A</w:t>
        <w:tab/>
        <w:t>333-249648</w:t>
        <w:tab/>
        <w:t>10.31</w:t>
      </w:r>
      <w:r>
        <w:rPr>
          <w:sz w:val="20"/>
          <w:szCs w:val="20"/>
          <w:color w:val="auto"/>
        </w:rPr>
        <w:tab/>
      </w:r>
      <w:r>
        <w:rPr>
          <w:rFonts w:ascii="Arial" w:cs="Arial" w:eastAsia="Arial" w:hAnsi="Arial"/>
          <w:sz w:val="18"/>
          <w:szCs w:val="18"/>
          <w:color w:val="auto"/>
        </w:rPr>
        <w:t>2020-11-12</w:t>
      </w:r>
    </w:p>
    <w:p>
      <w:pPr>
        <w:spacing w:after="0" w:line="355" w:lineRule="exact"/>
        <w:rPr>
          <w:sz w:val="20"/>
          <w:szCs w:val="20"/>
          <w:color w:val="auto"/>
        </w:rPr>
      </w:pPr>
    </w:p>
    <w:p>
      <w:pPr>
        <w:spacing w:after="0"/>
        <w:tabs>
          <w:tab w:leader="none" w:pos="700" w:val="left"/>
          <w:tab w:leader="none" w:pos="1940" w:val="left"/>
          <w:tab w:leader="none" w:pos="2680" w:val="left"/>
        </w:tabs>
        <w:rPr>
          <w:sz w:val="20"/>
          <w:szCs w:val="20"/>
          <w:color w:val="auto"/>
        </w:rPr>
      </w:pPr>
      <w:r>
        <w:rPr>
          <w:rFonts w:ascii="Arial" w:cs="Arial" w:eastAsia="Arial" w:hAnsi="Arial"/>
          <w:sz w:val="20"/>
          <w:szCs w:val="20"/>
          <w:color w:val="auto"/>
        </w:rPr>
        <w:t>S-1/A</w:t>
        <w:tab/>
        <w:t>333-249648</w:t>
        <w:tab/>
        <w:t>10.32</w:t>
      </w:r>
      <w:r>
        <w:rPr>
          <w:sz w:val="20"/>
          <w:szCs w:val="20"/>
          <w:color w:val="auto"/>
        </w:rPr>
        <w:tab/>
      </w:r>
      <w:r>
        <w:rPr>
          <w:rFonts w:ascii="Arial" w:cs="Arial" w:eastAsia="Arial" w:hAnsi="Arial"/>
          <w:sz w:val="18"/>
          <w:szCs w:val="18"/>
          <w:color w:val="auto"/>
        </w:rPr>
        <w:t>2020-11-12</w:t>
      </w:r>
    </w:p>
    <w:p>
      <w:pPr>
        <w:spacing w:after="0" w:line="200" w:lineRule="exact"/>
        <w:rPr>
          <w:sz w:val="20"/>
          <w:szCs w:val="20"/>
          <w:color w:val="auto"/>
        </w:rPr>
      </w:pPr>
    </w:p>
    <w:p>
      <w:pPr>
        <w:spacing w:after="0" w:line="260" w:lineRule="exact"/>
        <w:rPr>
          <w:sz w:val="20"/>
          <w:szCs w:val="20"/>
          <w:color w:val="auto"/>
        </w:rPr>
      </w:pPr>
    </w:p>
    <w:p>
      <w:pPr>
        <w:ind w:left="40"/>
        <w:spacing w:after="0"/>
        <w:tabs>
          <w:tab w:leader="none" w:pos="760" w:val="left"/>
          <w:tab w:leader="none" w:pos="1940" w:val="left"/>
          <w:tab w:leader="none" w:pos="268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10.26</w:t>
      </w:r>
      <w:r>
        <w:rPr>
          <w:sz w:val="20"/>
          <w:szCs w:val="20"/>
          <w:color w:val="auto"/>
        </w:rPr>
        <w:tab/>
      </w:r>
      <w:r>
        <w:rPr>
          <w:rFonts w:ascii="Arial" w:cs="Arial" w:eastAsia="Arial" w:hAnsi="Arial"/>
          <w:sz w:val="18"/>
          <w:szCs w:val="18"/>
          <w:color w:val="auto"/>
        </w:rPr>
        <w:t>2021-03-09</w:t>
      </w:r>
    </w:p>
    <w:p>
      <w:pPr>
        <w:spacing w:after="0" w:line="450" w:lineRule="exact"/>
        <w:rPr>
          <w:sz w:val="20"/>
          <w:szCs w:val="20"/>
          <w:color w:val="auto"/>
        </w:rPr>
      </w:pPr>
    </w:p>
    <w:p>
      <w:pPr>
        <w:sectPr>
          <w:pgSz w:w="11880" w:h="15480" w:orient="portrait"/>
          <w:cols w:equalWidth="0" w:num="3">
            <w:col w:w="600" w:space="720"/>
            <w:col w:w="4400" w:space="720"/>
            <w:col w:w="3780"/>
          </w:cols>
          <w:pgMar w:left="860" w:top="458" w:right="800" w:bottom="0" w:gutter="0" w:footer="0" w:header="0"/>
          <w:type w:val="continuous"/>
        </w:sect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118</w:t>
      </w:r>
    </w:p>
    <w:p>
      <w:pPr>
        <w:sectPr>
          <w:pgSz w:w="11880" w:h="15480" w:orient="portrait"/>
          <w:cols w:equalWidth="0" w:num="1">
            <w:col w:w="10220"/>
          </w:cols>
          <w:pgMar w:left="860" w:top="458" w:right="800" w:bottom="0" w:gutter="0" w:footer="0" w:header="0"/>
          <w:type w:val="continuous"/>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514350</wp:posOffset>
            </wp:positionH>
            <wp:positionV relativeFrom="page">
              <wp:posOffset>476250</wp:posOffset>
            </wp:positionV>
            <wp:extent cx="762000"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6">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38735</wp:posOffset>
            </wp:positionV>
            <wp:extent cx="762000"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7">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3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20" w:type="dxa"/>
            <w:vAlign w:val="bottom"/>
            <w:gridSpan w:val="2"/>
          </w:tcPr>
          <w:p>
            <w:pPr>
              <w:ind w:left="10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line="192"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Description of Exhibits</w:t>
            </w:r>
          </w:p>
        </w:tc>
        <w:tc>
          <w:tcPr>
            <w:tcW w:w="14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0"/>
              </w:rPr>
              <w:t>Furnished</w:t>
            </w:r>
          </w:p>
        </w:tc>
        <w:tc>
          <w:tcPr>
            <w:tcW w:w="140" w:type="dxa"/>
            <w:vAlign w:val="bottom"/>
          </w:tcPr>
          <w:p>
            <w:pPr>
              <w:spacing w:after="0"/>
              <w:rPr>
                <w:sz w:val="17"/>
                <w:szCs w:val="17"/>
                <w:color w:val="auto"/>
              </w:rPr>
            </w:pPr>
          </w:p>
        </w:tc>
        <w:tc>
          <w:tcPr>
            <w:tcW w:w="700" w:type="dxa"/>
            <w:vAlign w:val="bottom"/>
            <w:vMerge w:val="restart"/>
          </w:tcPr>
          <w:p>
            <w:pPr>
              <w:ind w:left="140"/>
              <w:spacing w:after="0"/>
              <w:rPr>
                <w:sz w:val="20"/>
                <w:szCs w:val="20"/>
                <w:color w:val="auto"/>
              </w:rPr>
            </w:pPr>
            <w:r>
              <w:rPr>
                <w:rFonts w:ascii="Arial" w:cs="Arial" w:eastAsia="Arial" w:hAnsi="Arial"/>
                <w:sz w:val="20"/>
                <w:szCs w:val="20"/>
                <w:b w:val="1"/>
                <w:bCs w:val="1"/>
                <w:color w:val="auto"/>
              </w:rPr>
              <w:t>Form</w:t>
            </w:r>
          </w:p>
        </w:tc>
        <w:tc>
          <w:tcPr>
            <w:tcW w:w="1140" w:type="dxa"/>
            <w:vAlign w:val="bottom"/>
            <w:vMerge w:val="restart"/>
          </w:tcPr>
          <w:p>
            <w:pPr>
              <w:ind w:left="320"/>
              <w:spacing w:after="0"/>
              <w:rPr>
                <w:sz w:val="20"/>
                <w:szCs w:val="20"/>
                <w:color w:val="auto"/>
              </w:rPr>
            </w:pPr>
            <w:r>
              <w:rPr>
                <w:rFonts w:ascii="Arial" w:cs="Arial" w:eastAsia="Arial" w:hAnsi="Arial"/>
                <w:sz w:val="20"/>
                <w:szCs w:val="20"/>
                <w:b w:val="1"/>
                <w:bCs w:val="1"/>
                <w:color w:val="auto"/>
              </w:rPr>
              <w:t>File No.</w:t>
            </w:r>
          </w:p>
        </w:tc>
        <w:tc>
          <w:tcPr>
            <w:tcW w:w="208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Exhibit  Filing Date</w:t>
            </w:r>
          </w:p>
        </w:tc>
        <w:tc>
          <w:tcPr>
            <w:tcW w:w="0" w:type="dxa"/>
            <w:vAlign w:val="bottom"/>
          </w:tcPr>
          <w:p>
            <w:pPr>
              <w:spacing w:after="0"/>
              <w:rPr>
                <w:sz w:val="1"/>
                <w:szCs w:val="1"/>
                <w:color w:val="auto"/>
              </w:rPr>
            </w:pPr>
          </w:p>
        </w:tc>
      </w:tr>
      <w:tr>
        <w:trPr>
          <w:trHeight w:val="263"/>
        </w:trPr>
        <w:tc>
          <w:tcPr>
            <w:tcW w:w="364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Herewith</w:t>
            </w:r>
          </w:p>
        </w:tc>
        <w:tc>
          <w:tcPr>
            <w:tcW w:w="140" w:type="dxa"/>
            <w:vAlign w:val="bottom"/>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880" w:h="15480" w:orient="portrait"/>
          <w:cols w:equalWidth="0" w:num="2">
            <w:col w:w="1020" w:space="260"/>
            <w:col w:w="8940"/>
          </w:cols>
          <w:pgMar w:left="860" w:top="45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10.35</w:t>
      </w:r>
    </w:p>
    <w:p>
      <w:pPr>
        <w:spacing w:after="0" w:line="20" w:lineRule="exact"/>
        <w:rPr>
          <w:sz w:val="20"/>
          <w:szCs w:val="20"/>
          <w:color w:val="auto"/>
        </w:rPr>
      </w:pPr>
      <w:r>
        <w:rPr>
          <w:sz w:val="20"/>
          <w:szCs w:val="20"/>
          <w:color w:val="auto"/>
        </w:rPr>
        <w:br w:type="column"/>
      </w:r>
    </w:p>
    <w:p>
      <w:pPr>
        <w:ind w:right="940"/>
        <w:spacing w:after="0"/>
        <w:rPr>
          <w:sz w:val="20"/>
          <w:szCs w:val="20"/>
          <w:color w:val="auto"/>
        </w:rPr>
      </w:pPr>
      <w:r>
        <w:rPr>
          <w:rFonts w:ascii="Arial" w:cs="Arial" w:eastAsia="Arial" w:hAnsi="Arial"/>
          <w:sz w:val="18"/>
          <w:szCs w:val="18"/>
          <w:u w:val="single" w:color="auto"/>
          <w:color w:val="1C2790"/>
        </w:rPr>
        <w:t>Incremental Facility Amendment to the 2019 Credit Agreement, dated as of December 17, 2020, among Sotera Health Company, Sotera Health Holdings, LLC, the Incremental Amendment Revolving Lends party thereto, Jefferies Finance LLC, as First Lien Administrative Agent, each Issuing Bank and the Other Loan Parties</w:t>
      </w:r>
    </w:p>
    <w:p>
      <w:pPr>
        <w:spacing w:after="0" w:line="134" w:lineRule="exact"/>
        <w:rPr>
          <w:sz w:val="20"/>
          <w:szCs w:val="20"/>
          <w:color w:val="auto"/>
        </w:rPr>
      </w:pPr>
    </w:p>
    <w:p>
      <w:pPr>
        <w:ind w:right="920"/>
        <w:spacing w:after="0" w:line="227" w:lineRule="auto"/>
        <w:rPr>
          <w:sz w:val="20"/>
          <w:szCs w:val="20"/>
          <w:color w:val="auto"/>
        </w:rPr>
      </w:pPr>
      <w:r>
        <w:rPr>
          <w:rFonts w:ascii="Arial" w:cs="Arial" w:eastAsia="Arial" w:hAnsi="Arial"/>
          <w:sz w:val="19"/>
          <w:szCs w:val="19"/>
          <w:u w:val="single" w:color="auto"/>
          <w:color w:val="1C2790"/>
        </w:rPr>
        <w:t>Refinancing Amendment to the First Lien 2019 Credit Agreement, dated as of January 20, 2021, among Sotera Health Company, Sotera Health Holdings, LLC, the Refinancing Lenders Party thereto, the Revolving Lenders party to the First Lien Credit Agreement and Jefferies Finance LLC, as First Lien Administrative Agent and First Lien Collateral Agent</w:t>
      </w:r>
    </w:p>
    <w:p>
      <w:pPr>
        <w:spacing w:after="0" w:line="135" w:lineRule="exact"/>
        <w:rPr>
          <w:sz w:val="20"/>
          <w:szCs w:val="20"/>
          <w:color w:val="auto"/>
        </w:rPr>
      </w:pPr>
    </w:p>
    <w:p>
      <w:pPr>
        <w:ind w:right="1020"/>
        <w:spacing w:after="0" w:line="239" w:lineRule="auto"/>
        <w:rPr>
          <w:sz w:val="20"/>
          <w:szCs w:val="20"/>
          <w:color w:val="auto"/>
        </w:rPr>
      </w:pPr>
      <w:r>
        <w:rPr>
          <w:rFonts w:ascii="Arial" w:cs="Arial" w:eastAsia="Arial" w:hAnsi="Arial"/>
          <w:sz w:val="18"/>
          <w:szCs w:val="18"/>
          <w:u w:val="single" w:color="auto"/>
          <w:color w:val="1C2790"/>
        </w:rPr>
        <w:t>Revolving Facilities Amendment to the 2019 Credit Agreement, dated as of March 26, 2021, among Sotera Health Company, Sotera Health Holdings, LLC, the Refinancing Lenders Party thereto, the Revolving Lenders party to the First Lien Credit Agreement and Jefferies Finance LLC, as First Lien Administrative Agent and First Lien Collateral Agent</w:t>
      </w:r>
    </w:p>
    <w:p>
      <w:pPr>
        <w:spacing w:after="0" w:line="145" w:lineRule="exact"/>
        <w:rPr>
          <w:sz w:val="20"/>
          <w:szCs w:val="20"/>
          <w:color w:val="auto"/>
        </w:rPr>
      </w:pPr>
    </w:p>
    <w:p>
      <w:pPr>
        <w:ind w:right="960"/>
        <w:spacing w:after="0" w:line="217" w:lineRule="auto"/>
        <w:rPr>
          <w:sz w:val="20"/>
          <w:szCs w:val="20"/>
          <w:color w:val="auto"/>
        </w:rPr>
      </w:pPr>
      <w:r>
        <w:rPr>
          <w:rFonts w:ascii="Arial" w:cs="Arial" w:eastAsia="Arial" w:hAnsi="Arial"/>
          <w:sz w:val="20"/>
          <w:szCs w:val="20"/>
          <w:u w:val="single" w:color="auto"/>
          <w:color w:val="1C2790"/>
        </w:rPr>
        <w:t>Amendment to First Lien 2019 Credit Agreement, dated as of December 23, 2021 by and among Sotera Health Company, Sotera Health Holdings, LLC, and JPMorgan Chase Bank, N.A. as First Lien Administrative Agent and First Lien Collateral Agent</w:t>
      </w:r>
    </w:p>
    <w:p>
      <w:pPr>
        <w:spacing w:after="0" w:line="144" w:lineRule="exact"/>
        <w:rPr>
          <w:sz w:val="20"/>
          <w:szCs w:val="20"/>
          <w:color w:val="auto"/>
        </w:rPr>
      </w:pPr>
    </w:p>
    <w:p>
      <w:pPr>
        <w:ind w:right="960"/>
        <w:spacing w:after="0" w:line="219" w:lineRule="auto"/>
        <w:rPr>
          <w:sz w:val="20"/>
          <w:szCs w:val="20"/>
          <w:color w:val="auto"/>
        </w:rPr>
      </w:pPr>
      <w:r>
        <w:rPr>
          <w:rFonts w:ascii="Arial" w:cs="Arial" w:eastAsia="Arial" w:hAnsi="Arial"/>
          <w:sz w:val="20"/>
          <w:szCs w:val="20"/>
          <w:u w:val="single" w:color="auto"/>
          <w:color w:val="1C2790"/>
        </w:rPr>
        <w:t>Amendment to First Lien 2019 Credit Agreement, dated as of March 24, 2022, by and among Sotera Health Company, Sotera Health Holdings, LLC, and JPMorgan Chase Bank, N.A. as First Lien Administrative Agent</w:t>
      </w:r>
    </w:p>
    <w:p>
      <w:pPr>
        <w:spacing w:after="0" w:line="136" w:lineRule="exact"/>
        <w:rPr>
          <w:sz w:val="20"/>
          <w:szCs w:val="20"/>
          <w:color w:val="auto"/>
        </w:rPr>
      </w:pPr>
    </w:p>
    <w:p>
      <w:pPr>
        <w:ind w:right="980"/>
        <w:spacing w:after="0" w:line="239" w:lineRule="auto"/>
        <w:rPr>
          <w:sz w:val="20"/>
          <w:szCs w:val="20"/>
          <w:color w:val="auto"/>
        </w:rPr>
      </w:pPr>
      <w:r>
        <w:rPr>
          <w:rFonts w:ascii="Arial" w:cs="Arial" w:eastAsia="Arial" w:hAnsi="Arial"/>
          <w:sz w:val="18"/>
          <w:szCs w:val="18"/>
          <w:u w:val="single" w:color="auto"/>
          <w:color w:val="1C2790"/>
        </w:rPr>
        <w:t>Incremental Facility Amendment No. 2, dated as of March 21, 2023, to the First Lien Credit Agreement dated as of December 13, 2019 by and among Sotera Health Company, Sotera Health Holdings, LLC, certain subsidiaries of Sotera Health Company, JPMorgan Chase Bank, N.A., as First Lien Administrative Agent and the lenders and issuing banks party thereto</w:t>
      </w:r>
    </w:p>
    <w:p>
      <w:pPr>
        <w:spacing w:after="0" w:line="135" w:lineRule="exact"/>
        <w:rPr>
          <w:sz w:val="20"/>
          <w:szCs w:val="20"/>
          <w:color w:val="auto"/>
        </w:rPr>
      </w:pPr>
    </w:p>
    <w:p>
      <w:pPr>
        <w:ind w:right="960"/>
        <w:spacing w:after="0"/>
        <w:rPr>
          <w:sz w:val="20"/>
          <w:szCs w:val="20"/>
          <w:color w:val="auto"/>
        </w:rPr>
      </w:pPr>
      <w:r>
        <w:rPr>
          <w:rFonts w:ascii="Arial" w:cs="Arial" w:eastAsia="Arial" w:hAnsi="Arial"/>
          <w:sz w:val="18"/>
          <w:szCs w:val="18"/>
          <w:u w:val="single" w:color="auto"/>
          <w:color w:val="1C2790"/>
        </w:rPr>
        <w:t>Amendment, dated as of June 22, 2023, to the First Lien Credit Agreement dated as of December 13, 2019 by and among Sotera Health Company, Sotera Health Holdings, LLC, certain subsidiaries of Sotera Health Company, JPMorgan Chase Bank, N.A., as First Lien Administrative Agent and the lenders and issuing banks party thereto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720" w:val="left"/>
          <w:tab w:leader="none" w:pos="1900" w:val="left"/>
          <w:tab w:leader="none" w:pos="264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10.27</w:t>
      </w:r>
      <w:r>
        <w:rPr>
          <w:sz w:val="20"/>
          <w:szCs w:val="20"/>
          <w:color w:val="auto"/>
        </w:rPr>
        <w:tab/>
      </w:r>
      <w:r>
        <w:rPr>
          <w:rFonts w:ascii="Arial" w:cs="Arial" w:eastAsia="Arial" w:hAnsi="Arial"/>
          <w:sz w:val="18"/>
          <w:szCs w:val="18"/>
          <w:color w:val="auto"/>
        </w:rPr>
        <w:t>2021-03-09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720" w:val="left"/>
          <w:tab w:leader="none" w:pos="1900" w:val="left"/>
          <w:tab w:leader="none" w:pos="264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10.28</w:t>
      </w:r>
      <w:r>
        <w:rPr>
          <w:sz w:val="20"/>
          <w:szCs w:val="20"/>
          <w:color w:val="auto"/>
        </w:rPr>
        <w:tab/>
      </w:r>
      <w:r>
        <w:rPr>
          <w:rFonts w:ascii="Arial" w:cs="Arial" w:eastAsia="Arial" w:hAnsi="Arial"/>
          <w:sz w:val="18"/>
          <w:szCs w:val="18"/>
          <w:color w:val="auto"/>
        </w:rPr>
        <w:t>2021-03-09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720" w:val="left"/>
          <w:tab w:leader="none" w:pos="1960" w:val="left"/>
          <w:tab w:leader="none" w:pos="264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2021-05-13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720" w:val="left"/>
          <w:tab w:leader="none" w:pos="1900" w:val="left"/>
          <w:tab w:leader="none" w:pos="264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10.31</w:t>
      </w:r>
      <w:r>
        <w:rPr>
          <w:sz w:val="20"/>
          <w:szCs w:val="20"/>
          <w:color w:val="auto"/>
        </w:rPr>
        <w:tab/>
      </w:r>
      <w:r>
        <w:rPr>
          <w:rFonts w:ascii="Arial" w:cs="Arial" w:eastAsia="Arial" w:hAnsi="Arial"/>
          <w:sz w:val="18"/>
          <w:szCs w:val="18"/>
          <w:color w:val="auto"/>
        </w:rPr>
        <w:t>2022-03-01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720" w:val="left"/>
          <w:tab w:leader="none" w:pos="1900" w:val="left"/>
          <w:tab w:leader="none" w:pos="264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10.37</w:t>
      </w:r>
      <w:r>
        <w:rPr>
          <w:sz w:val="20"/>
          <w:szCs w:val="20"/>
          <w:color w:val="auto"/>
        </w:rPr>
        <w:tab/>
      </w:r>
      <w:r>
        <w:rPr>
          <w:rFonts w:ascii="Arial" w:cs="Arial" w:eastAsia="Arial" w:hAnsi="Arial"/>
          <w:sz w:val="18"/>
          <w:szCs w:val="18"/>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tabs>
          <w:tab w:leader="none" w:pos="720" w:val="left"/>
          <w:tab w:leader="none" w:pos="1960" w:val="left"/>
          <w:tab w:leader="none" w:pos="2640" w:val="left"/>
        </w:tabs>
        <w:rPr>
          <w:sz w:val="20"/>
          <w:szCs w:val="20"/>
          <w:color w:val="auto"/>
        </w:rPr>
      </w:pPr>
      <w:r>
        <w:rPr>
          <w:rFonts w:ascii="Arial" w:cs="Arial" w:eastAsia="Arial" w:hAnsi="Arial"/>
          <w:sz w:val="20"/>
          <w:szCs w:val="20"/>
          <w:color w:val="auto"/>
        </w:rPr>
        <w:t>8-K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2023-03-22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tabs>
          <w:tab w:leader="none" w:pos="720" w:val="left"/>
          <w:tab w:leader="none" w:pos="1960" w:val="left"/>
          <w:tab w:leader="none" w:pos="2640" w:val="left"/>
        </w:tabs>
        <w:rPr>
          <w:sz w:val="20"/>
          <w:szCs w:val="20"/>
          <w:color w:val="auto"/>
        </w:rPr>
      </w:pPr>
      <w:r>
        <w:rPr>
          <w:rFonts w:ascii="Arial" w:cs="Arial" w:eastAsia="Arial" w:hAnsi="Arial"/>
          <w:sz w:val="20"/>
          <w:szCs w:val="20"/>
          <w:color w:val="auto"/>
        </w:rPr>
        <w:t>8-K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2023-06-22</w:t>
      </w:r>
    </w:p>
    <w:p>
      <w:pPr>
        <w:spacing w:after="0" w:line="925" w:lineRule="exact"/>
        <w:rPr>
          <w:sz w:val="20"/>
          <w:szCs w:val="20"/>
          <w:color w:val="auto"/>
        </w:rPr>
      </w:pPr>
    </w:p>
    <w:p>
      <w:pPr>
        <w:sectPr>
          <w:pgSz w:w="11880" w:h="15480" w:orient="portrait"/>
          <w:cols w:equalWidth="0" w:num="3">
            <w:col w:w="600" w:space="720"/>
            <w:col w:w="4440" w:space="720"/>
            <w:col w:w="3740"/>
          </w:cols>
          <w:pgMar w:left="860" w:top="458"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119</w:t>
      </w:r>
    </w:p>
    <w:p>
      <w:pPr>
        <w:sectPr>
          <w:pgSz w:w="11880" w:h="15480" w:orient="portrait"/>
          <w:cols w:equalWidth="0" w:num="1">
            <w:col w:w="10220"/>
          </w:cols>
          <w:pgMar w:left="860" w:top="458" w:right="800" w:bottom="0" w:gutter="0" w:footer="0" w:header="0"/>
          <w:type w:val="continuous"/>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514350</wp:posOffset>
            </wp:positionH>
            <wp:positionV relativeFrom="page">
              <wp:posOffset>476250</wp:posOffset>
            </wp:positionV>
            <wp:extent cx="762000"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8">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38735</wp:posOffset>
            </wp:positionV>
            <wp:extent cx="762000"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9">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10.37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10.38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10.40+</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10.41+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10.42+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10.43+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10.44+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10.45+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-403860</wp:posOffset>
            </wp:positionV>
            <wp:extent cx="231457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0">
                      <a:extLst>
                        <a:ext uri="{28A0092B-C50C-407E-A947-70E740481C1C}"/>
                      </a:extLst>
                    </a:blip>
                    <a:srcRect/>
                    <a:stretch>
                      <a:fillRect/>
                    </a:stretch>
                  </pic:blipFill>
                  <pic:spPr bwMode="auto">
                    <a:xfrm>
                      <a:off x="0" y="0"/>
                      <a:ext cx="2314575" cy="127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24130</wp:posOffset>
            </wp:positionV>
            <wp:extent cx="231457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1">
                      <a:extLst>
                        <a:ext uri="{28A0092B-C50C-407E-A947-70E740481C1C}"/>
                      </a:extLst>
                    </a:blip>
                    <a:srcRect/>
                    <a:stretch>
                      <a:fillRect/>
                    </a:stretch>
                  </pic:blipFill>
                  <pic:spPr bwMode="auto">
                    <a:xfrm>
                      <a:off x="0" y="0"/>
                      <a:ext cx="2314575" cy="12700"/>
                    </a:xfrm>
                    <a:prstGeom prst="rect">
                      <a:avLst/>
                    </a:prstGeom>
                    <a:noFill/>
                  </pic:spPr>
                </pic:pic>
              </a:graphicData>
            </a:graphic>
          </wp:anchor>
        </w:drawing>
      </w:r>
    </w:p>
    <w:p>
      <w:pPr>
        <w:spacing w:after="0" w:line="28" w:lineRule="exact"/>
        <w:rPr>
          <w:sz w:val="20"/>
          <w:szCs w:val="20"/>
          <w:color w:val="auto"/>
        </w:rPr>
      </w:pPr>
    </w:p>
    <w:p>
      <w:pPr>
        <w:ind w:right="180"/>
        <w:spacing w:after="0" w:line="229" w:lineRule="auto"/>
        <w:rPr>
          <w:sz w:val="20"/>
          <w:szCs w:val="20"/>
          <w:color w:val="auto"/>
        </w:rPr>
      </w:pPr>
      <w:r>
        <w:rPr>
          <w:rFonts w:ascii="Arial" w:cs="Arial" w:eastAsia="Arial" w:hAnsi="Arial"/>
          <w:sz w:val="19"/>
          <w:szCs w:val="19"/>
          <w:u w:val="single" w:color="auto"/>
          <w:color w:val="1C2790"/>
        </w:rPr>
        <w:t>Amendment No. 3 to the First Lien Credit Agreement, dated March 1, 2024, by and among Sotera Health Company, Sotera Health Holdings, LLC, the Refinancing Revolving Lenders, and JPMorgan Chase Bank, N.A., as First Lien Administrative Agent</w:t>
      </w:r>
    </w:p>
    <w:p>
      <w:pPr>
        <w:spacing w:after="0" w:line="131" w:lineRule="exact"/>
        <w:rPr>
          <w:sz w:val="20"/>
          <w:szCs w:val="20"/>
          <w:color w:val="auto"/>
        </w:rPr>
      </w:pPr>
    </w:p>
    <w:p>
      <w:pPr>
        <w:ind w:right="420"/>
        <w:spacing w:after="0" w:line="242" w:lineRule="auto"/>
        <w:rPr>
          <w:sz w:val="20"/>
          <w:szCs w:val="20"/>
          <w:color w:val="auto"/>
        </w:rPr>
      </w:pPr>
      <w:r>
        <w:rPr>
          <w:rFonts w:ascii="Arial" w:cs="Arial" w:eastAsia="Arial" w:hAnsi="Arial"/>
          <w:sz w:val="18"/>
          <w:szCs w:val="18"/>
          <w:u w:val="single" w:color="auto"/>
          <w:color w:val="1C2790"/>
        </w:rPr>
        <w:t>Amendment No. 4 to First Lien Credit Agreement, dated as of May 30, 2024, among Sotera Health Company, Sotera Health Holdings, LLC, each Term and Revolving Lender party and JPMorgan Chase Bank, N.A., as First Lien Administrative Agent</w:t>
      </w:r>
    </w:p>
    <w:p>
      <w:pPr>
        <w:spacing w:after="0" w:line="119" w:lineRule="exact"/>
        <w:rPr>
          <w:sz w:val="20"/>
          <w:szCs w:val="20"/>
          <w:color w:val="auto"/>
        </w:rPr>
      </w:pPr>
    </w:p>
    <w:p>
      <w:pPr>
        <w:ind w:right="80"/>
        <w:spacing w:after="0" w:line="228" w:lineRule="auto"/>
        <w:rPr>
          <w:sz w:val="20"/>
          <w:szCs w:val="20"/>
          <w:color w:val="auto"/>
        </w:rPr>
      </w:pPr>
      <w:r>
        <w:rPr>
          <w:rFonts w:ascii="Arial" w:cs="Arial" w:eastAsia="Arial" w:hAnsi="Arial"/>
          <w:sz w:val="19"/>
          <w:szCs w:val="19"/>
          <w:u w:val="single" w:color="auto"/>
          <w:color w:val="1C2790"/>
        </w:rPr>
        <w:t>Amendment No. 5 to the First Lien Credit Agreement, dated as of April 30, 2025, by and among Sotera Health Company, Sotera Health Holdings, LLC, certain subsidiaries of Sotera Health Company, JPMorgan Chase Bank, N.A., as First Lien Administrative Agent and the lenders and issuing banks party thereto</w:t>
      </w:r>
    </w:p>
    <w:p>
      <w:pPr>
        <w:spacing w:after="0" w:line="12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u w:val="single" w:color="auto"/>
          <w:color w:val="1C2790"/>
        </w:rPr>
        <w:t>Amendment No. 6, dated as of September 17, 2025, to the First Lien Credit Agreement dated as of December 13, 2019 by and among Sotera Health Company, Sotera Health Holdings, LLC, certain subsidiaries of Sotera Health Company, JPMorgan Chase Bank, N.A., as First Lien Administrative Agent, and the 2025 Refinancing Term Lenders party thereto</w:t>
      </w:r>
    </w:p>
    <w:p>
      <w:pPr>
        <w:spacing w:after="0" w:line="131" w:lineRule="exact"/>
        <w:rPr>
          <w:sz w:val="20"/>
          <w:szCs w:val="20"/>
          <w:color w:val="auto"/>
        </w:rPr>
      </w:pPr>
    </w:p>
    <w:p>
      <w:pPr>
        <w:ind w:right="240"/>
        <w:spacing w:after="0" w:line="224" w:lineRule="auto"/>
        <w:rPr>
          <w:sz w:val="20"/>
          <w:szCs w:val="20"/>
          <w:color w:val="auto"/>
        </w:rPr>
      </w:pPr>
      <w:r>
        <w:rPr>
          <w:rFonts w:ascii="Arial" w:cs="Arial" w:eastAsia="Arial" w:hAnsi="Arial"/>
          <w:sz w:val="20"/>
          <w:szCs w:val="20"/>
          <w:u w:val="single" w:color="auto"/>
          <w:color w:val="1C2790"/>
        </w:rPr>
        <w:t>Form of Sotera Health Company 2020 Omnibus Incentive Plan Restricted Stock Unit Grant Notice (As Amended) and Agreement</w:t>
      </w:r>
    </w:p>
    <w:p>
      <w:pPr>
        <w:spacing w:after="0" w:line="146" w:lineRule="exact"/>
        <w:rPr>
          <w:sz w:val="20"/>
          <w:szCs w:val="20"/>
          <w:color w:val="auto"/>
        </w:rPr>
      </w:pPr>
    </w:p>
    <w:p>
      <w:pPr>
        <w:ind w:right="460"/>
        <w:spacing w:after="0" w:line="224" w:lineRule="auto"/>
        <w:rPr>
          <w:sz w:val="20"/>
          <w:szCs w:val="20"/>
          <w:color w:val="auto"/>
        </w:rPr>
      </w:pPr>
      <w:r>
        <w:rPr>
          <w:rFonts w:ascii="Arial" w:cs="Arial" w:eastAsia="Arial" w:hAnsi="Arial"/>
          <w:sz w:val="20"/>
          <w:szCs w:val="20"/>
          <w:u w:val="single" w:color="auto"/>
          <w:color w:val="1C2790"/>
        </w:rPr>
        <w:t>Form of Sotera Health Company 2020 Omnibus Incentive Plan Stock Option Grant Notice (As Amended) and Agreement</w:t>
      </w:r>
    </w:p>
    <w:p>
      <w:pPr>
        <w:spacing w:after="0" w:line="146" w:lineRule="exact"/>
        <w:rPr>
          <w:sz w:val="20"/>
          <w:szCs w:val="20"/>
          <w:color w:val="auto"/>
        </w:rPr>
      </w:pPr>
    </w:p>
    <w:p>
      <w:pPr>
        <w:spacing w:after="0" w:line="236" w:lineRule="auto"/>
        <w:rPr>
          <w:sz w:val="20"/>
          <w:szCs w:val="20"/>
          <w:color w:val="auto"/>
        </w:rPr>
      </w:pPr>
      <w:r>
        <w:rPr>
          <w:rFonts w:ascii="Arial" w:cs="Arial" w:eastAsia="Arial" w:hAnsi="Arial"/>
          <w:sz w:val="19"/>
          <w:szCs w:val="19"/>
          <w:u w:val="single" w:color="auto"/>
          <w:color w:val="1C2790"/>
        </w:rPr>
        <w:t>Form of Restricted Stock Unit Grant Notice and Agreement (under 2020 Omnibus Incentive Plan) (for Chief Executive Officer grants starting in 2025)</w:t>
      </w:r>
    </w:p>
    <w:p>
      <w:pPr>
        <w:spacing w:after="0" w:line="14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u w:val="single" w:color="auto"/>
          <w:color w:val="1C2790"/>
        </w:rPr>
        <w:t>Form of Restricted Stock Unit Grant Notice, Agreement and Performance Memo (under 2020 Omnibus Incentive Plan) (for other executive grants starting in 2025)</w:t>
      </w:r>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1C2790"/>
        </w:rPr>
        <w:t>Form of Restricted Stock Unit Grant Notice and Agreement (under 2020 Omnibus Incentive Plan) (retention awards)</w:t>
      </w:r>
    </w:p>
    <w:p>
      <w:pPr>
        <w:spacing w:after="0" w:line="110" w:lineRule="exact"/>
        <w:rPr>
          <w:sz w:val="20"/>
          <w:szCs w:val="20"/>
          <w:color w:val="auto"/>
        </w:rPr>
      </w:pPr>
    </w:p>
    <w:p>
      <w:pPr>
        <w:ind w:right="40"/>
        <w:spacing w:after="0" w:line="233" w:lineRule="auto"/>
        <w:rPr>
          <w:sz w:val="20"/>
          <w:szCs w:val="20"/>
          <w:color w:val="auto"/>
        </w:rPr>
      </w:pPr>
      <w:r>
        <w:rPr>
          <w:rFonts w:ascii="Arial" w:cs="Arial" w:eastAsia="Arial" w:hAnsi="Arial"/>
          <w:sz w:val="19"/>
          <w:szCs w:val="19"/>
          <w:u w:val="single" w:color="auto"/>
          <w:color w:val="1C2790"/>
        </w:rPr>
        <w:t>Form of Performance Share Unit Grant Notice, Agreement and Performance Memo (under 2020 Omnibus Incentive Plan) (for Chief Executive Officer share appreciation unit grants starting in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20" w:type="dxa"/>
            <w:vAlign w:val="bottom"/>
            <w:gridSpan w:val="3"/>
          </w:tcPr>
          <w:p>
            <w:pPr>
              <w:ind w:left="10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line="192"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0"/>
              </w:rPr>
              <w:t>Furnished</w:t>
            </w:r>
          </w:p>
        </w:tc>
        <w:tc>
          <w:tcPr>
            <w:tcW w:w="14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5"/>
              </w:rPr>
              <w:t>Form</w:t>
            </w:r>
          </w:p>
        </w:tc>
        <w:tc>
          <w:tcPr>
            <w:tcW w:w="12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1"/>
              </w:rPr>
              <w:t>File No.</w:t>
            </w:r>
          </w:p>
        </w:tc>
        <w:tc>
          <w:tcPr>
            <w:tcW w:w="8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2"/>
              </w:rPr>
              <w:t>Exhibit</w:t>
            </w:r>
          </w:p>
        </w:tc>
        <w:tc>
          <w:tcPr>
            <w:tcW w:w="118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Filing Date</w:t>
            </w:r>
          </w:p>
        </w:tc>
        <w:tc>
          <w:tcPr>
            <w:tcW w:w="0" w:type="dxa"/>
            <w:vAlign w:val="bottom"/>
          </w:tcPr>
          <w:p>
            <w:pPr>
              <w:spacing w:after="0"/>
              <w:rPr>
                <w:sz w:val="1"/>
                <w:szCs w:val="1"/>
                <w:color w:val="auto"/>
              </w:rPr>
            </w:pPr>
          </w:p>
        </w:tc>
      </w:tr>
      <w:tr>
        <w:trPr>
          <w:trHeight w:val="26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Herewith</w:t>
            </w:r>
          </w:p>
        </w:tc>
        <w:tc>
          <w:tcPr>
            <w:tcW w:w="140" w:type="dxa"/>
            <w:vAlign w:val="bottom"/>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5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20"/>
                <w:szCs w:val="20"/>
                <w:color w:val="auto"/>
              </w:rPr>
              <w:t>8-K</w:t>
            </w: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001-39729</w:t>
            </w: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10.1</w:t>
            </w:r>
          </w:p>
        </w:tc>
        <w:tc>
          <w:tcPr>
            <w:tcW w:w="1180" w:type="dxa"/>
            <w:vAlign w:val="bottom"/>
          </w:tcPr>
          <w:p>
            <w:pPr>
              <w:ind w:left="100"/>
              <w:spacing w:after="0"/>
              <w:rPr>
                <w:sz w:val="20"/>
                <w:szCs w:val="20"/>
                <w:color w:val="auto"/>
              </w:rPr>
            </w:pPr>
            <w:r>
              <w:rPr>
                <w:rFonts w:ascii="Arial" w:cs="Arial" w:eastAsia="Arial" w:hAnsi="Arial"/>
                <w:sz w:val="20"/>
                <w:szCs w:val="20"/>
                <w:color w:val="auto"/>
              </w:rPr>
              <w:t>2024-03-04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140"/>
        <w:spacing w:after="0"/>
        <w:tabs>
          <w:tab w:leader="none" w:pos="2980" w:val="left"/>
          <w:tab w:leader="none" w:pos="1740" w:val="left"/>
          <w:tab w:leader="none" w:pos="106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2024-08-05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140"/>
        <w:spacing w:after="0"/>
        <w:tabs>
          <w:tab w:leader="none" w:pos="2980" w:val="left"/>
          <w:tab w:leader="none" w:pos="1740" w:val="left"/>
          <w:tab w:leader="none" w:pos="106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2025-05-01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140"/>
        <w:spacing w:after="0"/>
        <w:tabs>
          <w:tab w:leader="none" w:pos="2980" w:val="left"/>
          <w:tab w:leader="none" w:pos="1740" w:val="left"/>
          <w:tab w:leader="none" w:pos="1060" w:val="left"/>
        </w:tabs>
        <w:rPr>
          <w:sz w:val="20"/>
          <w:szCs w:val="20"/>
          <w:color w:val="auto"/>
        </w:rPr>
      </w:pPr>
      <w:r>
        <w:rPr>
          <w:rFonts w:ascii="Arial" w:cs="Arial" w:eastAsia="Arial" w:hAnsi="Arial"/>
          <w:sz w:val="20"/>
          <w:szCs w:val="20"/>
          <w:color w:val="auto"/>
        </w:rPr>
        <w:t>8-K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2025-09-18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40"/>
        <w:spacing w:after="0"/>
        <w:tabs>
          <w:tab w:leader="none" w:pos="2980" w:val="left"/>
          <w:tab w:leader="none" w:pos="1800" w:val="left"/>
          <w:tab w:leader="none" w:pos="106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10.48</w:t>
      </w:r>
      <w:r>
        <w:rPr>
          <w:sz w:val="20"/>
          <w:szCs w:val="20"/>
          <w:color w:val="auto"/>
        </w:rPr>
        <w:tab/>
      </w:r>
      <w:r>
        <w:rPr>
          <w:rFonts w:ascii="Arial" w:cs="Arial" w:eastAsia="Arial" w:hAnsi="Arial"/>
          <w:sz w:val="18"/>
          <w:szCs w:val="18"/>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140"/>
        <w:spacing w:after="0"/>
        <w:tabs>
          <w:tab w:leader="none" w:pos="2980" w:val="left"/>
          <w:tab w:leader="none" w:pos="1800" w:val="left"/>
          <w:tab w:leader="none" w:pos="106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10.49</w:t>
      </w:r>
      <w:r>
        <w:rPr>
          <w:sz w:val="20"/>
          <w:szCs w:val="20"/>
          <w:color w:val="auto"/>
        </w:rPr>
        <w:tab/>
      </w:r>
      <w:r>
        <w:rPr>
          <w:rFonts w:ascii="Arial" w:cs="Arial" w:eastAsia="Arial" w:hAnsi="Arial"/>
          <w:sz w:val="18"/>
          <w:szCs w:val="18"/>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630" w:lineRule="exact"/>
        <w:rPr>
          <w:sz w:val="20"/>
          <w:szCs w:val="20"/>
          <w:color w:val="auto"/>
        </w:rPr>
      </w:pPr>
    </w:p>
    <w:p>
      <w:pPr>
        <w:sectPr>
          <w:pgSz w:w="11880" w:h="15480" w:orient="portrait"/>
          <w:cols w:equalWidth="0" w:num="3">
            <w:col w:w="1020" w:space="300"/>
            <w:col w:w="3540" w:space="200"/>
            <w:col w:w="5160"/>
          </w:cols>
          <w:pgMar w:left="860" w:top="458" w:right="80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120</w:t>
      </w:r>
    </w:p>
    <w:p>
      <w:pPr>
        <w:sectPr>
          <w:pgSz w:w="11880" w:h="15480" w:orient="portrait"/>
          <w:cols w:equalWidth="0" w:num="1">
            <w:col w:w="10220"/>
          </w:cols>
          <w:pgMar w:left="860" w:top="458" w:right="800" w:bottom="0" w:gutter="0" w:footer="0" w:header="0"/>
          <w:type w:val="continuous"/>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514350</wp:posOffset>
            </wp:positionH>
            <wp:positionV relativeFrom="page">
              <wp:posOffset>476250</wp:posOffset>
            </wp:positionV>
            <wp:extent cx="762000"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2">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38735</wp:posOffset>
            </wp:positionV>
            <wp:extent cx="762000"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3">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10.46+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10.47+</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10.48+</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19.1</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21.1</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23.1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32.1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-403860</wp:posOffset>
            </wp:positionV>
            <wp:extent cx="231457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4">
                      <a:extLst>
                        <a:ext uri="{28A0092B-C50C-407E-A947-70E740481C1C}"/>
                      </a:extLst>
                    </a:blip>
                    <a:srcRect/>
                    <a:stretch>
                      <a:fillRect/>
                    </a:stretch>
                  </pic:blipFill>
                  <pic:spPr bwMode="auto">
                    <a:xfrm>
                      <a:off x="0" y="0"/>
                      <a:ext cx="2314575" cy="127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24130</wp:posOffset>
            </wp:positionV>
            <wp:extent cx="231457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5">
                      <a:extLst>
                        <a:ext uri="{28A0092B-C50C-407E-A947-70E740481C1C}"/>
                      </a:extLst>
                    </a:blip>
                    <a:srcRect/>
                    <a:stretch>
                      <a:fillRect/>
                    </a:stretch>
                  </pic:blipFill>
                  <pic:spPr bwMode="auto">
                    <a:xfrm>
                      <a:off x="0" y="0"/>
                      <a:ext cx="2314575" cy="12700"/>
                    </a:xfrm>
                    <a:prstGeom prst="rect">
                      <a:avLst/>
                    </a:prstGeom>
                    <a:noFill/>
                  </pic:spPr>
                </pic:pic>
              </a:graphicData>
            </a:graphic>
          </wp:anchor>
        </w:drawing>
      </w:r>
    </w:p>
    <w:p>
      <w:pPr>
        <w:spacing w:after="0" w:line="118"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1C2790"/>
        </w:rPr>
        <w:t>Form of Performance Share Unit Grant Notice, Agreement and Performance Memo (under 2020 Omnibus Incentive Plan) (other executive grants starting 2025)</w:t>
      </w:r>
    </w:p>
    <w:p>
      <w:pPr>
        <w:spacing w:after="0" w:line="216" w:lineRule="exact"/>
        <w:rPr>
          <w:sz w:val="20"/>
          <w:szCs w:val="20"/>
          <w:color w:val="auto"/>
        </w:rPr>
      </w:pPr>
    </w:p>
    <w:p>
      <w:pPr>
        <w:spacing w:after="0" w:line="247" w:lineRule="auto"/>
        <w:rPr>
          <w:sz w:val="20"/>
          <w:szCs w:val="20"/>
          <w:color w:val="auto"/>
        </w:rPr>
      </w:pPr>
      <w:r>
        <w:rPr>
          <w:rFonts w:ascii="Arial" w:cs="Arial" w:eastAsia="Arial" w:hAnsi="Arial"/>
          <w:sz w:val="18"/>
          <w:szCs w:val="18"/>
          <w:u w:val="single" w:color="auto"/>
          <w:color w:val="1C2790"/>
        </w:rPr>
        <w:t>Form of Performance Share Unit Grant Notice, Agreement and Performance Memo (under 2020 Omnibus Incentive Plan) (for Chief Executive Officer performance share unit grants starting in 2025)</w:t>
      </w:r>
    </w:p>
    <w:p>
      <w:pPr>
        <w:spacing w:after="0" w:line="140"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u w:val="single" w:color="auto"/>
          <w:color w:val="1C2790"/>
        </w:rPr>
        <w:t>Cash Retention Bonus Agreement, dated as of March 3, 2025, by and between the Company and Jonathan M. Lyons</w:t>
      </w:r>
    </w:p>
    <w:p>
      <w:pPr>
        <w:spacing w:after="0" w:line="149" w:lineRule="exact"/>
        <w:rPr>
          <w:sz w:val="20"/>
          <w:szCs w:val="20"/>
          <w:color w:val="auto"/>
        </w:rPr>
      </w:pPr>
    </w:p>
    <w:p>
      <w:pPr>
        <w:ind w:right="340"/>
        <w:spacing w:after="0" w:line="241" w:lineRule="auto"/>
        <w:rPr>
          <w:sz w:val="20"/>
          <w:szCs w:val="20"/>
          <w:color w:val="auto"/>
        </w:rPr>
      </w:pPr>
      <w:r>
        <w:rPr>
          <w:rFonts w:ascii="Arial" w:cs="Arial" w:eastAsia="Arial" w:hAnsi="Arial"/>
          <w:sz w:val="20"/>
          <w:szCs w:val="20"/>
          <w:u w:val="single" w:color="auto"/>
          <w:color w:val="1C2790"/>
        </w:rPr>
        <w:t>Insider Trading Policy of Sotera Health Company</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List of Subsidiaries</w:t>
      </w:r>
    </w:p>
    <w:p>
      <w:pPr>
        <w:spacing w:after="0" w:line="170"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u w:val="single" w:color="auto"/>
          <w:color w:val="1C2790"/>
        </w:rPr>
        <w:t>Consent of Ernst &amp; Young LLP, Independent Registered Public Accounting Firm</w:t>
      </w:r>
    </w:p>
    <w:p>
      <w:pPr>
        <w:spacing w:after="0" w:line="129"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u w:val="single" w:color="auto"/>
          <w:color w:val="1C2790"/>
        </w:rPr>
        <w:t>Certification of Principal Executive Officer pursuant to Exchange Act Rules 13a-14(a) and 15d-14(a), as adopted pursuant to Section 302 of the Sarbanes-Oxley Act of 2002</w:t>
      </w:r>
    </w:p>
    <w:p>
      <w:pPr>
        <w:spacing w:after="0" w:line="126" w:lineRule="exact"/>
        <w:rPr>
          <w:sz w:val="20"/>
          <w:szCs w:val="20"/>
          <w:color w:val="auto"/>
        </w:rPr>
      </w:pPr>
    </w:p>
    <w:p>
      <w:pPr>
        <w:ind w:right="80"/>
        <w:spacing w:after="0" w:line="221" w:lineRule="auto"/>
        <w:rPr>
          <w:sz w:val="20"/>
          <w:szCs w:val="20"/>
          <w:color w:val="auto"/>
        </w:rPr>
      </w:pPr>
      <w:r>
        <w:rPr>
          <w:rFonts w:ascii="Arial" w:cs="Arial" w:eastAsia="Arial" w:hAnsi="Arial"/>
          <w:sz w:val="20"/>
          <w:szCs w:val="20"/>
          <w:u w:val="single" w:color="auto"/>
          <w:color w:val="1C2790"/>
        </w:rPr>
        <w:t>Certification of Principal Financial Officer pursuant to Exchange Act Rules 13a-14(a) and 15d-14(a), as adopted pursuant to Section 302 of the Sarbanes-Oxley Act of 2002</w:t>
      </w:r>
    </w:p>
    <w:p>
      <w:pPr>
        <w:spacing w:after="0" w:line="126"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u w:val="single" w:color="auto"/>
          <w:color w:val="1C2790"/>
        </w:rPr>
        <w:t>Certifications of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20" w:type="dxa"/>
            <w:vAlign w:val="bottom"/>
            <w:gridSpan w:val="2"/>
          </w:tcPr>
          <w:p>
            <w:pPr>
              <w:ind w:left="10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line="192"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0"/>
              </w:rPr>
              <w:t>Furnished</w:t>
            </w:r>
          </w:p>
        </w:tc>
        <w:tc>
          <w:tcPr>
            <w:tcW w:w="140" w:type="dxa"/>
            <w:vAlign w:val="bottom"/>
          </w:tcPr>
          <w:p>
            <w:pPr>
              <w:spacing w:after="0"/>
              <w:rPr>
                <w:sz w:val="17"/>
                <w:szCs w:val="17"/>
                <w:color w:val="auto"/>
              </w:rPr>
            </w:pPr>
          </w:p>
        </w:tc>
        <w:tc>
          <w:tcPr>
            <w:tcW w:w="700" w:type="dxa"/>
            <w:vAlign w:val="bottom"/>
            <w:vMerge w:val="restart"/>
          </w:tcPr>
          <w:p>
            <w:pPr>
              <w:ind w:left="140"/>
              <w:spacing w:after="0"/>
              <w:rPr>
                <w:sz w:val="20"/>
                <w:szCs w:val="20"/>
                <w:color w:val="auto"/>
              </w:rPr>
            </w:pPr>
            <w:r>
              <w:rPr>
                <w:rFonts w:ascii="Arial" w:cs="Arial" w:eastAsia="Arial" w:hAnsi="Arial"/>
                <w:sz w:val="20"/>
                <w:szCs w:val="20"/>
                <w:b w:val="1"/>
                <w:bCs w:val="1"/>
                <w:color w:val="auto"/>
              </w:rPr>
              <w:t>Form</w:t>
            </w:r>
          </w:p>
        </w:tc>
        <w:tc>
          <w:tcPr>
            <w:tcW w:w="1140" w:type="dxa"/>
            <w:vAlign w:val="bottom"/>
            <w:vMerge w:val="restart"/>
          </w:tcPr>
          <w:p>
            <w:pPr>
              <w:ind w:left="320"/>
              <w:spacing w:after="0"/>
              <w:rPr>
                <w:sz w:val="20"/>
                <w:szCs w:val="20"/>
                <w:color w:val="auto"/>
              </w:rPr>
            </w:pPr>
            <w:r>
              <w:rPr>
                <w:rFonts w:ascii="Arial" w:cs="Arial" w:eastAsia="Arial" w:hAnsi="Arial"/>
                <w:sz w:val="20"/>
                <w:szCs w:val="20"/>
                <w:b w:val="1"/>
                <w:bCs w:val="1"/>
                <w:color w:val="auto"/>
              </w:rPr>
              <w:t>File No.</w:t>
            </w:r>
          </w:p>
        </w:tc>
        <w:tc>
          <w:tcPr>
            <w:tcW w:w="208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Exhibit  Filing Date</w:t>
            </w:r>
          </w:p>
        </w:tc>
        <w:tc>
          <w:tcPr>
            <w:tcW w:w="0" w:type="dxa"/>
            <w:vAlign w:val="bottom"/>
          </w:tcPr>
          <w:p>
            <w:pPr>
              <w:spacing w:after="0"/>
              <w:rPr>
                <w:sz w:val="1"/>
                <w:szCs w:val="1"/>
                <w:color w:val="auto"/>
              </w:rPr>
            </w:pPr>
          </w:p>
        </w:tc>
      </w:tr>
      <w:tr>
        <w:trPr>
          <w:trHeight w:val="26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Herewith</w:t>
            </w:r>
          </w:p>
        </w:tc>
        <w:tc>
          <w:tcPr>
            <w:tcW w:w="140" w:type="dxa"/>
            <w:vAlign w:val="bottom"/>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82" w:lineRule="exact"/>
        <w:rPr>
          <w:sz w:val="20"/>
          <w:szCs w:val="20"/>
          <w:color w:val="auto"/>
        </w:rPr>
      </w:pPr>
    </w:p>
    <w:p>
      <w:pPr>
        <w:jc w:val="right"/>
        <w:ind w:right="140"/>
        <w:spacing w:after="0"/>
        <w:tabs>
          <w:tab w:leader="none" w:pos="2980" w:val="left"/>
          <w:tab w:leader="none" w:pos="1740" w:val="left"/>
          <w:tab w:leader="none" w:pos="106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19.1</w:t>
      </w:r>
      <w:r>
        <w:rPr>
          <w:sz w:val="20"/>
          <w:szCs w:val="20"/>
          <w:color w:val="auto"/>
        </w:rPr>
        <w:tab/>
      </w:r>
      <w:r>
        <w:rPr>
          <w:rFonts w:ascii="Arial" w:cs="Arial" w:eastAsia="Arial" w:hAnsi="Arial"/>
          <w:sz w:val="18"/>
          <w:szCs w:val="18"/>
          <w:color w:val="auto"/>
        </w:rPr>
        <w:t>2025-02-27</w:t>
      </w:r>
    </w:p>
    <w:p>
      <w:pPr>
        <w:spacing w:after="0" w:line="273"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w:t>
      </w:r>
    </w:p>
    <w:p>
      <w:pPr>
        <w:spacing w:after="0" w:line="593" w:lineRule="exact"/>
        <w:rPr>
          <w:sz w:val="20"/>
          <w:szCs w:val="20"/>
          <w:color w:val="auto"/>
        </w:rPr>
      </w:pPr>
    </w:p>
    <w:p>
      <w:pPr>
        <w:sectPr>
          <w:pgSz w:w="11880" w:h="15480" w:orient="portrait"/>
          <w:cols w:equalWidth="0" w:num="3">
            <w:col w:w="1020" w:space="300"/>
            <w:col w:w="3500" w:space="240"/>
            <w:col w:w="5160"/>
          </w:cols>
          <w:pgMar w:left="860" w:top="458" w:right="800" w:bottom="0" w:gutter="0" w:footer="0" w:header="0"/>
        </w:sectPr>
      </w:pPr>
    </w:p>
    <w:tbl>
      <w:tblPr>
        <w:tblLayout w:type="fixed"/>
        <w:tblInd w:w="0" w:type="dxa"/>
        <w:tblCellMar>
          <w:top w:w="0" w:type="dxa"/>
          <w:left w:w="0" w:type="dxa"/>
          <w:bottom w:w="0" w:type="dxa"/>
          <w:right w:w="0" w:type="dxa"/>
        </w:tblCellMar>
      </w:tblPr>
      <w:tr>
        <w:trPr>
          <w:trHeight w:val="230"/>
        </w:trPr>
        <w:tc>
          <w:tcPr>
            <w:tcW w:w="1320" w:type="dxa"/>
            <w:vAlign w:val="bottom"/>
            <w:vMerge w:val="restart"/>
          </w:tcPr>
          <w:p>
            <w:pPr>
              <w:spacing w:after="0"/>
              <w:rPr>
                <w:sz w:val="20"/>
                <w:szCs w:val="20"/>
                <w:color w:val="auto"/>
              </w:rPr>
            </w:pPr>
            <w:r>
              <w:rPr>
                <w:rFonts w:ascii="Arial" w:cs="Arial" w:eastAsia="Arial" w:hAnsi="Arial"/>
                <w:sz w:val="20"/>
                <w:szCs w:val="20"/>
                <w:color w:val="auto"/>
              </w:rPr>
              <w:t>97.1</w:t>
            </w:r>
          </w:p>
        </w:tc>
        <w:tc>
          <w:tcPr>
            <w:tcW w:w="3440" w:type="dxa"/>
            <w:vAlign w:val="bottom"/>
            <w:gridSpan w:val="4"/>
          </w:tcPr>
          <w:p>
            <w:pPr>
              <w:spacing w:after="0"/>
              <w:rPr>
                <w:sz w:val="20"/>
                <w:szCs w:val="20"/>
                <w:color w:val="auto"/>
              </w:rPr>
            </w:pPr>
            <w:r>
              <w:rPr>
                <w:rFonts w:ascii="Arial" w:cs="Arial" w:eastAsia="Arial" w:hAnsi="Arial"/>
                <w:sz w:val="20"/>
                <w:szCs w:val="20"/>
                <w:color w:val="1C2790"/>
              </w:rPr>
              <w:t>Sotera Health Company Policy for the</w:t>
            </w:r>
          </w:p>
        </w:tc>
        <w:tc>
          <w:tcPr>
            <w:tcW w:w="0" w:type="dxa"/>
            <w:vAlign w:val="bottom"/>
          </w:tcPr>
          <w:p>
            <w:pPr>
              <w:spacing w:after="0"/>
              <w:rPr>
                <w:sz w:val="1"/>
                <w:szCs w:val="1"/>
                <w:color w:val="auto"/>
              </w:rPr>
            </w:pPr>
          </w:p>
        </w:tc>
      </w:tr>
      <w:tr>
        <w:trPr>
          <w:trHeight w:val="180"/>
        </w:trPr>
        <w:tc>
          <w:tcPr>
            <w:tcW w:w="1320" w:type="dxa"/>
            <w:vAlign w:val="bottom"/>
            <w:vMerge w:val="continue"/>
          </w:tcPr>
          <w:p>
            <w:pPr>
              <w:spacing w:after="0"/>
              <w:rPr>
                <w:sz w:val="15"/>
                <w:szCs w:val="15"/>
                <w:color w:val="auto"/>
              </w:rPr>
            </w:pPr>
          </w:p>
        </w:tc>
        <w:tc>
          <w:tcPr>
            <w:tcW w:w="3120" w:type="dxa"/>
            <w:vAlign w:val="bottom"/>
            <w:tcBorders>
              <w:top w:val="single" w:sz="8" w:color="1C2790"/>
            </w:tcBorders>
            <w:gridSpan w:val="3"/>
          </w:tcPr>
          <w:p>
            <w:pPr>
              <w:spacing w:after="0" w:line="180" w:lineRule="exact"/>
              <w:rPr>
                <w:sz w:val="20"/>
                <w:szCs w:val="20"/>
                <w:color w:val="auto"/>
              </w:rPr>
            </w:pPr>
            <w:r>
              <w:rPr>
                <w:rFonts w:ascii="Arial" w:cs="Arial" w:eastAsia="Arial" w:hAnsi="Arial"/>
                <w:sz w:val="20"/>
                <w:szCs w:val="20"/>
                <w:color w:val="1C2790"/>
              </w:rPr>
              <w:t>Recovery of Erroneously Awarded</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20" w:type="dxa"/>
            <w:vAlign w:val="bottom"/>
          </w:tcPr>
          <w:p>
            <w:pPr>
              <w:spacing w:after="0"/>
              <w:rPr>
                <w:sz w:val="15"/>
                <w:szCs w:val="15"/>
                <w:color w:val="auto"/>
              </w:rPr>
            </w:pPr>
          </w:p>
        </w:tc>
        <w:tc>
          <w:tcPr>
            <w:tcW w:w="1160" w:type="dxa"/>
            <w:vAlign w:val="bottom"/>
            <w:tcBorders>
              <w:top w:val="single" w:sz="8" w:color="1C2790"/>
              <w:bottom w:val="single" w:sz="8" w:color="1C2790"/>
            </w:tcBorders>
          </w:tcPr>
          <w:p>
            <w:pPr>
              <w:spacing w:after="0" w:line="180" w:lineRule="exact"/>
              <w:rPr>
                <w:sz w:val="20"/>
                <w:szCs w:val="20"/>
                <w:color w:val="auto"/>
              </w:rPr>
            </w:pPr>
            <w:r>
              <w:rPr>
                <w:rFonts w:ascii="Arial" w:cs="Arial" w:eastAsia="Arial" w:hAnsi="Arial"/>
                <w:sz w:val="20"/>
                <w:szCs w:val="20"/>
                <w:color w:val="1C2790"/>
                <w:w w:val="88"/>
              </w:rPr>
              <w:t>Compensation</w:t>
            </w:r>
          </w:p>
        </w:tc>
        <w:tc>
          <w:tcPr>
            <w:tcW w:w="1680" w:type="dxa"/>
            <w:vAlign w:val="bottom"/>
            <w:tcBorders>
              <w:top w:val="single" w:sz="8" w:color="1C2790"/>
            </w:tcBorders>
          </w:tcPr>
          <w:p>
            <w:pPr>
              <w:spacing w:after="0"/>
              <w:rPr>
                <w:sz w:val="15"/>
                <w:szCs w:val="15"/>
                <w:color w:val="auto"/>
              </w:rPr>
            </w:pPr>
          </w:p>
        </w:tc>
        <w:tc>
          <w:tcPr>
            <w:tcW w:w="6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62"/>
        </w:trPr>
        <w:tc>
          <w:tcPr>
            <w:tcW w:w="1320" w:type="dxa"/>
            <w:vAlign w:val="bottom"/>
          </w:tcPr>
          <w:p>
            <w:pPr>
              <w:spacing w:after="0"/>
              <w:rPr>
                <w:sz w:val="24"/>
                <w:szCs w:val="24"/>
                <w:color w:val="auto"/>
              </w:rPr>
            </w:pPr>
          </w:p>
        </w:tc>
        <w:tc>
          <w:tcPr>
            <w:tcW w:w="3440" w:type="dxa"/>
            <w:vAlign w:val="bottom"/>
            <w:gridSpan w:val="4"/>
          </w:tcPr>
          <w:p>
            <w:pPr>
              <w:spacing w:after="0"/>
              <w:rPr>
                <w:sz w:val="20"/>
                <w:szCs w:val="20"/>
                <w:color w:val="auto"/>
              </w:rPr>
            </w:pPr>
            <w:r>
              <w:rPr>
                <w:rFonts w:ascii="Arial" w:cs="Arial" w:eastAsia="Arial" w:hAnsi="Arial"/>
                <w:sz w:val="20"/>
                <w:szCs w:val="20"/>
                <w:color w:val="auto"/>
              </w:rPr>
              <w:t>Inline XBRL Instance Document - The</w:t>
            </w:r>
          </w:p>
        </w:tc>
        <w:tc>
          <w:tcPr>
            <w:tcW w:w="0" w:type="dxa"/>
            <w:vAlign w:val="bottom"/>
          </w:tcPr>
          <w:p>
            <w:pPr>
              <w:spacing w:after="0"/>
              <w:rPr>
                <w:sz w:val="1"/>
                <w:szCs w:val="1"/>
                <w:color w:val="auto"/>
              </w:rPr>
            </w:pPr>
          </w:p>
        </w:tc>
      </w:tr>
      <w:tr>
        <w:trPr>
          <w:trHeight w:val="240"/>
        </w:trPr>
        <w:tc>
          <w:tcPr>
            <w:tcW w:w="1320" w:type="dxa"/>
            <w:vAlign w:val="bottom"/>
          </w:tcPr>
          <w:p>
            <w:pPr>
              <w:spacing w:after="0"/>
              <w:rPr>
                <w:sz w:val="20"/>
                <w:szCs w:val="20"/>
                <w:color w:val="auto"/>
              </w:rPr>
            </w:pPr>
          </w:p>
        </w:tc>
        <w:tc>
          <w:tcPr>
            <w:tcW w:w="3440" w:type="dxa"/>
            <w:vAlign w:val="bottom"/>
            <w:gridSpan w:val="4"/>
          </w:tcPr>
          <w:p>
            <w:pPr>
              <w:spacing w:after="0"/>
              <w:rPr>
                <w:sz w:val="20"/>
                <w:szCs w:val="20"/>
                <w:color w:val="auto"/>
              </w:rPr>
            </w:pPr>
            <w:r>
              <w:rPr>
                <w:rFonts w:ascii="Arial" w:cs="Arial" w:eastAsia="Arial" w:hAnsi="Arial"/>
                <w:sz w:val="20"/>
                <w:szCs w:val="20"/>
                <w:color w:val="auto"/>
                <w:w w:val="89"/>
              </w:rPr>
              <w:t>XBRL Instance Document does not appear</w:t>
            </w:r>
          </w:p>
        </w:tc>
        <w:tc>
          <w:tcPr>
            <w:tcW w:w="0" w:type="dxa"/>
            <w:vAlign w:val="bottom"/>
          </w:tcPr>
          <w:p>
            <w:pPr>
              <w:spacing w:after="0"/>
              <w:rPr>
                <w:sz w:val="1"/>
                <w:szCs w:val="1"/>
                <w:color w:val="auto"/>
              </w:rPr>
            </w:pPr>
          </w:p>
        </w:tc>
      </w:tr>
      <w:tr>
        <w:trPr>
          <w:trHeight w:val="240"/>
        </w:trPr>
        <w:tc>
          <w:tcPr>
            <w:tcW w:w="1320" w:type="dxa"/>
            <w:vAlign w:val="bottom"/>
          </w:tcPr>
          <w:p>
            <w:pPr>
              <w:spacing w:after="0"/>
              <w:rPr>
                <w:sz w:val="20"/>
                <w:szCs w:val="20"/>
                <w:color w:val="auto"/>
              </w:rPr>
            </w:pPr>
            <w:r>
              <w:rPr>
                <w:rFonts w:ascii="Arial" w:cs="Arial" w:eastAsia="Arial" w:hAnsi="Arial"/>
                <w:sz w:val="20"/>
                <w:szCs w:val="20"/>
                <w:color w:val="auto"/>
              </w:rPr>
              <w:t>101.INS</w:t>
            </w:r>
          </w:p>
        </w:tc>
        <w:tc>
          <w:tcPr>
            <w:tcW w:w="3440" w:type="dxa"/>
            <w:vAlign w:val="bottom"/>
            <w:gridSpan w:val="4"/>
          </w:tcPr>
          <w:p>
            <w:pPr>
              <w:spacing w:after="0"/>
              <w:rPr>
                <w:sz w:val="20"/>
                <w:szCs w:val="20"/>
                <w:color w:val="auto"/>
              </w:rPr>
            </w:pPr>
            <w:r>
              <w:rPr>
                <w:rFonts w:ascii="Arial" w:cs="Arial" w:eastAsia="Arial" w:hAnsi="Arial"/>
                <w:sz w:val="20"/>
                <w:szCs w:val="20"/>
                <w:color w:val="auto"/>
              </w:rPr>
              <w:t>in the Interactive Data File because its</w:t>
            </w:r>
          </w:p>
        </w:tc>
        <w:tc>
          <w:tcPr>
            <w:tcW w:w="0" w:type="dxa"/>
            <w:vAlign w:val="bottom"/>
          </w:tcPr>
          <w:p>
            <w:pPr>
              <w:spacing w:after="0"/>
              <w:rPr>
                <w:sz w:val="1"/>
                <w:szCs w:val="1"/>
                <w:color w:val="auto"/>
              </w:rPr>
            </w:pPr>
          </w:p>
        </w:tc>
      </w:tr>
      <w:tr>
        <w:trPr>
          <w:trHeight w:val="240"/>
        </w:trPr>
        <w:tc>
          <w:tcPr>
            <w:tcW w:w="1320" w:type="dxa"/>
            <w:vAlign w:val="bottom"/>
          </w:tcPr>
          <w:p>
            <w:pPr>
              <w:spacing w:after="0"/>
              <w:rPr>
                <w:sz w:val="20"/>
                <w:szCs w:val="20"/>
                <w:color w:val="auto"/>
              </w:rPr>
            </w:pPr>
          </w:p>
        </w:tc>
        <w:tc>
          <w:tcPr>
            <w:tcW w:w="3440" w:type="dxa"/>
            <w:vAlign w:val="bottom"/>
            <w:gridSpan w:val="4"/>
          </w:tcPr>
          <w:p>
            <w:pPr>
              <w:spacing w:after="0"/>
              <w:rPr>
                <w:sz w:val="20"/>
                <w:szCs w:val="20"/>
                <w:color w:val="auto"/>
              </w:rPr>
            </w:pPr>
            <w:r>
              <w:rPr>
                <w:rFonts w:ascii="Arial" w:cs="Arial" w:eastAsia="Arial" w:hAnsi="Arial"/>
                <w:sz w:val="20"/>
                <w:szCs w:val="20"/>
                <w:color w:val="auto"/>
                <w:w w:val="91"/>
              </w:rPr>
              <w:t>XBRL tags are embedded within the Inline</w:t>
            </w:r>
          </w:p>
        </w:tc>
        <w:tc>
          <w:tcPr>
            <w:tcW w:w="0" w:type="dxa"/>
            <w:vAlign w:val="bottom"/>
          </w:tcPr>
          <w:p>
            <w:pPr>
              <w:spacing w:after="0"/>
              <w:rPr>
                <w:sz w:val="1"/>
                <w:szCs w:val="1"/>
                <w:color w:val="auto"/>
              </w:rPr>
            </w:pPr>
          </w:p>
        </w:tc>
      </w:tr>
      <w:tr>
        <w:trPr>
          <w:trHeight w:val="261"/>
        </w:trPr>
        <w:tc>
          <w:tcPr>
            <w:tcW w:w="1320" w:type="dxa"/>
            <w:vAlign w:val="bottom"/>
          </w:tcPr>
          <w:p>
            <w:pPr>
              <w:spacing w:after="0"/>
              <w:rPr>
                <w:sz w:val="22"/>
                <w:szCs w:val="22"/>
                <w:color w:val="auto"/>
              </w:rPr>
            </w:pPr>
          </w:p>
        </w:tc>
        <w:tc>
          <w:tcPr>
            <w:tcW w:w="3440" w:type="dxa"/>
            <w:vAlign w:val="bottom"/>
            <w:gridSpan w:val="4"/>
          </w:tcPr>
          <w:p>
            <w:pPr>
              <w:spacing w:after="0"/>
              <w:rPr>
                <w:sz w:val="20"/>
                <w:szCs w:val="20"/>
                <w:color w:val="auto"/>
              </w:rPr>
            </w:pPr>
            <w:r>
              <w:rPr>
                <w:rFonts w:ascii="Arial" w:cs="Arial" w:eastAsia="Arial" w:hAnsi="Arial"/>
                <w:sz w:val="20"/>
                <w:szCs w:val="20"/>
                <w:color w:val="auto"/>
              </w:rPr>
              <w:t>XBRL document</w:t>
            </w:r>
          </w:p>
        </w:tc>
        <w:tc>
          <w:tcPr>
            <w:tcW w:w="0" w:type="dxa"/>
            <w:vAlign w:val="bottom"/>
          </w:tcPr>
          <w:p>
            <w:pPr>
              <w:spacing w:after="0"/>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40" w:type="dxa"/>
            <w:vAlign w:val="bottom"/>
            <w:vMerge w:val="restart"/>
          </w:tcPr>
          <w:p>
            <w:pPr>
              <w:spacing w:after="0"/>
              <w:rPr>
                <w:sz w:val="20"/>
                <w:szCs w:val="20"/>
                <w:color w:val="auto"/>
              </w:rPr>
            </w:pPr>
            <w:r>
              <w:rPr>
                <w:rFonts w:ascii="Arial" w:cs="Arial" w:eastAsia="Arial" w:hAnsi="Arial"/>
                <w:sz w:val="20"/>
                <w:szCs w:val="20"/>
                <w:color w:val="auto"/>
              </w:rPr>
              <w:t>101.SCH</w:t>
            </w:r>
          </w:p>
        </w:tc>
        <w:tc>
          <w:tcPr>
            <w:tcW w:w="3780" w:type="dxa"/>
            <w:vAlign w:val="bottom"/>
          </w:tcPr>
          <w:p>
            <w:pPr>
              <w:ind w:left="280"/>
              <w:spacing w:after="0"/>
              <w:rPr>
                <w:sz w:val="20"/>
                <w:szCs w:val="20"/>
                <w:color w:val="auto"/>
              </w:rPr>
            </w:pPr>
            <w:r>
              <w:rPr>
                <w:rFonts w:ascii="Arial" w:cs="Arial" w:eastAsia="Arial" w:hAnsi="Arial"/>
                <w:sz w:val="20"/>
                <w:szCs w:val="20"/>
                <w:color w:val="auto"/>
                <w:w w:val="92"/>
              </w:rPr>
              <w:t>Inline XBRL Taxonomy Extension Schema</w:t>
            </w:r>
          </w:p>
        </w:tc>
        <w:tc>
          <w:tcPr>
            <w:tcW w:w="0" w:type="dxa"/>
            <w:vAlign w:val="bottom"/>
          </w:tcPr>
          <w:p>
            <w:pPr>
              <w:spacing w:after="0"/>
              <w:rPr>
                <w:sz w:val="1"/>
                <w:szCs w:val="1"/>
                <w:color w:val="auto"/>
              </w:rPr>
            </w:pPr>
          </w:p>
        </w:tc>
      </w:tr>
      <w:tr>
        <w:trPr>
          <w:trHeight w:val="141"/>
        </w:trPr>
        <w:tc>
          <w:tcPr>
            <w:tcW w:w="1040" w:type="dxa"/>
            <w:vAlign w:val="bottom"/>
            <w:vMerge w:val="continue"/>
          </w:tcPr>
          <w:p>
            <w:pPr>
              <w:spacing w:after="0"/>
              <w:rPr>
                <w:sz w:val="12"/>
                <w:szCs w:val="12"/>
                <w:color w:val="auto"/>
              </w:rPr>
            </w:pPr>
          </w:p>
        </w:tc>
        <w:tc>
          <w:tcPr>
            <w:tcW w:w="3780" w:type="dxa"/>
            <w:vAlign w:val="bottom"/>
            <w:vMerge w:val="restart"/>
          </w:tcPr>
          <w:p>
            <w:pPr>
              <w:ind w:left="280"/>
              <w:spacing w:after="0"/>
              <w:rPr>
                <w:sz w:val="20"/>
                <w:szCs w:val="20"/>
                <w:color w:val="auto"/>
              </w:rPr>
            </w:pPr>
            <w:r>
              <w:rPr>
                <w:rFonts w:ascii="Arial" w:cs="Arial" w:eastAsia="Arial" w:hAnsi="Arial"/>
                <w:sz w:val="20"/>
                <w:szCs w:val="20"/>
                <w:color w:val="auto"/>
              </w:rPr>
              <w:t>Document</w:t>
            </w:r>
          </w:p>
        </w:tc>
        <w:tc>
          <w:tcPr>
            <w:tcW w:w="0" w:type="dxa"/>
            <w:vAlign w:val="bottom"/>
          </w:tcPr>
          <w:p>
            <w:pPr>
              <w:spacing w:after="0"/>
              <w:rPr>
                <w:sz w:val="1"/>
                <w:szCs w:val="1"/>
                <w:color w:val="auto"/>
              </w:rPr>
            </w:pPr>
          </w:p>
        </w:tc>
      </w:tr>
      <w:tr>
        <w:trPr>
          <w:trHeight w:val="120"/>
        </w:trPr>
        <w:tc>
          <w:tcPr>
            <w:tcW w:w="1040" w:type="dxa"/>
            <w:vAlign w:val="bottom"/>
          </w:tcPr>
          <w:p>
            <w:pPr>
              <w:spacing w:after="0"/>
              <w:rPr>
                <w:sz w:val="10"/>
                <w:szCs w:val="10"/>
                <w:color w:val="auto"/>
              </w:rPr>
            </w:pP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4"/>
        </w:trPr>
        <w:tc>
          <w:tcPr>
            <w:tcW w:w="1040" w:type="dxa"/>
            <w:vAlign w:val="bottom"/>
            <w:vMerge w:val="restart"/>
          </w:tcPr>
          <w:p>
            <w:pPr>
              <w:spacing w:after="0"/>
              <w:rPr>
                <w:sz w:val="20"/>
                <w:szCs w:val="20"/>
                <w:color w:val="auto"/>
              </w:rPr>
            </w:pPr>
            <w:r>
              <w:rPr>
                <w:rFonts w:ascii="Arial" w:cs="Arial" w:eastAsia="Arial" w:hAnsi="Arial"/>
                <w:sz w:val="20"/>
                <w:szCs w:val="20"/>
                <w:color w:val="auto"/>
              </w:rPr>
              <w:t>101.CAL</w:t>
            </w:r>
          </w:p>
        </w:tc>
        <w:tc>
          <w:tcPr>
            <w:tcW w:w="3780" w:type="dxa"/>
            <w:vAlign w:val="bottom"/>
          </w:tcPr>
          <w:p>
            <w:pPr>
              <w:ind w:left="280"/>
              <w:spacing w:after="0"/>
              <w:rPr>
                <w:sz w:val="20"/>
                <w:szCs w:val="20"/>
                <w:color w:val="auto"/>
              </w:rPr>
            </w:pPr>
            <w:r>
              <w:rPr>
                <w:rFonts w:ascii="Arial" w:cs="Arial" w:eastAsia="Arial" w:hAnsi="Arial"/>
                <w:sz w:val="20"/>
                <w:szCs w:val="20"/>
                <w:color w:val="auto"/>
              </w:rPr>
              <w:t>Inline XBRL Taxonomy Extension</w:t>
            </w:r>
          </w:p>
        </w:tc>
        <w:tc>
          <w:tcPr>
            <w:tcW w:w="0" w:type="dxa"/>
            <w:vAlign w:val="bottom"/>
          </w:tcPr>
          <w:p>
            <w:pPr>
              <w:spacing w:after="0"/>
              <w:rPr>
                <w:sz w:val="1"/>
                <w:szCs w:val="1"/>
                <w:color w:val="auto"/>
              </w:rPr>
            </w:pPr>
          </w:p>
        </w:tc>
      </w:tr>
      <w:tr>
        <w:trPr>
          <w:trHeight w:val="141"/>
        </w:trPr>
        <w:tc>
          <w:tcPr>
            <w:tcW w:w="1040" w:type="dxa"/>
            <w:vAlign w:val="bottom"/>
            <w:vMerge w:val="continue"/>
          </w:tcPr>
          <w:p>
            <w:pPr>
              <w:spacing w:after="0"/>
              <w:rPr>
                <w:sz w:val="12"/>
                <w:szCs w:val="12"/>
                <w:color w:val="auto"/>
              </w:rPr>
            </w:pPr>
          </w:p>
        </w:tc>
        <w:tc>
          <w:tcPr>
            <w:tcW w:w="3780" w:type="dxa"/>
            <w:vAlign w:val="bottom"/>
            <w:vMerge w:val="restart"/>
          </w:tcPr>
          <w:p>
            <w:pPr>
              <w:ind w:left="280"/>
              <w:spacing w:after="0"/>
              <w:rPr>
                <w:sz w:val="20"/>
                <w:szCs w:val="20"/>
                <w:color w:val="auto"/>
              </w:rPr>
            </w:pPr>
            <w:r>
              <w:rPr>
                <w:rFonts w:ascii="Arial" w:cs="Arial" w:eastAsia="Arial" w:hAnsi="Arial"/>
                <w:sz w:val="20"/>
                <w:szCs w:val="20"/>
                <w:color w:val="auto"/>
              </w:rPr>
              <w:t>Calculation Linkbase Document</w:t>
            </w:r>
          </w:p>
        </w:tc>
        <w:tc>
          <w:tcPr>
            <w:tcW w:w="0" w:type="dxa"/>
            <w:vAlign w:val="bottom"/>
          </w:tcPr>
          <w:p>
            <w:pPr>
              <w:spacing w:after="0"/>
              <w:rPr>
                <w:sz w:val="1"/>
                <w:szCs w:val="1"/>
                <w:color w:val="auto"/>
              </w:rPr>
            </w:pPr>
          </w:p>
        </w:tc>
      </w:tr>
      <w:tr>
        <w:trPr>
          <w:trHeight w:val="120"/>
        </w:trPr>
        <w:tc>
          <w:tcPr>
            <w:tcW w:w="1040" w:type="dxa"/>
            <w:vAlign w:val="bottom"/>
          </w:tcPr>
          <w:p>
            <w:pPr>
              <w:spacing w:after="0"/>
              <w:rPr>
                <w:sz w:val="10"/>
                <w:szCs w:val="10"/>
                <w:color w:val="auto"/>
              </w:rPr>
            </w:pP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4"/>
        </w:trPr>
        <w:tc>
          <w:tcPr>
            <w:tcW w:w="1040" w:type="dxa"/>
            <w:vAlign w:val="bottom"/>
            <w:vMerge w:val="restart"/>
          </w:tcPr>
          <w:p>
            <w:pPr>
              <w:spacing w:after="0"/>
              <w:rPr>
                <w:sz w:val="20"/>
                <w:szCs w:val="20"/>
                <w:color w:val="auto"/>
              </w:rPr>
            </w:pPr>
            <w:r>
              <w:rPr>
                <w:rFonts w:ascii="Arial" w:cs="Arial" w:eastAsia="Arial" w:hAnsi="Arial"/>
                <w:sz w:val="20"/>
                <w:szCs w:val="20"/>
                <w:color w:val="auto"/>
              </w:rPr>
              <w:t>101.DEF</w:t>
            </w:r>
          </w:p>
        </w:tc>
        <w:tc>
          <w:tcPr>
            <w:tcW w:w="3780" w:type="dxa"/>
            <w:vAlign w:val="bottom"/>
          </w:tcPr>
          <w:p>
            <w:pPr>
              <w:ind w:left="280"/>
              <w:spacing w:after="0"/>
              <w:rPr>
                <w:sz w:val="20"/>
                <w:szCs w:val="20"/>
                <w:color w:val="auto"/>
              </w:rPr>
            </w:pPr>
            <w:r>
              <w:rPr>
                <w:rFonts w:ascii="Arial" w:cs="Arial" w:eastAsia="Arial" w:hAnsi="Arial"/>
                <w:sz w:val="20"/>
                <w:szCs w:val="20"/>
                <w:color w:val="auto"/>
              </w:rPr>
              <w:t>Inline XBRL Taxonomy Extension</w:t>
            </w:r>
          </w:p>
        </w:tc>
        <w:tc>
          <w:tcPr>
            <w:tcW w:w="0" w:type="dxa"/>
            <w:vAlign w:val="bottom"/>
          </w:tcPr>
          <w:p>
            <w:pPr>
              <w:spacing w:after="0"/>
              <w:rPr>
                <w:sz w:val="1"/>
                <w:szCs w:val="1"/>
                <w:color w:val="auto"/>
              </w:rPr>
            </w:pPr>
          </w:p>
        </w:tc>
      </w:tr>
      <w:tr>
        <w:trPr>
          <w:trHeight w:val="141"/>
        </w:trPr>
        <w:tc>
          <w:tcPr>
            <w:tcW w:w="1040" w:type="dxa"/>
            <w:vAlign w:val="bottom"/>
            <w:vMerge w:val="continue"/>
          </w:tcPr>
          <w:p>
            <w:pPr>
              <w:spacing w:after="0"/>
              <w:rPr>
                <w:sz w:val="12"/>
                <w:szCs w:val="12"/>
                <w:color w:val="auto"/>
              </w:rPr>
            </w:pPr>
          </w:p>
        </w:tc>
        <w:tc>
          <w:tcPr>
            <w:tcW w:w="3780" w:type="dxa"/>
            <w:vAlign w:val="bottom"/>
            <w:vMerge w:val="restart"/>
          </w:tcPr>
          <w:p>
            <w:pPr>
              <w:ind w:left="280"/>
              <w:spacing w:after="0"/>
              <w:rPr>
                <w:sz w:val="20"/>
                <w:szCs w:val="20"/>
                <w:color w:val="auto"/>
              </w:rPr>
            </w:pPr>
            <w:r>
              <w:rPr>
                <w:rFonts w:ascii="Arial" w:cs="Arial" w:eastAsia="Arial" w:hAnsi="Arial"/>
                <w:sz w:val="20"/>
                <w:szCs w:val="20"/>
                <w:color w:val="auto"/>
              </w:rPr>
              <w:t>Definition Linkbase Document</w:t>
            </w:r>
          </w:p>
        </w:tc>
        <w:tc>
          <w:tcPr>
            <w:tcW w:w="0" w:type="dxa"/>
            <w:vAlign w:val="bottom"/>
          </w:tcPr>
          <w:p>
            <w:pPr>
              <w:spacing w:after="0"/>
              <w:rPr>
                <w:sz w:val="1"/>
                <w:szCs w:val="1"/>
                <w:color w:val="auto"/>
              </w:rPr>
            </w:pPr>
          </w:p>
        </w:tc>
      </w:tr>
      <w:tr>
        <w:trPr>
          <w:trHeight w:val="120"/>
        </w:trPr>
        <w:tc>
          <w:tcPr>
            <w:tcW w:w="1040" w:type="dxa"/>
            <w:vAlign w:val="bottom"/>
          </w:tcPr>
          <w:p>
            <w:pPr>
              <w:spacing w:after="0"/>
              <w:rPr>
                <w:sz w:val="10"/>
                <w:szCs w:val="10"/>
                <w:color w:val="auto"/>
              </w:rPr>
            </w:pP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right"/>
        <w:ind w:right="140"/>
        <w:spacing w:after="0"/>
        <w:tabs>
          <w:tab w:leader="none" w:pos="2840" w:val="left"/>
          <w:tab w:leader="none" w:pos="1600" w:val="left"/>
          <w:tab w:leader="none" w:pos="92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97.1</w:t>
      </w:r>
      <w:r>
        <w:rPr>
          <w:sz w:val="20"/>
          <w:szCs w:val="20"/>
          <w:color w:val="auto"/>
        </w:rPr>
        <w:tab/>
      </w:r>
      <w:r>
        <w:rPr>
          <w:rFonts w:ascii="Arial" w:cs="Arial" w:eastAsia="Arial" w:hAnsi="Arial"/>
          <w:sz w:val="18"/>
          <w:szCs w:val="18"/>
          <w:color w:val="auto"/>
        </w:rPr>
        <w:t>2024-02-27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51" w:lineRule="exact"/>
        <w:rPr>
          <w:sz w:val="20"/>
          <w:szCs w:val="20"/>
          <w:color w:val="auto"/>
        </w:rPr>
      </w:pPr>
    </w:p>
    <w:p>
      <w:pPr>
        <w:sectPr>
          <w:pgSz w:w="11880" w:h="15480" w:orient="portrait"/>
          <w:cols w:equalWidth="0" w:num="2">
            <w:col w:w="4840" w:space="720"/>
            <w:col w:w="4660"/>
          </w:cols>
          <w:pgMar w:left="860" w:top="458"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121</w:t>
      </w:r>
    </w:p>
    <w:p>
      <w:pPr>
        <w:sectPr>
          <w:pgSz w:w="11880" w:h="15480" w:orient="portrait"/>
          <w:cols w:equalWidth="0" w:num="1">
            <w:col w:w="10220"/>
          </w:cols>
          <w:pgMar w:left="860" w:top="458" w:right="800" w:bottom="0" w:gutter="0" w:footer="0" w:header="0"/>
          <w:type w:val="continuous"/>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514350</wp:posOffset>
            </wp:positionH>
            <wp:positionV relativeFrom="page">
              <wp:posOffset>476250</wp:posOffset>
            </wp:positionV>
            <wp:extent cx="762000"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6">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0" w:firstLine="84"/>
        <w:spacing w:after="0" w:line="490" w:lineRule="auto"/>
        <w:rPr>
          <w:sz w:val="20"/>
          <w:szCs w:val="20"/>
          <w:color w:val="auto"/>
        </w:rPr>
      </w:pPr>
      <w:r>
        <w:rPr>
          <w:rFonts w:ascii="Arial" w:cs="Arial" w:eastAsia="Arial" w:hAnsi="Arial"/>
          <w:sz w:val="18"/>
          <w:szCs w:val="18"/>
          <w:b w:val="1"/>
          <w:bCs w:val="1"/>
          <w:color w:val="auto"/>
        </w:rPr>
        <w:t xml:space="preserve">Exhibit No </w:t>
      </w: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-365760</wp:posOffset>
            </wp:positionV>
            <wp:extent cx="762000"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7">
                      <a:extLst>
                        <a:ext uri="{28A0092B-C50C-407E-A947-70E740481C1C}"/>
                      </a:extLst>
                    </a:blip>
                    <a:srcRect/>
                    <a:stretch>
                      <a:fillRect/>
                    </a:stretch>
                  </pic:blipFill>
                  <pic:spPr bwMode="auto">
                    <a:xfrm>
                      <a:off x="0" y="0"/>
                      <a:ext cx="762000" cy="12700"/>
                    </a:xfrm>
                    <a:prstGeom prst="rect">
                      <a:avLst/>
                    </a:prstGeom>
                    <a:noFill/>
                  </pic:spPr>
                </pic:pic>
              </a:graphicData>
            </a:graphic>
          </wp:anchor>
        </w:drawing>
      </w:r>
    </w:p>
    <w:p>
      <w:pPr>
        <w:spacing w:after="0" w:line="118"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101.PRE</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-403860</wp:posOffset>
            </wp:positionV>
            <wp:extent cx="231457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8">
                      <a:extLst>
                        <a:ext uri="{28A0092B-C50C-407E-A947-70E740481C1C}"/>
                      </a:extLst>
                    </a:blip>
                    <a:srcRect/>
                    <a:stretch>
                      <a:fillRect/>
                    </a:stretch>
                  </pic:blipFill>
                  <pic:spPr bwMode="auto">
                    <a:xfrm>
                      <a:off x="0" y="0"/>
                      <a:ext cx="2314575" cy="127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24130</wp:posOffset>
            </wp:positionV>
            <wp:extent cx="231457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9">
                      <a:extLst>
                        <a:ext uri="{28A0092B-C50C-407E-A947-70E740481C1C}"/>
                      </a:extLst>
                    </a:blip>
                    <a:srcRect/>
                    <a:stretch>
                      <a:fillRect/>
                    </a:stretch>
                  </pic:blipFill>
                  <pic:spPr bwMode="auto">
                    <a:xfrm>
                      <a:off x="0" y="0"/>
                      <a:ext cx="2314575" cy="12700"/>
                    </a:xfrm>
                    <a:prstGeom prst="rect">
                      <a:avLst/>
                    </a:prstGeom>
                    <a:noFill/>
                  </pic:spPr>
                </pic:pic>
              </a:graphicData>
            </a:graphic>
          </wp:anchor>
        </w:drawing>
      </w:r>
    </w:p>
    <w:p>
      <w:pPr>
        <w:spacing w:after="0" w:line="18"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Inline XBRL Taxonomy Label Linkbase Document</w:t>
      </w:r>
    </w:p>
    <w:p>
      <w:pPr>
        <w:spacing w:after="0" w:line="133" w:lineRule="exact"/>
        <w:rPr>
          <w:sz w:val="20"/>
          <w:szCs w:val="20"/>
          <w:color w:val="auto"/>
        </w:rPr>
      </w:pPr>
    </w:p>
    <w:p>
      <w:pPr>
        <w:ind w:right="700"/>
        <w:spacing w:after="0" w:line="341" w:lineRule="auto"/>
        <w:rPr>
          <w:sz w:val="20"/>
          <w:szCs w:val="20"/>
          <w:color w:val="auto"/>
        </w:rPr>
      </w:pPr>
      <w:r>
        <w:rPr>
          <w:rFonts w:ascii="Arial" w:cs="Arial" w:eastAsia="Arial" w:hAnsi="Arial"/>
          <w:sz w:val="18"/>
          <w:szCs w:val="18"/>
          <w:color w:val="auto"/>
        </w:rPr>
        <w:t>Inline XBRL Taxonomy Extension Presentation Linkbase Document</w:t>
      </w:r>
    </w:p>
    <w:p>
      <w:pPr>
        <w:spacing w:after="0" w:line="52"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20" w:type="dxa"/>
            <w:vAlign w:val="bottom"/>
            <w:gridSpan w:val="2"/>
          </w:tcPr>
          <w:p>
            <w:pPr>
              <w:ind w:left="10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line="192"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0"/>
              </w:rPr>
              <w:t>Furnished</w:t>
            </w:r>
          </w:p>
        </w:tc>
        <w:tc>
          <w:tcPr>
            <w:tcW w:w="140" w:type="dxa"/>
            <w:vAlign w:val="bottom"/>
          </w:tcPr>
          <w:p>
            <w:pPr>
              <w:spacing w:after="0"/>
              <w:rPr>
                <w:sz w:val="17"/>
                <w:szCs w:val="17"/>
                <w:color w:val="auto"/>
              </w:rPr>
            </w:pPr>
          </w:p>
        </w:tc>
        <w:tc>
          <w:tcPr>
            <w:tcW w:w="700" w:type="dxa"/>
            <w:vAlign w:val="bottom"/>
            <w:vMerge w:val="restart"/>
          </w:tcPr>
          <w:p>
            <w:pPr>
              <w:ind w:left="140"/>
              <w:spacing w:after="0"/>
              <w:rPr>
                <w:sz w:val="20"/>
                <w:szCs w:val="20"/>
                <w:color w:val="auto"/>
              </w:rPr>
            </w:pPr>
            <w:r>
              <w:rPr>
                <w:rFonts w:ascii="Arial" w:cs="Arial" w:eastAsia="Arial" w:hAnsi="Arial"/>
                <w:sz w:val="20"/>
                <w:szCs w:val="20"/>
                <w:b w:val="1"/>
                <w:bCs w:val="1"/>
                <w:color w:val="auto"/>
              </w:rPr>
              <w:t>Form</w:t>
            </w:r>
          </w:p>
        </w:tc>
        <w:tc>
          <w:tcPr>
            <w:tcW w:w="1140" w:type="dxa"/>
            <w:vAlign w:val="bottom"/>
            <w:vMerge w:val="restart"/>
          </w:tcPr>
          <w:p>
            <w:pPr>
              <w:ind w:left="320"/>
              <w:spacing w:after="0"/>
              <w:rPr>
                <w:sz w:val="20"/>
                <w:szCs w:val="20"/>
                <w:color w:val="auto"/>
              </w:rPr>
            </w:pPr>
            <w:r>
              <w:rPr>
                <w:rFonts w:ascii="Arial" w:cs="Arial" w:eastAsia="Arial" w:hAnsi="Arial"/>
                <w:sz w:val="20"/>
                <w:szCs w:val="20"/>
                <w:b w:val="1"/>
                <w:bCs w:val="1"/>
                <w:color w:val="auto"/>
              </w:rPr>
              <w:t>File No.</w:t>
            </w:r>
          </w:p>
        </w:tc>
        <w:tc>
          <w:tcPr>
            <w:tcW w:w="208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Exhibit  Filing Date</w:t>
            </w:r>
          </w:p>
        </w:tc>
        <w:tc>
          <w:tcPr>
            <w:tcW w:w="0" w:type="dxa"/>
            <w:vAlign w:val="bottom"/>
          </w:tcPr>
          <w:p>
            <w:pPr>
              <w:spacing w:after="0"/>
              <w:rPr>
                <w:sz w:val="1"/>
                <w:szCs w:val="1"/>
                <w:color w:val="auto"/>
              </w:rPr>
            </w:pPr>
          </w:p>
        </w:tc>
      </w:tr>
      <w:tr>
        <w:trPr>
          <w:trHeight w:val="26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Herewith</w:t>
            </w:r>
          </w:p>
        </w:tc>
        <w:tc>
          <w:tcPr>
            <w:tcW w:w="140" w:type="dxa"/>
            <w:vAlign w:val="bottom"/>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38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152400</wp:posOffset>
            </wp:positionV>
            <wp:extent cx="6515100"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0">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87" w:lineRule="exact"/>
        <w:rPr>
          <w:sz w:val="20"/>
          <w:szCs w:val="20"/>
          <w:color w:val="auto"/>
        </w:rPr>
      </w:pPr>
    </w:p>
    <w:p>
      <w:pPr>
        <w:sectPr>
          <w:pgSz w:w="11880" w:h="15480" w:orient="portrait"/>
          <w:cols w:equalWidth="0" w:num="3">
            <w:col w:w="1060" w:space="300"/>
            <w:col w:w="3520" w:space="220"/>
            <w:col w:w="5160"/>
          </w:cols>
          <w:pgMar w:left="820" w:top="458" w:right="800" w:bottom="0" w:gutter="0" w:footer="0" w:header="0"/>
        </w:sectPr>
      </w:pPr>
    </w:p>
    <w:p>
      <w:pPr>
        <w:ind w:left="540" w:hanging="370"/>
        <w:spacing w:after="0"/>
        <w:tabs>
          <w:tab w:leader="none" w:pos="5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10" w:lineRule="exact"/>
        <w:rPr>
          <w:sz w:val="20"/>
          <w:szCs w:val="20"/>
          <w:color w:val="auto"/>
        </w:rPr>
      </w:pPr>
    </w:p>
    <w:p>
      <w:pPr>
        <w:ind w:left="180"/>
        <w:spacing w:after="0"/>
        <w:tabs>
          <w:tab w:leader="none" w:pos="5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Furnished Herewith</w:t>
      </w:r>
    </w:p>
    <w:p>
      <w:pPr>
        <w:spacing w:after="0" w:line="10" w:lineRule="exact"/>
        <w:rPr>
          <w:sz w:val="20"/>
          <w:szCs w:val="20"/>
          <w:color w:val="auto"/>
        </w:rPr>
      </w:pPr>
    </w:p>
    <w:p>
      <w:pPr>
        <w:ind w:left="540" w:hanging="370"/>
        <w:spacing w:after="0"/>
        <w:tabs>
          <w:tab w:leader="none" w:pos="5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Denotes management contract or compensatory plan or arrangement.</w:t>
      </w:r>
    </w:p>
    <w:p>
      <w:pPr>
        <w:spacing w:after="0" w:line="10" w:lineRule="exact"/>
        <w:rPr>
          <w:sz w:val="20"/>
          <w:szCs w:val="20"/>
          <w:color w:val="auto"/>
        </w:rPr>
      </w:pPr>
    </w:p>
    <w:p>
      <w:pPr>
        <w:ind w:left="540" w:right="40" w:hanging="370"/>
        <w:spacing w:after="0" w:line="309"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260"/>
          </w:cols>
          <w:pgMar w:left="820" w:top="458"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880" w:h="15480" w:orient="portrait"/>
          <w:cols w:equalWidth="0" w:num="1">
            <w:col w:w="10260"/>
          </w:cols>
          <w:pgMar w:left="820" w:top="458" w:right="800" w:bottom="0" w:gutter="0" w:footer="0" w:header="0"/>
          <w:type w:val="continuous"/>
        </w:sectPr>
      </w:pPr>
    </w:p>
    <w:bookmarkStart w:id="130" w:name="page131"/>
    <w:bookmarkEnd w:id="130"/>
    <w:p>
      <w:pPr>
        <w:jc w:val="center"/>
        <w:ind w:right="-99"/>
        <w:spacing w:after="0"/>
        <w:rPr>
          <w:sz w:val="20"/>
          <w:szCs w:val="20"/>
          <w:color w:val="auto"/>
        </w:rPr>
      </w:pPr>
      <w:r>
        <w:rPr>
          <w:rFonts w:ascii="Arial" w:cs="Arial" w:eastAsia="Arial" w:hAnsi="Arial"/>
          <w:sz w:val="20"/>
          <w:szCs w:val="20"/>
          <w:b w:val="1"/>
          <w:bCs w:val="1"/>
          <w:color w:val="auto"/>
        </w:rPr>
        <w:t>SIGNATURES</w:t>
      </w:r>
    </w:p>
    <w:p>
      <w:pPr>
        <w:spacing w:after="0" w:line="257"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SOTERA HEALTH COMPANY</w:t>
      </w:r>
    </w:p>
    <w:p>
      <w:pPr>
        <w:spacing w:after="0" w:line="370" w:lineRule="exact"/>
        <w:rPr>
          <w:sz w:val="20"/>
          <w:szCs w:val="20"/>
          <w:color w:val="auto"/>
        </w:rPr>
      </w:pPr>
    </w:p>
    <w:p>
      <w:pPr>
        <w:ind w:left="4680"/>
        <w:spacing w:after="0"/>
        <w:tabs>
          <w:tab w:leader="none" w:pos="53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21590</wp:posOffset>
            </wp:positionV>
            <wp:extent cx="311467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1">
                      <a:extLst>
                        <a:ext uri="{28A0092B-C50C-407E-A947-70E740481C1C}"/>
                      </a:extLst>
                    </a:blip>
                    <a:srcRect/>
                    <a:stretch>
                      <a:fillRect/>
                    </a:stretch>
                  </pic:blipFill>
                  <pic:spPr bwMode="auto">
                    <a:xfrm>
                      <a:off x="0" y="0"/>
                      <a:ext cx="3114675" cy="12700"/>
                    </a:xfrm>
                    <a:prstGeom prst="rect">
                      <a:avLst/>
                    </a:prstGeom>
                    <a:noFill/>
                  </pic:spPr>
                </pic:pic>
              </a:graphicData>
            </a:graphic>
          </wp:anchor>
        </w:drawing>
      </w:r>
    </w:p>
    <w:p>
      <w:pPr>
        <w:spacing w:after="0" w:line="35" w:lineRule="exact"/>
        <w:rPr>
          <w:sz w:val="20"/>
          <w:szCs w:val="20"/>
          <w:color w:val="auto"/>
        </w:rPr>
      </w:pPr>
    </w:p>
    <w:p>
      <w:pPr>
        <w:ind w:left="4680"/>
        <w:spacing w:after="0"/>
        <w:tabs>
          <w:tab w:leader="none" w:pos="53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B. Petras, Jr.</w:t>
      </w:r>
    </w:p>
    <w:p>
      <w:pPr>
        <w:spacing w:after="0" w:line="55" w:lineRule="exact"/>
        <w:rPr>
          <w:sz w:val="20"/>
          <w:szCs w:val="20"/>
          <w:color w:val="auto"/>
        </w:rPr>
      </w:pPr>
    </w:p>
    <w:p>
      <w:pPr>
        <w:ind w:left="4680"/>
        <w:spacing w:after="0"/>
        <w:tabs>
          <w:tab w:leader="none" w:pos="5380" w:val="left"/>
        </w:tabs>
        <w:rPr>
          <w:sz w:val="20"/>
          <w:szCs w:val="20"/>
          <w:color w:val="auto"/>
        </w:rPr>
      </w:pPr>
      <w:r>
        <w:rPr>
          <w:rFonts w:ascii="Arial" w:cs="Arial" w:eastAsia="Arial" w:hAnsi="Arial"/>
          <w:sz w:val="20"/>
          <w:szCs w:val="20"/>
          <w:color w:val="auto"/>
        </w:rPr>
        <w:t>Title:</w:t>
        <w:tab/>
        <w:t>Chairman and Chief Executive Officer</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24, 2026</w:t>
      </w:r>
    </w:p>
    <w:p>
      <w:pPr>
        <w:spacing w:after="0" w:line="250" w:lineRule="exact"/>
        <w:rPr>
          <w:sz w:val="20"/>
          <w:szCs w:val="20"/>
          <w:color w:val="auto"/>
        </w:rPr>
      </w:pPr>
    </w:p>
    <w:p>
      <w:pPr>
        <w:ind w:right="520"/>
        <w:spacing w:after="0" w:line="283"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Name</w:t>
            </w:r>
          </w:p>
        </w:tc>
        <w:tc>
          <w:tcPr>
            <w:tcW w:w="200" w:type="dxa"/>
            <w:vAlign w:val="bottom"/>
          </w:tcPr>
          <w:p>
            <w:pPr>
              <w:spacing w:after="0"/>
              <w:rPr>
                <w:sz w:val="23"/>
                <w:szCs w:val="23"/>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Title</w:t>
            </w:r>
          </w:p>
        </w:tc>
        <w:tc>
          <w:tcPr>
            <w:tcW w:w="200" w:type="dxa"/>
            <w:vAlign w:val="bottom"/>
          </w:tcPr>
          <w:p>
            <w:pPr>
              <w:spacing w:after="0"/>
              <w:rPr>
                <w:sz w:val="23"/>
                <w:szCs w:val="2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377"/>
        </w:trPr>
        <w:tc>
          <w:tcPr>
            <w:tcW w:w="3700" w:type="dxa"/>
            <w:vAlign w:val="bottom"/>
            <w:vMerge w:val="restart"/>
          </w:tcPr>
          <w:p>
            <w:pPr>
              <w:jc w:val="center"/>
              <w:spacing w:after="0"/>
              <w:rPr>
                <w:sz w:val="20"/>
                <w:szCs w:val="20"/>
                <w:color w:val="auto"/>
              </w:rPr>
            </w:pPr>
            <w:r>
              <w:rPr>
                <w:rFonts w:ascii="Arial" w:cs="Arial" w:eastAsia="Arial" w:hAnsi="Arial"/>
                <w:sz w:val="20"/>
                <w:szCs w:val="20"/>
                <w:color w:val="auto"/>
                <w:w w:val="90"/>
              </w:rPr>
              <w:t>/s/ Michael B. Petras, Jr.</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2"/>
              </w:rPr>
              <w:t>Chairman and Chief Executive Officer</w:t>
            </w:r>
          </w:p>
        </w:tc>
        <w:tc>
          <w:tcPr>
            <w:tcW w:w="20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8"/>
        </w:trPr>
        <w:tc>
          <w:tcPr>
            <w:tcW w:w="370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4"/>
              </w:rPr>
              <w:t>(Principal Executive Officer)</w:t>
            </w:r>
          </w:p>
        </w:tc>
        <w:tc>
          <w:tcPr>
            <w:tcW w:w="200" w:type="dxa"/>
            <w:vAlign w:val="bottom"/>
          </w:tcPr>
          <w:p>
            <w:pPr>
              <w:spacing w:after="0"/>
              <w:rPr>
                <w:sz w:val="22"/>
                <w:szCs w:val="22"/>
                <w:color w:val="auto"/>
              </w:rPr>
            </w:pP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90"/>
              </w:rPr>
              <w:t>Michael B. Petras, Jr.</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700" w:type="dxa"/>
            <w:vAlign w:val="bottom"/>
            <w:vMerge w:val="restart"/>
          </w:tcPr>
          <w:p>
            <w:pPr>
              <w:jc w:val="center"/>
              <w:spacing w:after="0"/>
              <w:rPr>
                <w:sz w:val="20"/>
                <w:szCs w:val="20"/>
                <w:color w:val="auto"/>
              </w:rPr>
            </w:pPr>
            <w:r>
              <w:rPr>
                <w:rFonts w:ascii="Arial" w:cs="Arial" w:eastAsia="Arial" w:hAnsi="Arial"/>
                <w:sz w:val="20"/>
                <w:szCs w:val="20"/>
                <w:color w:val="auto"/>
                <w:w w:val="90"/>
              </w:rPr>
              <w:t>/s/ Jonathan M. Lyons</w:t>
            </w:r>
          </w:p>
        </w:tc>
        <w:tc>
          <w:tcPr>
            <w:tcW w:w="200" w:type="dxa"/>
            <w:vAlign w:val="bottom"/>
          </w:tcPr>
          <w:p>
            <w:pPr>
              <w:spacing w:after="0"/>
              <w:rPr>
                <w:sz w:val="17"/>
                <w:szCs w:val="17"/>
                <w:color w:val="auto"/>
              </w:rPr>
            </w:pPr>
          </w:p>
        </w:tc>
        <w:tc>
          <w:tcPr>
            <w:tcW w:w="4120" w:type="dxa"/>
            <w:vAlign w:val="bottom"/>
          </w:tcPr>
          <w:p>
            <w:pPr>
              <w:jc w:val="center"/>
              <w:spacing w:after="0" w:line="206" w:lineRule="exact"/>
              <w:rPr>
                <w:sz w:val="20"/>
                <w:szCs w:val="20"/>
                <w:color w:val="auto"/>
              </w:rPr>
            </w:pPr>
            <w:r>
              <w:rPr>
                <w:rFonts w:ascii="Arial" w:cs="Arial" w:eastAsia="Arial" w:hAnsi="Arial"/>
                <w:sz w:val="20"/>
                <w:szCs w:val="20"/>
                <w:color w:val="auto"/>
                <w:w w:val="91"/>
              </w:rPr>
              <w:t>Senior Vice President and Chief Financial Officer</w:t>
            </w:r>
          </w:p>
        </w:tc>
        <w:tc>
          <w:tcPr>
            <w:tcW w:w="20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8"/>
        </w:trPr>
        <w:tc>
          <w:tcPr>
            <w:tcW w:w="370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3"/>
              </w:rPr>
              <w:t>(Principal Financial and Accounting Officer)</w:t>
            </w:r>
          </w:p>
        </w:tc>
        <w:tc>
          <w:tcPr>
            <w:tcW w:w="200" w:type="dxa"/>
            <w:vAlign w:val="bottom"/>
          </w:tcPr>
          <w:p>
            <w:pPr>
              <w:spacing w:after="0"/>
              <w:rPr>
                <w:sz w:val="22"/>
                <w:szCs w:val="22"/>
                <w:color w:val="auto"/>
              </w:rPr>
            </w:pP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91"/>
              </w:rPr>
              <w:t>Jonathan M. Lyons</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/s/ Ruoxi Chen</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91"/>
              </w:rPr>
              <w:t>Ruoxi Chen</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/s/ Sean L. Cunningham</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89"/>
              </w:rPr>
              <w:t>Sean L. Cunningham</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/s/ Karen A. Flynn</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93"/>
              </w:rPr>
              <w:t>Karen A. Flynn</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Ann R. Klee</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93"/>
              </w:rPr>
              <w:t>Ann R. Klee</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/s/ Richard G. Kyle</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94"/>
              </w:rPr>
              <w:t>Richard G. Kyle</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/s/ Robert B. Knauss</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90"/>
              </w:rPr>
              <w:t>Robert B. Knauss</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 Constantine S. Mihas</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90"/>
              </w:rPr>
              <w:t>Constantine S. Mihas</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/s/ James C. Neary</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87"/>
              </w:rPr>
              <w:t>James C. Neary</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/s/ Vincent K. Petrella</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93"/>
              </w:rPr>
              <w:t>Vincent K. Petrella</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Christopher A. Simon</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92"/>
              </w:rPr>
              <w:t>Christopher A. Simon</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 David E. Wheadon</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February 24, 2026</w:t>
            </w:r>
          </w:p>
        </w:tc>
        <w:tc>
          <w:tcPr>
            <w:tcW w:w="0" w:type="dxa"/>
            <w:vAlign w:val="bottom"/>
          </w:tcPr>
          <w:p>
            <w:pPr>
              <w:spacing w:after="0"/>
              <w:rPr>
                <w:sz w:val="1"/>
                <w:szCs w:val="1"/>
                <w:color w:val="auto"/>
              </w:rPr>
            </w:pPr>
          </w:p>
        </w:tc>
      </w:tr>
      <w:tr>
        <w:trPr>
          <w:trHeight w:val="261"/>
        </w:trPr>
        <w:tc>
          <w:tcPr>
            <w:tcW w:w="3700" w:type="dxa"/>
            <w:vAlign w:val="bottom"/>
          </w:tcPr>
          <w:p>
            <w:pPr>
              <w:jc w:val="center"/>
              <w:spacing w:after="0"/>
              <w:rPr>
                <w:sz w:val="20"/>
                <w:szCs w:val="20"/>
                <w:color w:val="auto"/>
              </w:rPr>
            </w:pPr>
            <w:r>
              <w:rPr>
                <w:rFonts w:ascii="Arial" w:cs="Arial" w:eastAsia="Arial" w:hAnsi="Arial"/>
                <w:sz w:val="20"/>
                <w:szCs w:val="20"/>
                <w:color w:val="auto"/>
                <w:w w:val="91"/>
              </w:rPr>
              <w:t>David E. Wheadon</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40"/>
          </w:cols>
          <w:pgMar w:left="820" w:top="40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123</w:t>
      </w:r>
    </w:p>
    <w:p>
      <w:pPr>
        <w:sectPr>
          <w:pgSz w:w="11880" w:h="15480" w:orient="portrait"/>
          <w:cols w:equalWidth="0" w:num="1">
            <w:col w:w="10140"/>
          </w:cols>
          <w:pgMar w:left="820" w:top="405" w:right="920" w:bottom="0" w:gutter="0" w:footer="0" w:header="0"/>
          <w:type w:val="continuous"/>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color w:val="FFFFFF"/>
        </w:rPr>
        <w:t>Stockholder Information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191919"/>
        </w:rPr>
        <w:t>Principal Office</w:t>
      </w:r>
    </w:p>
    <w:p>
      <w:pPr>
        <w:spacing w:after="0" w:line="143" w:lineRule="exact"/>
        <w:rPr>
          <w:sz w:val="20"/>
          <w:szCs w:val="20"/>
          <w:color w:val="auto"/>
        </w:rPr>
      </w:pPr>
    </w:p>
    <w:p>
      <w:pPr>
        <w:ind w:right="1560"/>
        <w:spacing w:after="0" w:line="369" w:lineRule="auto"/>
        <w:rPr>
          <w:sz w:val="20"/>
          <w:szCs w:val="20"/>
          <w:color w:val="auto"/>
        </w:rPr>
      </w:pPr>
      <w:r>
        <w:rPr>
          <w:rFonts w:ascii="Arial" w:cs="Arial" w:eastAsia="Arial" w:hAnsi="Arial"/>
          <w:sz w:val="17"/>
          <w:szCs w:val="17"/>
          <w:color w:val="191919"/>
        </w:rPr>
        <w:t>9100 South Hills Boulevard, Suite 300 Broadview Heights, Ohio 44147</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191919"/>
        </w:rPr>
        <w:t>2026 Annual Meeting of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191919"/>
        </w:rPr>
        <w:t>Thursday, May 21, 2026</w:t>
      </w:r>
    </w:p>
    <w:p>
      <w:pPr>
        <w:spacing w:after="0" w:line="53" w:lineRule="exact"/>
        <w:rPr>
          <w:sz w:val="20"/>
          <w:szCs w:val="20"/>
          <w:color w:val="auto"/>
        </w:rPr>
      </w:pPr>
    </w:p>
    <w:p>
      <w:pPr>
        <w:ind w:right="840"/>
        <w:spacing w:after="0" w:line="373" w:lineRule="auto"/>
        <w:rPr>
          <w:sz w:val="20"/>
          <w:szCs w:val="20"/>
          <w:color w:val="auto"/>
        </w:rPr>
      </w:pPr>
      <w:r>
        <w:rPr>
          <w:rFonts w:ascii="Arial" w:cs="Arial" w:eastAsia="Arial" w:hAnsi="Arial"/>
          <w:sz w:val="16"/>
          <w:szCs w:val="16"/>
          <w:color w:val="191919"/>
        </w:rPr>
        <w:t>9:00 a.m. Eastern Daylight Time Meeting will be held virtually at: www.virtualshareholdermeeting.com/SHC2026</w:t>
      </w:r>
    </w:p>
    <w:p>
      <w:pPr>
        <w:spacing w:after="0" w:line="102" w:lineRule="exact"/>
        <w:rPr>
          <w:sz w:val="20"/>
          <w:szCs w:val="20"/>
          <w:color w:val="auto"/>
        </w:rPr>
      </w:pPr>
    </w:p>
    <w:p>
      <w:pPr>
        <w:ind w:right="900"/>
        <w:spacing w:after="0" w:line="407" w:lineRule="auto"/>
        <w:rPr>
          <w:sz w:val="20"/>
          <w:szCs w:val="20"/>
          <w:color w:val="auto"/>
        </w:rPr>
      </w:pPr>
      <w:r>
        <w:rPr>
          <w:rFonts w:ascii="Arial" w:cs="Arial" w:eastAsia="Arial" w:hAnsi="Arial"/>
          <w:sz w:val="16"/>
          <w:szCs w:val="16"/>
          <w:color w:val="191919"/>
        </w:rPr>
        <w:t>All stockholders as of March 27, 2026, and their duly appointed proxies are invited to attend.</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191919"/>
        </w:rPr>
        <w:t>2025 Annual Report on Form 10-K</w:t>
      </w:r>
    </w:p>
    <w:p>
      <w:pPr>
        <w:spacing w:after="0" w:line="143" w:lineRule="exact"/>
        <w:rPr>
          <w:sz w:val="20"/>
          <w:szCs w:val="20"/>
          <w:color w:val="auto"/>
        </w:rPr>
      </w:pPr>
    </w:p>
    <w:p>
      <w:pPr>
        <w:ind w:right="160"/>
        <w:spacing w:after="0" w:line="312" w:lineRule="auto"/>
        <w:rPr>
          <w:sz w:val="20"/>
          <w:szCs w:val="20"/>
          <w:color w:val="auto"/>
        </w:rPr>
      </w:pPr>
      <w:r>
        <w:rPr>
          <w:rFonts w:ascii="Arial" w:cs="Arial" w:eastAsia="Arial" w:hAnsi="Arial"/>
          <w:sz w:val="18"/>
          <w:szCs w:val="18"/>
          <w:color w:val="191919"/>
        </w:rPr>
        <w:t>Sotera Health Company’s Annual Report on Form 10-K for the fiscal year ended December 31, 2025, is included in this Annual Report in its entirety, with the exception of certain exhibits.</w:t>
      </w:r>
    </w:p>
    <w:p>
      <w:pPr>
        <w:spacing w:after="0" w:line="143" w:lineRule="exact"/>
        <w:rPr>
          <w:sz w:val="20"/>
          <w:szCs w:val="20"/>
          <w:color w:val="auto"/>
        </w:rPr>
      </w:pPr>
    </w:p>
    <w:p>
      <w:pPr>
        <w:ind w:right="920"/>
        <w:spacing w:after="0" w:line="344" w:lineRule="auto"/>
        <w:rPr>
          <w:sz w:val="20"/>
          <w:szCs w:val="20"/>
          <w:color w:val="auto"/>
        </w:rPr>
      </w:pPr>
      <w:r>
        <w:rPr>
          <w:rFonts w:ascii="Arial" w:cs="Arial" w:eastAsia="Arial" w:hAnsi="Arial"/>
          <w:sz w:val="17"/>
          <w:szCs w:val="17"/>
          <w:color w:val="191919"/>
        </w:rPr>
        <w:t>The Form 10-K, complete with all of its exhibits, is available on our website at: https://investors.soterahealth.com/sec-filings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191919"/>
        </w:rPr>
        <w:t>Communicate with the Board</w:t>
      </w:r>
    </w:p>
    <w:p>
      <w:pPr>
        <w:spacing w:after="0" w:line="143" w:lineRule="exact"/>
        <w:rPr>
          <w:sz w:val="20"/>
          <w:szCs w:val="20"/>
          <w:color w:val="auto"/>
        </w:rPr>
      </w:pPr>
    </w:p>
    <w:p>
      <w:pPr>
        <w:ind w:right="440"/>
        <w:spacing w:after="0" w:line="318" w:lineRule="auto"/>
        <w:rPr>
          <w:sz w:val="20"/>
          <w:szCs w:val="20"/>
          <w:color w:val="auto"/>
        </w:rPr>
      </w:pPr>
      <w:r>
        <w:rPr>
          <w:rFonts w:ascii="Arial" w:cs="Arial" w:eastAsia="Arial" w:hAnsi="Arial"/>
          <w:sz w:val="18"/>
          <w:szCs w:val="18"/>
          <w:color w:val="191919"/>
        </w:rPr>
        <w:t>Stockholders and other interested parties can communicate with our Board of Directors by email at: board@soterahealth.com.</w:t>
      </w:r>
    </w:p>
    <w:p>
      <w:pPr>
        <w:spacing w:after="0" w:line="137" w:lineRule="exact"/>
        <w:rPr>
          <w:sz w:val="20"/>
          <w:szCs w:val="20"/>
          <w:color w:val="auto"/>
        </w:rPr>
      </w:pPr>
    </w:p>
    <w:p>
      <w:pPr>
        <w:ind w:right="400"/>
        <w:spacing w:after="0" w:line="309" w:lineRule="auto"/>
        <w:rPr>
          <w:sz w:val="20"/>
          <w:szCs w:val="20"/>
          <w:color w:val="auto"/>
        </w:rPr>
      </w:pPr>
      <w:r>
        <w:rPr>
          <w:rFonts w:ascii="Arial" w:cs="Arial" w:eastAsia="Arial" w:hAnsi="Arial"/>
          <w:sz w:val="18"/>
          <w:szCs w:val="18"/>
          <w:color w:val="191919"/>
        </w:rPr>
        <w:t>The Secretary reviews all communications sent to the Board. Inquiries that relate to the functions of the Board or a Board Committee will be relayed to the Board, Board Committee or to individual directors, as appropriate.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91919"/>
        </w:rPr>
        <w:t>Stock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-2628900</wp:posOffset>
            </wp:positionV>
            <wp:extent cx="7543800" cy="9829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123" w:lineRule="exact"/>
        <w:rPr>
          <w:sz w:val="20"/>
          <w:szCs w:val="20"/>
          <w:color w:val="auto"/>
        </w:rPr>
      </w:pPr>
    </w:p>
    <w:p>
      <w:pPr>
        <w:ind w:left="20" w:right="1340"/>
        <w:spacing w:after="0" w:line="335" w:lineRule="auto"/>
        <w:rPr>
          <w:sz w:val="20"/>
          <w:szCs w:val="20"/>
          <w:color w:val="auto"/>
        </w:rPr>
      </w:pPr>
      <w:r>
        <w:rPr>
          <w:rFonts w:ascii="Arial" w:cs="Arial" w:eastAsia="Arial" w:hAnsi="Arial"/>
          <w:sz w:val="18"/>
          <w:szCs w:val="18"/>
          <w:color w:val="191919"/>
        </w:rPr>
        <w:t>Listed on Nasdaq Global Select Market Stock Symbol: SHC</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91919"/>
        </w:rPr>
        <w:t>Investor Relations Contact</w:t>
      </w:r>
    </w:p>
    <w:p>
      <w:pPr>
        <w:spacing w:after="0" w:line="143" w:lineRule="exact"/>
        <w:rPr>
          <w:sz w:val="20"/>
          <w:szCs w:val="20"/>
          <w:color w:val="auto"/>
        </w:rPr>
      </w:pPr>
    </w:p>
    <w:p>
      <w:pPr>
        <w:ind w:left="20" w:right="1600"/>
        <w:spacing w:after="0" w:line="361" w:lineRule="auto"/>
        <w:rPr>
          <w:sz w:val="20"/>
          <w:szCs w:val="20"/>
          <w:color w:val="auto"/>
        </w:rPr>
      </w:pPr>
      <w:r>
        <w:rPr>
          <w:rFonts w:ascii="Arial" w:cs="Arial" w:eastAsia="Arial" w:hAnsi="Arial"/>
          <w:sz w:val="16"/>
          <w:szCs w:val="16"/>
          <w:color w:val="191919"/>
        </w:rPr>
        <w:t>Email: IR@soterahealth.com Phone: 833.561.1310 Investor Relations website: https://investors.soterahealth.com</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91919"/>
        </w:rPr>
        <w:t>Transfer Agent</w:t>
      </w:r>
    </w:p>
    <w:p>
      <w:pPr>
        <w:spacing w:after="0" w:line="143" w:lineRule="exact"/>
        <w:rPr>
          <w:sz w:val="20"/>
          <w:szCs w:val="20"/>
          <w:color w:val="auto"/>
        </w:rPr>
      </w:pPr>
    </w:p>
    <w:p>
      <w:pPr>
        <w:ind w:left="20" w:right="1520"/>
        <w:spacing w:after="0" w:line="318" w:lineRule="auto"/>
        <w:rPr>
          <w:sz w:val="20"/>
          <w:szCs w:val="20"/>
          <w:color w:val="auto"/>
        </w:rPr>
      </w:pPr>
      <w:r>
        <w:rPr>
          <w:rFonts w:ascii="Arial" w:cs="Arial" w:eastAsia="Arial" w:hAnsi="Arial"/>
          <w:sz w:val="18"/>
          <w:szCs w:val="18"/>
          <w:color w:val="191919"/>
        </w:rPr>
        <w:t>Computershare Trust Company, N.A. 118 Fernwood Avenue Edison, New Jersey 08837</w:t>
      </w:r>
    </w:p>
    <w:p>
      <w:pPr>
        <w:spacing w:after="0" w:line="134" w:lineRule="exact"/>
        <w:rPr>
          <w:sz w:val="20"/>
          <w:szCs w:val="20"/>
          <w:color w:val="auto"/>
        </w:rPr>
      </w:pPr>
    </w:p>
    <w:p>
      <w:pPr>
        <w:ind w:left="20" w:right="1560"/>
        <w:spacing w:after="0" w:line="328" w:lineRule="auto"/>
        <w:rPr>
          <w:sz w:val="20"/>
          <w:szCs w:val="20"/>
          <w:color w:val="auto"/>
        </w:rPr>
      </w:pPr>
      <w:r>
        <w:rPr>
          <w:rFonts w:ascii="Arial" w:cs="Arial" w:eastAsia="Arial" w:hAnsi="Arial"/>
          <w:sz w:val="20"/>
          <w:szCs w:val="20"/>
          <w:b w:val="1"/>
          <w:bCs w:val="1"/>
          <w:color w:val="191919"/>
        </w:rPr>
        <w:t>Independent Registered Public Accounting Firm</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40"/>
        <w:spacing w:after="0" w:line="322" w:lineRule="auto"/>
        <w:rPr>
          <w:sz w:val="20"/>
          <w:szCs w:val="20"/>
          <w:color w:val="auto"/>
        </w:rPr>
      </w:pPr>
      <w:r>
        <w:rPr>
          <w:rFonts w:ascii="Arial" w:cs="Arial" w:eastAsia="Arial" w:hAnsi="Arial"/>
          <w:sz w:val="11"/>
          <w:szCs w:val="11"/>
          <w:color w:val="191919"/>
        </w:rPr>
        <w:t>This Annual Report contains forward-looking statements. The reader is cautioned not to rely on these statements, which are based on current expectations of future events. For important information about these statements, including the risks, uncertainties and other factors that could cause actual results to vary materially from the assumptions, expectations and projections expressed in any forward-looking statements, the reader should review the enclosed Annual Report on Form 10-K for the fiscal year ended December 31, 2025, including in the sections captioned “Cautionary Note Regarding Forward-Looking Statements” and “Item</w:t>
      </w:r>
    </w:p>
    <w:p>
      <w:pPr>
        <w:spacing w:after="0" w:line="3" w:lineRule="exact"/>
        <w:rPr>
          <w:sz w:val="20"/>
          <w:szCs w:val="20"/>
          <w:color w:val="auto"/>
        </w:rPr>
      </w:pPr>
    </w:p>
    <w:p>
      <w:pPr>
        <w:jc w:val="both"/>
        <w:ind w:right="380"/>
        <w:spacing w:after="0" w:line="290" w:lineRule="auto"/>
        <w:rPr>
          <w:sz w:val="20"/>
          <w:szCs w:val="20"/>
          <w:color w:val="auto"/>
        </w:rPr>
      </w:pPr>
      <w:r>
        <w:rPr>
          <w:rFonts w:ascii="Arial" w:cs="Arial" w:eastAsia="Arial" w:hAnsi="Arial"/>
          <w:sz w:val="13"/>
          <w:szCs w:val="13"/>
          <w:color w:val="191919"/>
        </w:rPr>
        <w:t>1A. Risk Factors.” Sotera Health Company does not undertake to update any forward-looking statement as a result of new information or future events or developments.</w:t>
      </w:r>
    </w:p>
    <w:p>
      <w:pPr>
        <w:spacing w:after="0" w:line="148" w:lineRule="exact"/>
        <w:rPr>
          <w:sz w:val="20"/>
          <w:szCs w:val="20"/>
          <w:color w:val="auto"/>
        </w:rPr>
      </w:pPr>
    </w:p>
    <w:p>
      <w:pPr>
        <w:ind w:right="320"/>
        <w:spacing w:after="0" w:line="364" w:lineRule="auto"/>
        <w:rPr>
          <w:sz w:val="20"/>
          <w:szCs w:val="20"/>
          <w:color w:val="auto"/>
        </w:rPr>
      </w:pPr>
      <w:r>
        <w:rPr>
          <w:rFonts w:ascii="Arial" w:cs="Arial" w:eastAsia="Arial" w:hAnsi="Arial"/>
          <w:sz w:val="11"/>
          <w:szCs w:val="11"/>
          <w:color w:val="191919"/>
        </w:rPr>
        <w:t>The Sotera Health trade name, logo and other trademarks included in this Annual Report are the property of Sotera Health Company or its respective affiliates. © 2026 Sotera Health Company. All Rights Reserved.</w:t>
      </w:r>
    </w:p>
    <w:p>
      <w:pPr>
        <w:sectPr>
          <w:pgSz w:w="11880" w:h="15480" w:orient="portrait"/>
          <w:cols w:equalWidth="0" w:num="2">
            <w:col w:w="4300" w:space="720"/>
            <w:col w:w="4160"/>
          </w:cols>
          <w:pgMar w:left="1260" w:top="1440" w:right="1440"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1545590</wp:posOffset>
            </wp:positionV>
            <wp:extent cx="1987550" cy="668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3">
                      <a:extLst>
                        <a:ext uri="{28A0092B-C50C-407E-A947-70E740481C1C}"/>
                      </a:extLst>
                    </a:blip>
                    <a:srcRect/>
                    <a:stretch>
                      <a:fillRect/>
                    </a:stretch>
                  </pic:blipFill>
                  <pic:spPr bwMode="auto">
                    <a:xfrm>
                      <a:off x="0" y="0"/>
                      <a:ext cx="1987550" cy="6680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5870575</wp:posOffset>
            </wp:positionV>
            <wp:extent cx="6896100" cy="39592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4">
                      <a:extLst>
                        <a:ext uri="{28A0092B-C50C-407E-A947-70E740481C1C}"/>
                      </a:extLst>
                    </a:blip>
                    <a:srcRect/>
                    <a:stretch>
                      <a:fillRect/>
                    </a:stretch>
                  </pic:blipFill>
                  <pic:spPr bwMode="auto">
                    <a:xfrm>
                      <a:off x="0" y="0"/>
                      <a:ext cx="6896100" cy="395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Sotera Health Company • 9100 South Hills Blvd, Suite 300 • Broadview Heights, OH 44147 • 440.262.1410 • Nasdaq: SHC</w:t>
      </w:r>
    </w:p>
    <w:p>
      <w:pPr>
        <w:sectPr>
          <w:pgSz w:w="11880" w:h="15480" w:orient="portrait"/>
          <w:cols w:equalWidth="0" w:num="1">
            <w:col w:w="9140"/>
          </w:cols>
          <w:pgMar w:left="1440" w:top="1440" w:right="130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7820"/>
        <w:spacing w:after="0"/>
        <w:rPr>
          <w:sz w:val="20"/>
          <w:szCs w:val="20"/>
          <w:color w:val="auto"/>
        </w:rPr>
      </w:pPr>
      <w:r>
        <w:rPr>
          <w:rFonts w:ascii="Arial" w:cs="Arial" w:eastAsia="Arial" w:hAnsi="Arial"/>
          <w:sz w:val="15"/>
          <w:szCs w:val="15"/>
          <w:b w:val="1"/>
          <w:bCs w:val="1"/>
          <w:color w:val="00074E"/>
        </w:rPr>
        <w:t>soterahealth.com</w:t>
      </w:r>
    </w:p>
    <w:sectPr>
      <w:pgSz w:w="11880" w:h="15480" w:orient="portrait"/>
      <w:cols w:equalWidth="0" w:num="1">
        <w:col w:w="9140"/>
      </w:cols>
      <w:pgMar w:left="1440" w:top="1440" w:right="130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upperLetter"/>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ldblquote"/>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2"/>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lowerLetter"/>
      <w:start w:val="4"/>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2"/>
    </w:lvl>
  </w:abstractNum>
  <w:abstractNum w:abstractNumId="36">
    <w:nsid w:val="749ABB43"/>
    <w:multiLevelType w:val="hybridMultilevel"/>
    <w:lvl w:ilvl="0">
      <w:lvlJc w:val="left"/>
      <w:lvlText w:val="%1."/>
      <w:numFmt w:val="decimal"/>
      <w:start w:val="3"/>
    </w:lvl>
  </w:abstractNum>
  <w:abstractNum w:abstractNumId="37">
    <w:nsid w:val="3DC240FB"/>
    <w:multiLevelType w:val="hybridMultilevel"/>
    <w:lvl w:ilvl="0">
      <w:lvlJc w:val="left"/>
      <w:lvlText w:val="%1."/>
      <w:numFmt w:val="decimal"/>
      <w:start w:val="4"/>
    </w:lvl>
  </w:abstractNum>
  <w:abstractNum w:abstractNumId="38">
    <w:nsid w:val="1BA026FA"/>
    <w:multiLevelType w:val="hybridMultilevel"/>
    <w:lvl w:ilvl="0">
      <w:lvlJc w:val="left"/>
      <w:lvlText w:val="%1."/>
      <w:numFmt w:val="decimal"/>
      <w:start w:val="5"/>
    </w:lvl>
  </w:abstractNum>
  <w:abstractNum w:abstractNumId="39">
    <w:nsid w:val="79A1DEAA"/>
    <w:multiLevelType w:val="hybridMultilevel"/>
    <w:lvl w:ilvl="0">
      <w:lvlJc w:val="left"/>
      <w:lvlText w:val="%1."/>
      <w:numFmt w:val="decimal"/>
      <w:start w:val="7"/>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decimal"/>
      <w:start w:val="8"/>
    </w:lvl>
  </w:abstractNum>
  <w:abstractNum w:abstractNumId="42">
    <w:nsid w:val="70C6A529"/>
    <w:multiLevelType w:val="hybridMultilevel"/>
    <w:lvl w:ilvl="0">
      <w:lvlJc w:val="left"/>
      <w:lvlText w:val="(%1)"/>
      <w:numFmt w:val="lowerRoman"/>
      <w:start w:val="2"/>
    </w:lvl>
  </w:abstractNum>
  <w:abstractNum w:abstractNumId="43">
    <w:nsid w:val="520EEDD1"/>
    <w:multiLevelType w:val="hybridMultilevel"/>
    <w:lvl w:ilvl="0">
      <w:lvlJc w:val="left"/>
      <w:lvlText w:val="(%1)"/>
      <w:numFmt w:val="lowerRoman"/>
      <w:start w:val="1"/>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1)"/>
      <w:numFmt w:val="lowerLetter"/>
      <w:start w:val="1"/>
    </w:lvl>
  </w:abstractNum>
  <w:abstractNum w:abstractNumId="48">
    <w:nsid w:val="275AC794"/>
    <w:multiLevelType w:val="hybridMultilevel"/>
    <w:lvl w:ilvl="0">
      <w:lvlJc w:val="left"/>
      <w:lvlText w:val="%1."/>
      <w:numFmt w:val="decimal"/>
      <w:start w:val="14"/>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1."/>
      <w:numFmt w:val="decimal"/>
      <w:start w:val="20"/>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lowerLetter"/>
      <w:start w:val="2"/>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amp;"/>
      <w:numFmt w:val="bullet"/>
      <w:start w:val="1"/>
    </w:lvl>
  </w:abstractNum>
  <w:abstractNum w:abstractNumId="59">
    <w:nsid w:val="3F6AB60F"/>
    <w:multiLevelType w:val="hybridMultilevel"/>
    <w:lvl w:ilvl="0">
      <w:lvlJc w:val="left"/>
      <w:lvlText w:val="(%1)"/>
      <w:numFmt w:val="lowerLetter"/>
      <w:start w:val="1"/>
    </w:lvl>
    <w:lvl w:ilvl="1">
      <w:lvlJc w:val="left"/>
      <w:lvlText w:val="(%2)"/>
      <w:numFmt w:val="decimal"/>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2026-04-08T19:47:08Z</dcterms:created>
  <dcterms:modified xsi:type="dcterms:W3CDTF">2026-04-08T19:47:08Z</dcterms:modified>
</cp:coreProperties>
</file>