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316230</wp:posOffset>
            </wp:positionV>
            <wp:extent cx="553847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8470" cy="1651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374015</wp:posOffset>
            </wp:positionV>
            <wp:extent cx="5538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Arial" w:cs="Arial" w:eastAsia="Arial" w:hAnsi="Arial"/>
          <w:sz w:val="31"/>
          <w:szCs w:val="31"/>
          <w:b w:val="1"/>
          <w:bCs w:val="1"/>
          <w:color w:val="auto"/>
        </w:rPr>
        <w:t>UNITED STATES</w:t>
      </w:r>
    </w:p>
    <w:p>
      <w:pPr>
        <w:spacing w:after="0" w:line="13" w:lineRule="exact"/>
        <w:rPr>
          <w:sz w:val="24"/>
          <w:szCs w:val="24"/>
          <w:color w:val="auto"/>
        </w:rPr>
      </w:pPr>
    </w:p>
    <w:p>
      <w:pPr>
        <w:jc w:val="center"/>
        <w:ind w:right="-620"/>
        <w:spacing w:after="0"/>
        <w:rPr>
          <w:sz w:val="20"/>
          <w:szCs w:val="20"/>
          <w:color w:val="auto"/>
        </w:rPr>
      </w:pPr>
      <w:r>
        <w:rPr>
          <w:rFonts w:ascii="Arial" w:cs="Arial" w:eastAsia="Arial" w:hAnsi="Arial"/>
          <w:sz w:val="31"/>
          <w:szCs w:val="31"/>
          <w:b w:val="1"/>
          <w:bCs w:val="1"/>
          <w:color w:val="auto"/>
        </w:rPr>
        <w:t>SECURITIES AND EXCHANGE COMMISSION</w:t>
      </w:r>
    </w:p>
    <w:p>
      <w:pPr>
        <w:spacing w:after="0" w:line="41" w:lineRule="exact"/>
        <w:rPr>
          <w:sz w:val="24"/>
          <w:szCs w:val="24"/>
          <w:color w:val="auto"/>
        </w:rPr>
      </w:pPr>
    </w:p>
    <w:p>
      <w:pPr>
        <w:ind w:left="4020"/>
        <w:spacing w:after="0"/>
        <w:rPr>
          <w:sz w:val="20"/>
          <w:szCs w:val="20"/>
          <w:color w:val="auto"/>
        </w:rPr>
      </w:pPr>
      <w:r>
        <w:rPr>
          <w:rFonts w:ascii="Arial" w:cs="Arial" w:eastAsia="Arial" w:hAnsi="Arial"/>
          <w:sz w:val="21"/>
          <w:szCs w:val="21"/>
          <w:b w:val="1"/>
          <w:bCs w:val="1"/>
          <w:color w:val="auto"/>
        </w:rPr>
        <w:t>Washington, D.C. 20549</w:t>
      </w:r>
      <w:r>
        <w:rPr>
          <w:rFonts w:ascii="Times New Roman" w:cs="Times New Roman" w:eastAsia="Times New Roman" w:hAnsi="Times New Roman"/>
          <w:sz w:val="31"/>
          <w:szCs w:val="3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284480</wp:posOffset>
            </wp:positionV>
            <wp:extent cx="1186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2900"/>
        <w:spacing w:after="0"/>
        <w:rPr>
          <w:sz w:val="20"/>
          <w:szCs w:val="20"/>
          <w:color w:val="auto"/>
        </w:rPr>
      </w:pPr>
      <w:r>
        <w:rPr>
          <w:rFonts w:ascii="Arial" w:cs="Arial" w:eastAsia="Arial" w:hAnsi="Arial"/>
          <w:sz w:val="31"/>
          <w:szCs w:val="31"/>
          <w:b w:val="1"/>
          <w:bCs w:val="1"/>
          <w:color w:val="auto"/>
        </w:rPr>
        <w:t>SCHEDULE 14A INFORMATION</w:t>
      </w:r>
    </w:p>
    <w:p>
      <w:pPr>
        <w:spacing w:after="0" w:line="42" w:lineRule="exact"/>
        <w:rPr>
          <w:sz w:val="24"/>
          <w:szCs w:val="24"/>
          <w:color w:val="auto"/>
        </w:rPr>
      </w:pPr>
    </w:p>
    <w:p>
      <w:pPr>
        <w:jc w:val="center"/>
        <w:ind w:right="-62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63" w:lineRule="exact"/>
        <w:rPr>
          <w:sz w:val="24"/>
          <w:szCs w:val="24"/>
          <w:color w:val="auto"/>
        </w:rPr>
      </w:pPr>
    </w:p>
    <w:p>
      <w:pPr>
        <w:jc w:val="center"/>
        <w:ind w:right="-620"/>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2672715</wp:posOffset>
            </wp:positionH>
            <wp:positionV relativeFrom="paragraph">
              <wp:posOffset>292100</wp:posOffset>
            </wp:positionV>
            <wp:extent cx="11868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left="780"/>
        <w:spacing w:after="0" w:line="242" w:lineRule="exact"/>
        <w:rPr>
          <w:sz w:val="20"/>
          <w:szCs w:val="20"/>
          <w:color w:val="auto"/>
        </w:rPr>
      </w:pPr>
      <w:r>
        <w:rPr>
          <w:rFonts w:ascii="Arial" w:cs="Arial" w:eastAsia="Arial" w:hAnsi="Arial"/>
          <w:sz w:val="21"/>
          <w:szCs w:val="21"/>
          <w:color w:val="auto"/>
        </w:rPr>
        <w:t xml:space="preserve">Filed by the Registrant  </w:t>
      </w:r>
      <w:r>
        <w:rPr>
          <w:rFonts w:ascii="MS PGothic" w:cs="MS PGothic" w:eastAsia="MS PGothic" w:hAnsi="MS PGothic"/>
          <w:sz w:val="21"/>
          <w:szCs w:val="21"/>
          <w:color w:val="auto"/>
        </w:rPr>
        <w:t>☒</w:t>
      </w:r>
    </w:p>
    <w:p>
      <w:pPr>
        <w:spacing w:after="0" w:line="200" w:lineRule="exact"/>
        <w:rPr>
          <w:sz w:val="24"/>
          <w:szCs w:val="24"/>
          <w:color w:val="auto"/>
        </w:rPr>
      </w:pPr>
    </w:p>
    <w:p>
      <w:pPr>
        <w:ind w:left="780"/>
        <w:spacing w:after="0" w:line="242" w:lineRule="exact"/>
        <w:rPr>
          <w:sz w:val="20"/>
          <w:szCs w:val="20"/>
          <w:color w:val="auto"/>
        </w:rPr>
      </w:pPr>
      <w:r>
        <w:rPr>
          <w:rFonts w:ascii="Arial" w:cs="Arial" w:eastAsia="Arial" w:hAnsi="Arial"/>
          <w:sz w:val="21"/>
          <w:szCs w:val="21"/>
          <w:color w:val="auto"/>
        </w:rPr>
        <w:t xml:space="preserve">Filed by a Party other than the Registrant  </w:t>
      </w:r>
      <w:r>
        <w:rPr>
          <w:rFonts w:ascii="MS PGothic" w:cs="MS PGothic" w:eastAsia="MS PGothic" w:hAnsi="MS PGothic"/>
          <w:sz w:val="21"/>
          <w:szCs w:val="21"/>
          <w:color w:val="auto"/>
        </w:rPr>
        <w:t>☐</w:t>
      </w:r>
    </w:p>
    <w:p>
      <w:pPr>
        <w:spacing w:after="0" w:line="260" w:lineRule="exact"/>
        <w:rPr>
          <w:sz w:val="24"/>
          <w:szCs w:val="24"/>
          <w:color w:val="auto"/>
        </w:rPr>
      </w:pPr>
    </w:p>
    <w:p>
      <w:pPr>
        <w:ind w:left="780"/>
        <w:spacing w:after="0"/>
        <w:rPr>
          <w:sz w:val="20"/>
          <w:szCs w:val="20"/>
          <w:color w:val="auto"/>
        </w:rPr>
      </w:pPr>
      <w:r>
        <w:rPr>
          <w:rFonts w:ascii="Arial" w:cs="Arial" w:eastAsia="Arial" w:hAnsi="Arial"/>
          <w:sz w:val="21"/>
          <w:szCs w:val="21"/>
          <w:color w:val="auto"/>
        </w:rPr>
        <w:t>Check the appropriate box:</w:t>
      </w:r>
    </w:p>
    <w:p>
      <w:pPr>
        <w:spacing w:after="0" w:line="213" w:lineRule="exact"/>
        <w:rPr>
          <w:sz w:val="24"/>
          <w:szCs w:val="24"/>
          <w:color w:val="auto"/>
        </w:rPr>
      </w:pPr>
    </w:p>
    <w:p>
      <w:pPr>
        <w:ind w:left="1120" w:hanging="337"/>
        <w:spacing w:after="0"/>
        <w:tabs>
          <w:tab w:leader="none" w:pos="112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Preliminary Proxy Statement</w:t>
      </w:r>
    </w:p>
    <w:p>
      <w:pPr>
        <w:spacing w:after="0" w:line="199" w:lineRule="exact"/>
        <w:rPr>
          <w:rFonts w:ascii="MS PGothic" w:cs="MS PGothic" w:eastAsia="MS PGothic" w:hAnsi="MS PGothic"/>
          <w:sz w:val="21"/>
          <w:szCs w:val="21"/>
          <w:color w:val="auto"/>
        </w:rPr>
      </w:pPr>
    </w:p>
    <w:p>
      <w:pPr>
        <w:ind w:left="1120" w:hanging="337"/>
        <w:spacing w:after="0"/>
        <w:tabs>
          <w:tab w:leader="none" w:pos="11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Confidential, for Use of the Commission Only (as permitted by Rule 14a-6(e)(2))</w:t>
      </w:r>
    </w:p>
    <w:p>
      <w:pPr>
        <w:spacing w:after="0" w:line="213" w:lineRule="exact"/>
        <w:rPr>
          <w:sz w:val="24"/>
          <w:szCs w:val="24"/>
          <w:color w:val="auto"/>
        </w:rPr>
      </w:pPr>
    </w:p>
    <w:p>
      <w:pPr>
        <w:ind w:left="1120" w:hanging="337"/>
        <w:spacing w:after="0"/>
        <w:tabs>
          <w:tab w:leader="none" w:pos="112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Definitive Proxy Statement</w:t>
      </w:r>
    </w:p>
    <w:p>
      <w:pPr>
        <w:spacing w:after="0" w:line="213" w:lineRule="exact"/>
        <w:rPr>
          <w:sz w:val="24"/>
          <w:szCs w:val="24"/>
          <w:color w:val="auto"/>
        </w:rPr>
      </w:pPr>
    </w:p>
    <w:p>
      <w:pPr>
        <w:ind w:left="1120" w:hanging="337"/>
        <w:spacing w:after="0"/>
        <w:tabs>
          <w:tab w:leader="none" w:pos="1120" w:val="left"/>
        </w:tabs>
        <w:numPr>
          <w:ilvl w:val="0"/>
          <w:numId w:val="3"/>
        </w:numPr>
        <w:rPr>
          <w:rFonts w:ascii="MS PGothic" w:cs="MS PGothic" w:eastAsia="MS PGothic" w:hAnsi="MS PGothic"/>
          <w:sz w:val="21"/>
          <w:szCs w:val="21"/>
          <w:color w:val="auto"/>
        </w:rPr>
      </w:pPr>
      <w:r>
        <w:rPr>
          <w:rFonts w:ascii="Arial" w:cs="Arial" w:eastAsia="Arial" w:hAnsi="Arial"/>
          <w:sz w:val="21"/>
          <w:szCs w:val="21"/>
          <w:color w:val="auto"/>
        </w:rPr>
        <w:t>Definitive Additional Materials</w:t>
      </w:r>
    </w:p>
    <w:p>
      <w:pPr>
        <w:spacing w:after="0" w:line="199" w:lineRule="exact"/>
        <w:rPr>
          <w:rFonts w:ascii="MS PGothic" w:cs="MS PGothic" w:eastAsia="MS PGothic" w:hAnsi="MS PGothic"/>
          <w:sz w:val="21"/>
          <w:szCs w:val="21"/>
          <w:color w:val="auto"/>
        </w:rPr>
      </w:pPr>
    </w:p>
    <w:p>
      <w:pPr>
        <w:ind w:left="1120" w:hanging="337"/>
        <w:spacing w:after="0"/>
        <w:tabs>
          <w:tab w:leader="none" w:pos="1120" w:val="left"/>
        </w:tabs>
        <w:numPr>
          <w:ilvl w:val="0"/>
          <w:numId w:val="3"/>
        </w:numPr>
        <w:rPr>
          <w:rFonts w:ascii="MS PGothic" w:cs="MS PGothic" w:eastAsia="MS PGothic" w:hAnsi="MS PGothic"/>
          <w:sz w:val="21"/>
          <w:szCs w:val="21"/>
          <w:color w:val="auto"/>
        </w:rPr>
      </w:pPr>
      <w:r>
        <w:rPr>
          <w:rFonts w:ascii="Arial" w:cs="Arial" w:eastAsia="Arial" w:hAnsi="Arial"/>
          <w:sz w:val="21"/>
          <w:szCs w:val="21"/>
          <w:color w:val="auto"/>
        </w:rPr>
        <w:t>Soliciting Material Pursuant to § 240.14a-12</w:t>
      </w:r>
    </w:p>
    <w:p>
      <w:pPr>
        <w:spacing w:after="0" w:line="198" w:lineRule="exact"/>
        <w:rPr>
          <w:sz w:val="24"/>
          <w:szCs w:val="24"/>
          <w:color w:val="auto"/>
        </w:rPr>
      </w:pPr>
    </w:p>
    <w:p>
      <w:pPr>
        <w:ind w:left="3060"/>
        <w:spacing w:after="0"/>
        <w:rPr>
          <w:sz w:val="20"/>
          <w:szCs w:val="20"/>
          <w:color w:val="auto"/>
        </w:rPr>
      </w:pPr>
      <w:r>
        <w:rPr>
          <w:rFonts w:ascii="Arial" w:cs="Arial" w:eastAsia="Arial" w:hAnsi="Arial"/>
          <w:sz w:val="31"/>
          <w:szCs w:val="31"/>
          <w:b w:val="1"/>
          <w:bCs w:val="1"/>
          <w:color w:val="auto"/>
        </w:rPr>
        <w:t>SOTERA HEALTH COMPANY</w:t>
      </w:r>
    </w:p>
    <w:p>
      <w:pPr>
        <w:spacing w:after="0" w:line="73" w:lineRule="exact"/>
        <w:rPr>
          <w:sz w:val="24"/>
          <w:szCs w:val="24"/>
          <w:color w:val="auto"/>
        </w:rPr>
      </w:pPr>
    </w:p>
    <w:p>
      <w:pPr>
        <w:ind w:left="3300"/>
        <w:spacing w:after="0"/>
        <w:rPr>
          <w:sz w:val="20"/>
          <w:szCs w:val="20"/>
          <w:color w:val="auto"/>
        </w:rPr>
      </w:pPr>
      <w:r>
        <w:rPr>
          <w:rFonts w:ascii="Arial" w:cs="Arial" w:eastAsia="Arial" w:hAnsi="Arial"/>
          <w:sz w:val="17"/>
          <w:szCs w:val="17"/>
          <w:b w:val="1"/>
          <w:bCs w:val="1"/>
          <w:color w:val="auto"/>
        </w:rPr>
        <w:t>(Name of Registrant as Specified In Its Charter)</w:t>
      </w:r>
      <w:r>
        <w:rPr>
          <w:rFonts w:ascii="Times New Roman" w:cs="Times New Roman" w:eastAsia="Times New Roman" w:hAnsi="Times New Roman"/>
          <w:sz w:val="31"/>
          <w:szCs w:val="31"/>
          <w:color w:val="auto"/>
        </w:rPr>
        <w:t>​</w:t>
      </w:r>
    </w:p>
    <w:p>
      <w:pPr>
        <w:spacing w:after="0" w:line="162" w:lineRule="exact"/>
        <w:rPr>
          <w:sz w:val="24"/>
          <w:szCs w:val="24"/>
          <w:color w:val="auto"/>
        </w:rPr>
      </w:pPr>
    </w:p>
    <w:p>
      <w:pPr>
        <w:ind w:left="780"/>
        <w:spacing w:after="0"/>
        <w:rPr>
          <w:sz w:val="20"/>
          <w:szCs w:val="20"/>
          <w:color w:val="auto"/>
        </w:rPr>
      </w:pPr>
      <w:r>
        <w:rPr>
          <w:rFonts w:ascii="Arial" w:cs="Arial" w:eastAsia="Arial" w:hAnsi="Arial"/>
          <w:sz w:val="21"/>
          <w:szCs w:val="21"/>
          <w:color w:val="auto"/>
        </w:rPr>
        <w:t>Payment of Filing Fee (Check the appropriate box):</w:t>
      </w:r>
    </w:p>
    <w:p>
      <w:pPr>
        <w:spacing w:after="0" w:line="213" w:lineRule="exact"/>
        <w:rPr>
          <w:sz w:val="24"/>
          <w:szCs w:val="24"/>
          <w:color w:val="auto"/>
        </w:rPr>
      </w:pPr>
    </w:p>
    <w:p>
      <w:pPr>
        <w:ind w:left="1120" w:hanging="337"/>
        <w:spacing w:after="0"/>
        <w:tabs>
          <w:tab w:leader="none" w:pos="1120" w:val="left"/>
        </w:tabs>
        <w:numPr>
          <w:ilvl w:val="0"/>
          <w:numId w:val="4"/>
        </w:numPr>
        <w:rPr>
          <w:rFonts w:ascii="MS PGothic" w:cs="MS PGothic" w:eastAsia="MS PGothic" w:hAnsi="MS PGothic"/>
          <w:sz w:val="21"/>
          <w:szCs w:val="21"/>
          <w:color w:val="auto"/>
        </w:rPr>
      </w:pPr>
      <w:r>
        <w:rPr>
          <w:rFonts w:ascii="Arial" w:cs="Arial" w:eastAsia="Arial" w:hAnsi="Arial"/>
          <w:sz w:val="21"/>
          <w:szCs w:val="21"/>
          <w:color w:val="auto"/>
        </w:rPr>
        <w:t>No fee required.</w:t>
      </w:r>
    </w:p>
    <w:p>
      <w:pPr>
        <w:spacing w:after="0" w:line="200" w:lineRule="exact"/>
        <w:rPr>
          <w:sz w:val="24"/>
          <w:szCs w:val="24"/>
          <w:color w:val="auto"/>
        </w:rPr>
      </w:pPr>
    </w:p>
    <w:p>
      <w:pPr>
        <w:ind w:left="1120" w:hanging="337"/>
        <w:spacing w:after="0"/>
        <w:tabs>
          <w:tab w:leader="none" w:pos="1120" w:val="left"/>
        </w:tabs>
        <w:numPr>
          <w:ilvl w:val="0"/>
          <w:numId w:val="5"/>
        </w:numPr>
        <w:rPr>
          <w:rFonts w:ascii="MS PGothic" w:cs="MS PGothic" w:eastAsia="MS PGothic" w:hAnsi="MS PGothic"/>
          <w:sz w:val="21"/>
          <w:szCs w:val="21"/>
          <w:color w:val="auto"/>
        </w:rPr>
      </w:pPr>
      <w:r>
        <w:rPr>
          <w:rFonts w:ascii="Arial" w:cs="Arial" w:eastAsia="Arial" w:hAnsi="Arial"/>
          <w:sz w:val="21"/>
          <w:szCs w:val="21"/>
          <w:color w:val="auto"/>
        </w:rPr>
        <w:t>Fee paid previously with preliminary materials.</w:t>
      </w:r>
    </w:p>
    <w:p>
      <w:pPr>
        <w:spacing w:after="0" w:line="212" w:lineRule="exact"/>
        <w:rPr>
          <w:rFonts w:ascii="MS PGothic" w:cs="MS PGothic" w:eastAsia="MS PGothic" w:hAnsi="MS PGothic"/>
          <w:sz w:val="21"/>
          <w:szCs w:val="21"/>
          <w:color w:val="auto"/>
        </w:rPr>
      </w:pPr>
    </w:p>
    <w:p>
      <w:pPr>
        <w:ind w:left="1120" w:hanging="337"/>
        <w:spacing w:after="0"/>
        <w:tabs>
          <w:tab w:leader="none" w:pos="1120" w:val="left"/>
        </w:tabs>
        <w:numPr>
          <w:ilvl w:val="0"/>
          <w:numId w:val="5"/>
        </w:numPr>
        <w:rPr>
          <w:rFonts w:ascii="MS PGothic" w:cs="MS PGothic" w:eastAsia="MS PGothic" w:hAnsi="MS PGothic"/>
          <w:sz w:val="19"/>
          <w:szCs w:val="19"/>
          <w:color w:val="auto"/>
        </w:rPr>
      </w:pPr>
      <w:r>
        <w:rPr>
          <w:rFonts w:ascii="Arial" w:cs="Arial" w:eastAsia="Arial" w:hAnsi="Arial"/>
          <w:sz w:val="19"/>
          <w:szCs w:val="19"/>
          <w:color w:val="auto"/>
        </w:rPr>
        <w:t>Fee computed on table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497205</wp:posOffset>
            </wp:positionH>
            <wp:positionV relativeFrom="paragraph">
              <wp:posOffset>182880</wp:posOffset>
            </wp:positionV>
            <wp:extent cx="5538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8470" cy="82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232410</wp:posOffset>
            </wp:positionV>
            <wp:extent cx="55384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8470" cy="165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1497330</wp:posOffset>
            </wp:positionV>
            <wp:extent cx="656971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197" w:right="1440" w:bottom="1440" w:gutter="0" w:footer="0" w:header="0"/>
        </w:sectPr>
      </w:pPr>
    </w:p>
    <w:bookmarkStart w:id="1" w:name="page2"/>
    <w:bookmarkEnd w:id="1"/>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6754495" cy="8691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4495" cy="8691880"/>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2" w:name="page3"/>
    <w:bookmarkEnd w:id="2"/>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6754495" cy="8691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4495" cy="8691880"/>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3" w:name="page4"/>
    <w:bookmarkEnd w:id="3"/>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6754495" cy="8691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54495" cy="8691880"/>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4" w:name="page5"/>
    <w:bookmarkEnd w:id="4"/>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6754495" cy="8691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54495" cy="8691880"/>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39" w:lineRule="exact"/>
        <w:rPr>
          <w:sz w:val="20"/>
          <w:szCs w:val="20"/>
          <w:color w:val="auto"/>
        </w:rPr>
      </w:pPr>
    </w:p>
    <w:p>
      <w:pPr>
        <w:jc w:val="right"/>
        <w:ind w:right="339"/>
        <w:spacing w:after="0"/>
        <w:rPr>
          <w:sz w:val="20"/>
          <w:szCs w:val="20"/>
          <w:color w:val="auto"/>
        </w:rPr>
      </w:pPr>
      <w:r>
        <w:rPr>
          <w:rFonts w:ascii="Arial" w:cs="Arial" w:eastAsia="Arial" w:hAnsi="Arial"/>
          <w:sz w:val="14"/>
          <w:szCs w:val="14"/>
          <w:color w:val="auto"/>
        </w:rPr>
        <w:t>Sotera Health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-97155</wp:posOffset>
            </wp:positionV>
            <wp:extent cx="1640205" cy="535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0205" cy="535940"/>
                    </a:xfrm>
                    <a:prstGeom prst="rect">
                      <a:avLst/>
                    </a:prstGeom>
                    <a:noFill/>
                  </pic:spPr>
                </pic:pic>
              </a:graphicData>
            </a:graphic>
          </wp:anchor>
        </w:drawing>
      </w:r>
    </w:p>
    <w:p>
      <w:pPr>
        <w:jc w:val="right"/>
        <w:ind w:right="339"/>
        <w:spacing w:after="0"/>
        <w:rPr>
          <w:sz w:val="20"/>
          <w:szCs w:val="20"/>
          <w:color w:val="auto"/>
        </w:rPr>
      </w:pPr>
      <w:r>
        <w:rPr>
          <w:rFonts w:ascii="Arial" w:cs="Arial" w:eastAsia="Arial" w:hAnsi="Arial"/>
          <w:sz w:val="14"/>
          <w:szCs w:val="14"/>
          <w:color w:val="auto"/>
        </w:rPr>
        <w:t>9100 South Hills Blvd, Suite 300</w:t>
      </w:r>
    </w:p>
    <w:p>
      <w:pPr>
        <w:spacing w:after="0" w:line="8" w:lineRule="exact"/>
        <w:rPr>
          <w:sz w:val="20"/>
          <w:szCs w:val="20"/>
          <w:color w:val="auto"/>
        </w:rPr>
      </w:pPr>
    </w:p>
    <w:p>
      <w:pPr>
        <w:jc w:val="right"/>
        <w:ind w:right="299"/>
        <w:spacing w:after="0"/>
        <w:rPr>
          <w:sz w:val="20"/>
          <w:szCs w:val="20"/>
          <w:color w:val="auto"/>
        </w:rPr>
      </w:pPr>
      <w:r>
        <w:rPr>
          <w:rFonts w:ascii="Arial" w:cs="Arial" w:eastAsia="Arial" w:hAnsi="Arial"/>
          <w:sz w:val="14"/>
          <w:szCs w:val="14"/>
          <w:color w:val="auto"/>
        </w:rPr>
        <w:t>Broadview Heights, Ohio 44147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80" w:right="2259"/>
        <w:spacing w:after="0" w:line="263" w:lineRule="auto"/>
        <w:rPr>
          <w:sz w:val="20"/>
          <w:szCs w:val="20"/>
          <w:color w:val="auto"/>
        </w:rPr>
      </w:pPr>
      <w:r>
        <w:rPr>
          <w:rFonts w:ascii="Arial" w:cs="Arial" w:eastAsia="Arial" w:hAnsi="Arial"/>
          <w:sz w:val="42"/>
          <w:szCs w:val="42"/>
          <w:b w:val="1"/>
          <w:bCs w:val="1"/>
          <w:color w:val="28B5DE"/>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-51435</wp:posOffset>
            </wp:positionV>
            <wp:extent cx="337820" cy="337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7820" cy="337820"/>
                    </a:xfrm>
                    <a:prstGeom prst="rect">
                      <a:avLst/>
                    </a:prstGeom>
                    <a:noFill/>
                  </pic:spPr>
                </pic:pic>
              </a:graphicData>
            </a:graphic>
          </wp:anchor>
        </w:drawing>
        <w:drawing>
          <wp:anchor simplePos="0" relativeHeight="251657728" behindDoc="1" locked="0" layoutInCell="0" allowOverlap="1">
            <wp:simplePos x="0" y="0"/>
            <wp:positionH relativeFrom="column">
              <wp:posOffset>3084830</wp:posOffset>
            </wp:positionH>
            <wp:positionV relativeFrom="paragraph">
              <wp:posOffset>-51435</wp:posOffset>
            </wp:positionV>
            <wp:extent cx="362585" cy="3295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585" cy="329565"/>
                    </a:xfrm>
                    <a:prstGeom prst="rect">
                      <a:avLst/>
                    </a:prstGeom>
                    <a:noFill/>
                  </pic:spPr>
                </pic:pic>
              </a:graphicData>
            </a:graphic>
          </wp:anchor>
        </w:drawing>
        <w:drawing>
          <wp:anchor simplePos="0" relativeHeight="251657728" behindDoc="1" locked="0" layoutInCell="0" allowOverlap="1">
            <wp:simplePos x="0" y="0"/>
            <wp:positionH relativeFrom="column">
              <wp:posOffset>5211445</wp:posOffset>
            </wp:positionH>
            <wp:positionV relativeFrom="paragraph">
              <wp:posOffset>-51435</wp:posOffset>
            </wp:positionV>
            <wp:extent cx="337820" cy="337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7820" cy="33782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1260"/>
        <w:spacing w:after="0"/>
        <w:tabs>
          <w:tab w:leader="none" w:pos="4900" w:val="left"/>
        </w:tabs>
        <w:rPr>
          <w:sz w:val="20"/>
          <w:szCs w:val="20"/>
          <w:color w:val="auto"/>
        </w:rPr>
      </w:pPr>
      <w:r>
        <w:rPr>
          <w:rFonts w:ascii="Arial" w:cs="Arial" w:eastAsia="Arial" w:hAnsi="Arial"/>
          <w:sz w:val="17"/>
          <w:szCs w:val="17"/>
          <w:b w:val="1"/>
          <w:bCs w:val="1"/>
          <w:color w:val="28B5DE"/>
        </w:rPr>
        <w:t>Time and Date</w:t>
      </w:r>
      <w:r>
        <w:rPr>
          <w:sz w:val="20"/>
          <w:szCs w:val="20"/>
          <w:color w:val="auto"/>
        </w:rPr>
        <w:tab/>
      </w:r>
      <w:r>
        <w:rPr>
          <w:rFonts w:ascii="Arial" w:cs="Arial" w:eastAsia="Arial" w:hAnsi="Arial"/>
          <w:sz w:val="16"/>
          <w:szCs w:val="16"/>
          <w:b w:val="1"/>
          <w:bCs w:val="1"/>
          <w:color w:val="28B5DE"/>
        </w:rPr>
        <w:t>Place</w:t>
      </w:r>
    </w:p>
    <w:p>
      <w:pPr>
        <w:spacing w:after="0" w:line="113"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2280" w:type="dxa"/>
            <w:vAlign w:val="bottom"/>
          </w:tcPr>
          <w:p>
            <w:pPr>
              <w:spacing w:after="0"/>
              <w:rPr>
                <w:sz w:val="20"/>
                <w:szCs w:val="20"/>
                <w:color w:val="auto"/>
              </w:rPr>
            </w:pPr>
            <w:r>
              <w:rPr>
                <w:rFonts w:ascii="Arial" w:cs="Arial" w:eastAsia="Arial" w:hAnsi="Arial"/>
                <w:sz w:val="19"/>
                <w:szCs w:val="19"/>
                <w:b w:val="1"/>
                <w:bCs w:val="1"/>
                <w:color w:val="auto"/>
                <w:w w:val="97"/>
              </w:rPr>
              <w:t>Wednesday, May 21, 2025</w:t>
            </w:r>
            <w:r>
              <w:rPr>
                <w:rFonts w:ascii="Arial" w:cs="Arial" w:eastAsia="Arial" w:hAnsi="Arial"/>
                <w:sz w:val="17"/>
                <w:szCs w:val="17"/>
                <w:color w:val="auto"/>
                <w:w w:val="97"/>
              </w:rPr>
              <w:t>​</w:t>
            </w:r>
          </w:p>
        </w:tc>
        <w:tc>
          <w:tcPr>
            <w:tcW w:w="4100" w:type="dxa"/>
            <w:vAlign w:val="bottom"/>
          </w:tcPr>
          <w:p>
            <w:pPr>
              <w:ind w:left="1800"/>
              <w:spacing w:after="0"/>
              <w:rPr>
                <w:sz w:val="20"/>
                <w:szCs w:val="20"/>
                <w:color w:val="auto"/>
              </w:rPr>
            </w:pPr>
            <w:r>
              <w:rPr>
                <w:rFonts w:ascii="Arial" w:cs="Arial" w:eastAsia="Arial" w:hAnsi="Arial"/>
                <w:sz w:val="19"/>
                <w:szCs w:val="19"/>
                <w:b w:val="1"/>
                <w:bCs w:val="1"/>
                <w:color w:val="auto"/>
              </w:rPr>
              <w:t>Virtual</w:t>
            </w:r>
            <w:r>
              <w:rPr>
                <w:rFonts w:ascii="Arial" w:cs="Arial" w:eastAsia="Arial" w:hAnsi="Arial"/>
                <w:sz w:val="17"/>
                <w:szCs w:val="17"/>
                <w:color w:val="auto"/>
              </w:rPr>
              <w:t>​</w:t>
            </w:r>
          </w:p>
        </w:tc>
      </w:tr>
      <w:tr>
        <w:trPr>
          <w:trHeight w:val="208"/>
        </w:trPr>
        <w:tc>
          <w:tcPr>
            <w:tcW w:w="2280" w:type="dxa"/>
            <w:vAlign w:val="bottom"/>
          </w:tcPr>
          <w:p>
            <w:pPr>
              <w:jc w:val="center"/>
              <w:ind w:right="114"/>
              <w:spacing w:after="0"/>
              <w:rPr>
                <w:sz w:val="20"/>
                <w:szCs w:val="20"/>
                <w:color w:val="auto"/>
              </w:rPr>
            </w:pPr>
            <w:r>
              <w:rPr>
                <w:rFonts w:ascii="Arial" w:cs="Arial" w:eastAsia="Arial" w:hAnsi="Arial"/>
                <w:sz w:val="16"/>
                <w:szCs w:val="16"/>
                <w:color w:val="auto"/>
                <w:w w:val="97"/>
              </w:rPr>
              <w:t>9:00 a.m., Eastern Daylight</w:t>
            </w:r>
          </w:p>
        </w:tc>
        <w:tc>
          <w:tcPr>
            <w:tcW w:w="4100" w:type="dxa"/>
            <w:vAlign w:val="bottom"/>
          </w:tcPr>
          <w:p>
            <w:pPr>
              <w:spacing w:after="0"/>
              <w:rPr>
                <w:sz w:val="20"/>
                <w:szCs w:val="20"/>
                <w:color w:val="auto"/>
              </w:rPr>
            </w:pPr>
            <w:r>
              <w:rPr>
                <w:rFonts w:ascii="Arial" w:cs="Arial" w:eastAsia="Arial" w:hAnsi="Arial"/>
                <w:sz w:val="16"/>
                <w:szCs w:val="16"/>
                <w:color w:val="auto"/>
              </w:rPr>
              <w:t>The 2025 Annual Meeting of Stockholders (the “Annual</w:t>
            </w:r>
          </w:p>
        </w:tc>
      </w:tr>
      <w:tr>
        <w:trPr>
          <w:trHeight w:val="195"/>
        </w:trPr>
        <w:tc>
          <w:tcPr>
            <w:tcW w:w="2280" w:type="dxa"/>
            <w:vAlign w:val="bottom"/>
          </w:tcPr>
          <w:p>
            <w:pPr>
              <w:jc w:val="center"/>
              <w:ind w:right="94"/>
              <w:spacing w:after="0"/>
              <w:rPr>
                <w:sz w:val="20"/>
                <w:szCs w:val="20"/>
                <w:color w:val="auto"/>
              </w:rPr>
            </w:pPr>
            <w:r>
              <w:rPr>
                <w:rFonts w:ascii="Arial" w:cs="Arial" w:eastAsia="Arial" w:hAnsi="Arial"/>
                <w:sz w:val="16"/>
                <w:szCs w:val="16"/>
                <w:color w:val="auto"/>
                <w:w w:val="95"/>
              </w:rPr>
              <w:t>Time</w:t>
            </w:r>
          </w:p>
        </w:tc>
        <w:tc>
          <w:tcPr>
            <w:tcW w:w="4100" w:type="dxa"/>
            <w:vAlign w:val="bottom"/>
          </w:tcPr>
          <w:p>
            <w:pPr>
              <w:spacing w:after="0"/>
              <w:rPr>
                <w:sz w:val="20"/>
                <w:szCs w:val="20"/>
                <w:color w:val="auto"/>
              </w:rPr>
            </w:pPr>
            <w:r>
              <w:rPr>
                <w:rFonts w:ascii="Arial" w:cs="Arial" w:eastAsia="Arial" w:hAnsi="Arial"/>
                <w:sz w:val="16"/>
                <w:szCs w:val="16"/>
                <w:color w:val="auto"/>
                <w:w w:val="99"/>
              </w:rPr>
              <w:t>Meeting”) will be held through a virtual meeting platform at</w:t>
            </w:r>
          </w:p>
        </w:tc>
      </w:tr>
      <w:tr>
        <w:trPr>
          <w:trHeight w:val="195"/>
        </w:trPr>
        <w:tc>
          <w:tcPr>
            <w:tcW w:w="228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color w:val="auto"/>
                <w:w w:val="96"/>
              </w:rPr>
              <w:t>www.virtualshareholdermeeting.com/SHC2025. You will not</w:t>
            </w:r>
          </w:p>
        </w:tc>
      </w:tr>
      <w:tr>
        <w:trPr>
          <w:trHeight w:val="208"/>
        </w:trPr>
        <w:tc>
          <w:tcPr>
            <w:tcW w:w="22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6"/>
                <w:szCs w:val="16"/>
                <w:color w:val="auto"/>
                <w:w w:val="98"/>
              </w:rPr>
              <w:t>be able to attend the Annual Meeting in person, but we are</w:t>
            </w:r>
          </w:p>
        </w:tc>
      </w:tr>
      <w:tr>
        <w:trPr>
          <w:trHeight w:val="195"/>
        </w:trPr>
        <w:tc>
          <w:tcPr>
            <w:tcW w:w="228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color w:val="auto"/>
                <w:w w:val="99"/>
              </w:rPr>
              <w:t>committed to affording shareholders who attend the virtual</w:t>
            </w:r>
          </w:p>
        </w:tc>
      </w:tr>
      <w:tr>
        <w:trPr>
          <w:trHeight w:val="195"/>
        </w:trPr>
        <w:tc>
          <w:tcPr>
            <w:tcW w:w="228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color w:val="auto"/>
                <w:w w:val="98"/>
              </w:rPr>
              <w:t>meeting the same rights and opportunities to participate as</w:t>
            </w:r>
          </w:p>
        </w:tc>
      </w:tr>
      <w:tr>
        <w:trPr>
          <w:trHeight w:val="208"/>
        </w:trPr>
        <w:tc>
          <w:tcPr>
            <w:tcW w:w="22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6"/>
                <w:szCs w:val="16"/>
                <w:color w:val="auto"/>
                <w:w w:val="96"/>
              </w:rPr>
              <w:t>they would be afforded at an in-person meeting. Please see</w:t>
            </w:r>
          </w:p>
        </w:tc>
      </w:tr>
      <w:tr>
        <w:trPr>
          <w:trHeight w:val="195"/>
        </w:trPr>
        <w:tc>
          <w:tcPr>
            <w:tcW w:w="2280" w:type="dxa"/>
            <w:vAlign w:val="bottom"/>
          </w:tcPr>
          <w:p>
            <w:pPr>
              <w:spacing w:after="0"/>
              <w:rPr>
                <w:sz w:val="16"/>
                <w:szCs w:val="16"/>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“Virtual Annual Meeting” on page 2 for additional</w:t>
            </w:r>
          </w:p>
        </w:tc>
      </w:tr>
      <w:tr>
        <w:trPr>
          <w:trHeight w:val="217"/>
        </w:trPr>
        <w:tc>
          <w:tcPr>
            <w:tcW w:w="22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6"/>
                <w:szCs w:val="16"/>
                <w:color w:val="auto"/>
              </w:rPr>
              <w:t>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107315</wp:posOffset>
            </wp:positionV>
            <wp:extent cx="5538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28B5DE"/>
        </w:rPr>
        <w:t>Record Date</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9"/>
          <w:szCs w:val="19"/>
          <w:b w:val="1"/>
          <w:bCs w:val="1"/>
          <w:color w:val="auto"/>
        </w:rPr>
        <w:t>March 28, 2025</w:t>
      </w:r>
      <w:r>
        <w:rPr>
          <w:rFonts w:ascii="Arial" w:cs="Arial" w:eastAsia="Arial" w:hAnsi="Arial"/>
          <w:sz w:val="17"/>
          <w:szCs w:val="17"/>
          <w:color w:val="auto"/>
        </w:rPr>
        <w:t>​</w:t>
      </w:r>
    </w:p>
    <w:p>
      <w:pPr>
        <w:spacing w:after="0" w:line="18" w:lineRule="exact"/>
        <w:rPr>
          <w:sz w:val="20"/>
          <w:szCs w:val="20"/>
          <w:color w:val="auto"/>
        </w:rPr>
      </w:pPr>
    </w:p>
    <w:p>
      <w:pPr>
        <w:ind w:right="259"/>
        <w:spacing w:after="0" w:line="289" w:lineRule="auto"/>
        <w:rPr>
          <w:sz w:val="20"/>
          <w:szCs w:val="20"/>
          <w:color w:val="auto"/>
        </w:rPr>
      </w:pPr>
      <w:r>
        <w:rPr>
          <w:rFonts w:ascii="Arial" w:cs="Arial" w:eastAsia="Arial" w:hAnsi="Arial"/>
          <w:sz w:val="15"/>
          <w:szCs w:val="15"/>
          <w:color w:val="auto"/>
        </w:rPr>
        <w:t>Only shareholders of record at the close of business on the Record Date are entitled to receive notice of, and vote at, the Annual Meeting.</w:t>
      </w:r>
    </w:p>
    <w:p>
      <w:pPr>
        <w:spacing w:after="0" w:line="958" w:lineRule="exact"/>
        <w:rPr>
          <w:sz w:val="20"/>
          <w:szCs w:val="20"/>
          <w:color w:val="auto"/>
        </w:rPr>
      </w:pPr>
    </w:p>
    <w:p>
      <w:pPr>
        <w:sectPr>
          <w:pgSz w:w="11900" w:h="16838" w:orient="portrait"/>
          <w:cols w:equalWidth="0" w:num="2">
            <w:col w:w="7160" w:space="260"/>
            <w:col w:w="2239"/>
          </w:cols>
          <w:pgMar w:left="800" w:top="93" w:right="1440" w:bottom="1440" w:gutter="0" w:footer="0" w:header="0"/>
          <w:type w:val="continuous"/>
        </w:sectPr>
      </w:pPr>
    </w:p>
    <w:p>
      <w:pPr>
        <w:spacing w:after="0" w:line="25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Proposals</w:t>
      </w:r>
    </w:p>
    <w:p>
      <w:pPr>
        <w:spacing w:after="0" w:line="111" w:lineRule="exact"/>
        <w:rPr>
          <w:sz w:val="20"/>
          <w:szCs w:val="20"/>
          <w:color w:val="auto"/>
        </w:rPr>
      </w:pPr>
    </w:p>
    <w:p>
      <w:pPr>
        <w:ind w:left="1480" w:right="239" w:hanging="351"/>
        <w:spacing w:after="0" w:line="264" w:lineRule="auto"/>
        <w:tabs>
          <w:tab w:leader="none" w:pos="1480" w:val="left"/>
        </w:tabs>
        <w:numPr>
          <w:ilvl w:val="0"/>
          <w:numId w:val="6"/>
        </w:numPr>
        <w:rPr>
          <w:rFonts w:ascii="Arial" w:cs="Arial" w:eastAsia="Arial" w:hAnsi="Arial"/>
          <w:sz w:val="21"/>
          <w:szCs w:val="21"/>
          <w:color w:val="28B5DE"/>
        </w:rPr>
      </w:pPr>
      <w:r>
        <w:rPr>
          <w:rFonts w:ascii="Arial" w:cs="Arial" w:eastAsia="Arial" w:hAnsi="Arial"/>
          <w:sz w:val="21"/>
          <w:szCs w:val="21"/>
          <w:color w:val="auto"/>
        </w:rPr>
        <w:t>To elect Ruoxi Chen, Karen A. Flynn and Ann R. Klee as our Class II directors to our Board, each to serve a three-year term ending in 2028.</w:t>
      </w:r>
    </w:p>
    <w:p>
      <w:pPr>
        <w:ind w:left="1480" w:hanging="351"/>
        <w:spacing w:after="0"/>
        <w:tabs>
          <w:tab w:leader="none" w:pos="1480" w:val="left"/>
        </w:tabs>
        <w:numPr>
          <w:ilvl w:val="0"/>
          <w:numId w:val="6"/>
        </w:numPr>
        <w:rPr>
          <w:rFonts w:ascii="Arial" w:cs="Arial" w:eastAsia="Arial" w:hAnsi="Arial"/>
          <w:sz w:val="21"/>
          <w:szCs w:val="21"/>
          <w:color w:val="28B5DE"/>
        </w:rPr>
      </w:pPr>
      <w:r>
        <w:rPr>
          <w:rFonts w:ascii="Arial" w:cs="Arial" w:eastAsia="Arial" w:hAnsi="Arial"/>
          <w:sz w:val="21"/>
          <w:szCs w:val="21"/>
          <w:color w:val="auto"/>
        </w:rPr>
        <w:t>To approve, on an advisory basis, the compensation of our named executive officers.</w:t>
      </w:r>
    </w:p>
    <w:p>
      <w:pPr>
        <w:spacing w:after="0" w:line="57" w:lineRule="exact"/>
        <w:rPr>
          <w:rFonts w:ascii="Arial" w:cs="Arial" w:eastAsia="Arial" w:hAnsi="Arial"/>
          <w:sz w:val="21"/>
          <w:szCs w:val="21"/>
          <w:color w:val="28B5DE"/>
        </w:rPr>
      </w:pPr>
    </w:p>
    <w:p>
      <w:pPr>
        <w:ind w:left="1480" w:right="879" w:hanging="351"/>
        <w:spacing w:after="0" w:line="264" w:lineRule="auto"/>
        <w:tabs>
          <w:tab w:leader="none" w:pos="1480" w:val="left"/>
        </w:tabs>
        <w:numPr>
          <w:ilvl w:val="0"/>
          <w:numId w:val="6"/>
        </w:numPr>
        <w:rPr>
          <w:rFonts w:ascii="Arial" w:cs="Arial" w:eastAsia="Arial" w:hAnsi="Arial"/>
          <w:sz w:val="21"/>
          <w:szCs w:val="21"/>
          <w:color w:val="28B5DE"/>
        </w:rPr>
      </w:pPr>
      <w:r>
        <w:rPr>
          <w:rFonts w:ascii="Arial" w:cs="Arial" w:eastAsia="Arial" w:hAnsi="Arial"/>
          <w:sz w:val="21"/>
          <w:szCs w:val="21"/>
          <w:color w:val="auto"/>
        </w:rPr>
        <w:t>To ratify the appointment of Ernst &amp; Young LLP as our independent registered public accounting firm for the fiscal year ending December 31, 2025.</w:t>
      </w:r>
    </w:p>
    <w:p>
      <w:pPr>
        <w:ind w:left="1480" w:right="459" w:hanging="351"/>
        <w:spacing w:after="0" w:line="277" w:lineRule="auto"/>
        <w:tabs>
          <w:tab w:leader="none" w:pos="1480" w:val="left"/>
        </w:tabs>
        <w:numPr>
          <w:ilvl w:val="0"/>
          <w:numId w:val="6"/>
        </w:numPr>
        <w:rPr>
          <w:rFonts w:ascii="Arial" w:cs="Arial" w:eastAsia="Arial" w:hAnsi="Arial"/>
          <w:sz w:val="21"/>
          <w:szCs w:val="21"/>
          <w:color w:val="28B5DE"/>
        </w:rPr>
      </w:pPr>
      <w:r>
        <w:rPr>
          <w:rFonts w:ascii="Arial" w:cs="Arial" w:eastAsia="Arial" w:hAnsi="Arial"/>
          <w:sz w:val="21"/>
          <w:szCs w:val="21"/>
          <w:color w:val="auto"/>
        </w:rPr>
        <w:t>To transact any other business that may properly come before the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25400</wp:posOffset>
            </wp:positionV>
            <wp:extent cx="5538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110" w:lineRule="exact"/>
        <w:rPr>
          <w:sz w:val="20"/>
          <w:szCs w:val="20"/>
          <w:color w:val="auto"/>
        </w:rPr>
      </w:pPr>
    </w:p>
    <w:p>
      <w:pPr>
        <w:ind w:left="780" w:right="239"/>
        <w:spacing w:after="0" w:line="270" w:lineRule="auto"/>
        <w:rPr>
          <w:sz w:val="20"/>
          <w:szCs w:val="20"/>
          <w:color w:val="auto"/>
        </w:rPr>
      </w:pPr>
      <w:r>
        <w:rPr>
          <w:rFonts w:ascii="Arial" w:cs="Arial" w:eastAsia="Arial" w:hAnsi="Arial"/>
          <w:sz w:val="19"/>
          <w:szCs w:val="19"/>
          <w:color w:val="auto"/>
        </w:rPr>
        <w:t xml:space="preserve">Our Board recommends you vote (1) </w:t>
      </w:r>
      <w:r>
        <w:rPr>
          <w:rFonts w:ascii="Arial" w:cs="Arial" w:eastAsia="Arial" w:hAnsi="Arial"/>
          <w:sz w:val="19"/>
          <w:szCs w:val="19"/>
          <w:b w:val="1"/>
          <w:bCs w:val="1"/>
          <w:color w:val="auto"/>
        </w:rPr>
        <w:t>FOR</w:t>
      </w:r>
      <w:r>
        <w:rPr>
          <w:rFonts w:ascii="Arial" w:cs="Arial" w:eastAsia="Arial" w:hAnsi="Arial"/>
          <w:sz w:val="19"/>
          <w:szCs w:val="19"/>
          <w:color w:val="auto"/>
        </w:rPr>
        <w:t xml:space="preserve"> the election of the three nominees for directors named in this Proxy Statement, (2) </w:t>
      </w:r>
      <w:r>
        <w:rPr>
          <w:rFonts w:ascii="Arial" w:cs="Arial" w:eastAsia="Arial" w:hAnsi="Arial"/>
          <w:sz w:val="19"/>
          <w:szCs w:val="19"/>
          <w:b w:val="1"/>
          <w:bCs w:val="1"/>
          <w:color w:val="auto"/>
        </w:rPr>
        <w:t>FOR</w:t>
      </w:r>
      <w:r>
        <w:rPr>
          <w:rFonts w:ascii="Arial" w:cs="Arial" w:eastAsia="Arial" w:hAnsi="Arial"/>
          <w:sz w:val="19"/>
          <w:szCs w:val="19"/>
          <w:color w:val="auto"/>
        </w:rPr>
        <w:t xml:space="preserve"> the approval, on an advisory basis, of the compensation of our named executive officers, and (3) </w:t>
      </w:r>
      <w:r>
        <w:rPr>
          <w:rFonts w:ascii="Arial" w:cs="Arial" w:eastAsia="Arial" w:hAnsi="Arial"/>
          <w:sz w:val="19"/>
          <w:szCs w:val="19"/>
          <w:b w:val="1"/>
          <w:bCs w:val="1"/>
          <w:color w:val="auto"/>
        </w:rPr>
        <w:t>FOR</w:t>
      </w:r>
      <w:r>
        <w:rPr>
          <w:rFonts w:ascii="Arial" w:cs="Arial" w:eastAsia="Arial" w:hAnsi="Arial"/>
          <w:sz w:val="19"/>
          <w:szCs w:val="19"/>
          <w:color w:val="auto"/>
        </w:rPr>
        <w:t xml:space="preserve"> the ratification of the appointment of Ernst &amp; Young LLP as our independent registered public accounting firm for the fiscal year ending December 31, 2025.</w:t>
      </w:r>
    </w:p>
    <w:p>
      <w:pPr>
        <w:spacing w:after="0" w:line="3" w:lineRule="exact"/>
        <w:rPr>
          <w:sz w:val="20"/>
          <w:szCs w:val="20"/>
          <w:color w:val="auto"/>
        </w:rPr>
      </w:pPr>
    </w:p>
    <w:p>
      <w:pPr>
        <w:ind w:left="780" w:right="159"/>
        <w:spacing w:after="0" w:line="236" w:lineRule="auto"/>
        <w:rPr>
          <w:sz w:val="20"/>
          <w:szCs w:val="20"/>
          <w:color w:val="auto"/>
        </w:rPr>
      </w:pPr>
      <w:r>
        <w:rPr>
          <w:rFonts w:ascii="Arial" w:cs="Arial" w:eastAsia="Arial" w:hAnsi="Arial"/>
          <w:sz w:val="21"/>
          <w:szCs w:val="21"/>
          <w:b w:val="1"/>
          <w:bCs w:val="1"/>
          <w:color w:val="auto"/>
        </w:rPr>
        <w:t xml:space="preserve">Your vote is important to us. </w:t>
      </w:r>
      <w:r>
        <w:rPr>
          <w:rFonts w:ascii="Arial" w:cs="Arial" w:eastAsia="Arial" w:hAnsi="Arial"/>
          <w:sz w:val="21"/>
          <w:szCs w:val="21"/>
          <w:color w:val="auto"/>
        </w:rPr>
        <w:t>You may vote via the internet or by telephone, or if you requested to</w:t>
      </w:r>
      <w:r>
        <w:rPr>
          <w:rFonts w:ascii="Arial" w:cs="Arial" w:eastAsia="Arial" w:hAnsi="Arial"/>
          <w:sz w:val="21"/>
          <w:szCs w:val="21"/>
          <w:b w:val="1"/>
          <w:bCs w:val="1"/>
          <w:color w:val="auto"/>
        </w:rPr>
        <w:t xml:space="preserve"> </w:t>
      </w:r>
      <w:r>
        <w:rPr>
          <w:rFonts w:ascii="Arial" w:cs="Arial" w:eastAsia="Arial" w:hAnsi="Arial"/>
          <w:sz w:val="21"/>
          <w:szCs w:val="21"/>
          <w:color w:val="auto"/>
        </w:rPr>
        <w:t>receive printed proxy materials, by signing, dating and returning your proxy card. If you are voting via the internet or by telephone, your vote must be received by 11:59 p.m., Eastern Daylight Time, on Tuesday, May 20, 2025. For specific voting instructions, please refer to the information provided in this Proxy Statement, together with your proxy card or the voting instructions you receive by e-mail or that are provided via the internet. If you received only a Notice of Internet Availability of Proxy Materials (“Notice of Internet Availability”) but you prefer a paper copy of the proxy materials to vote by mail, the Notice of Internet Availability includes instructions on how to request a paper copy of the proxy materials.</w:t>
      </w:r>
    </w:p>
    <w:p>
      <w:pPr>
        <w:spacing w:after="0" w:line="69" w:lineRule="exact"/>
        <w:rPr>
          <w:sz w:val="20"/>
          <w:szCs w:val="20"/>
          <w:color w:val="auto"/>
        </w:rPr>
      </w:pPr>
    </w:p>
    <w:p>
      <w:pPr>
        <w:ind w:left="780" w:right="479"/>
        <w:spacing w:after="0" w:line="289" w:lineRule="auto"/>
        <w:rPr>
          <w:sz w:val="20"/>
          <w:szCs w:val="20"/>
          <w:color w:val="auto"/>
        </w:rPr>
      </w:pPr>
      <w:r>
        <w:rPr>
          <w:rFonts w:ascii="Arial" w:cs="Arial" w:eastAsia="Arial" w:hAnsi="Arial"/>
          <w:sz w:val="20"/>
          <w:szCs w:val="20"/>
          <w:color w:val="auto"/>
        </w:rPr>
        <w:t>Whether or not you plan to attend the Annual Meeting online, we encourage you to promptly vote and submit your proxy via the internet, by telephone or mail in advance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5538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3847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600075</wp:posOffset>
            </wp:positionV>
            <wp:extent cx="656971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90" w:lineRule="exact"/>
        <w:rPr>
          <w:sz w:val="20"/>
          <w:szCs w:val="20"/>
          <w:color w:val="auto"/>
        </w:rPr>
      </w:pPr>
    </w:p>
    <w:p>
      <w:pPr>
        <w:ind w:left="780"/>
        <w:spacing w:after="0"/>
        <w:rPr>
          <w:sz w:val="20"/>
          <w:szCs w:val="20"/>
          <w:color w:val="auto"/>
        </w:rPr>
      </w:pPr>
      <w:r>
        <w:rPr>
          <w:rFonts w:ascii="Arial" w:cs="Arial" w:eastAsia="Arial" w:hAnsi="Arial"/>
          <w:sz w:val="21"/>
          <w:szCs w:val="2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60960</wp:posOffset>
            </wp:positionV>
            <wp:extent cx="1681480" cy="626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14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80"/>
        <w:spacing w:after="0"/>
        <w:rPr>
          <w:sz w:val="20"/>
          <w:szCs w:val="20"/>
          <w:color w:val="auto"/>
        </w:rPr>
      </w:pPr>
      <w:r>
        <w:rPr>
          <w:rFonts w:ascii="Arial" w:cs="Arial" w:eastAsia="Arial" w:hAnsi="Arial"/>
          <w:sz w:val="21"/>
          <w:szCs w:val="21"/>
          <w:b w:val="1"/>
          <w:bCs w:val="1"/>
          <w:color w:val="auto"/>
        </w:rPr>
        <w:t>Erika Ostrowski</w:t>
      </w:r>
    </w:p>
    <w:p>
      <w:pPr>
        <w:spacing w:after="0" w:line="12" w:lineRule="exact"/>
        <w:rPr>
          <w:sz w:val="20"/>
          <w:szCs w:val="20"/>
          <w:color w:val="auto"/>
        </w:rPr>
      </w:pPr>
    </w:p>
    <w:p>
      <w:pPr>
        <w:ind w:left="780"/>
        <w:spacing w:after="0"/>
        <w:rPr>
          <w:sz w:val="20"/>
          <w:szCs w:val="20"/>
          <w:color w:val="auto"/>
        </w:rPr>
      </w:pPr>
      <w:r>
        <w:rPr>
          <w:rFonts w:ascii="Arial" w:cs="Arial" w:eastAsia="Arial" w:hAnsi="Arial"/>
          <w:sz w:val="21"/>
          <w:szCs w:val="21"/>
          <w:color w:val="auto"/>
        </w:rPr>
        <w:t>Corporate Secretary</w:t>
      </w:r>
    </w:p>
    <w:p>
      <w:pPr>
        <w:spacing w:after="0" w:line="76" w:lineRule="exact"/>
        <w:rPr>
          <w:sz w:val="20"/>
          <w:szCs w:val="20"/>
          <w:color w:val="auto"/>
        </w:rPr>
      </w:pPr>
    </w:p>
    <w:p>
      <w:pPr>
        <w:ind w:left="780"/>
        <w:spacing w:after="0"/>
        <w:rPr>
          <w:sz w:val="20"/>
          <w:szCs w:val="20"/>
          <w:color w:val="auto"/>
        </w:rPr>
      </w:pPr>
      <w:r>
        <w:rPr>
          <w:rFonts w:ascii="Arial" w:cs="Arial" w:eastAsia="Arial" w:hAnsi="Arial"/>
          <w:sz w:val="21"/>
          <w:szCs w:val="21"/>
          <w:color w:val="auto"/>
        </w:rPr>
        <w:t>April 10, 2025</w:t>
      </w:r>
    </w:p>
    <w:p>
      <w:pPr>
        <w:spacing w:after="0" w:line="83" w:lineRule="exact"/>
        <w:rPr>
          <w:sz w:val="20"/>
          <w:szCs w:val="20"/>
          <w:color w:val="auto"/>
        </w:rPr>
      </w:pPr>
    </w:p>
    <w:p>
      <w:pPr>
        <w:ind w:left="1120" w:right="239"/>
        <w:spacing w:after="0"/>
        <w:rPr>
          <w:sz w:val="20"/>
          <w:szCs w:val="20"/>
          <w:color w:val="auto"/>
        </w:rPr>
      </w:pPr>
      <w:r>
        <w:rPr>
          <w:rFonts w:ascii="Arial" w:cs="Arial" w:eastAsia="Arial" w:hAnsi="Arial"/>
          <w:sz w:val="21"/>
          <w:szCs w:val="21"/>
          <w:b w:val="1"/>
          <w:bCs w:val="1"/>
          <w:color w:val="435F86"/>
        </w:rPr>
        <w:t xml:space="preserve">Important Notice Regarding the Availability of Proxy Materials for the Annual Meeting to Be Held on May 21, 2025. </w:t>
      </w:r>
      <w:r>
        <w:rPr>
          <w:rFonts w:ascii="Arial" w:cs="Arial" w:eastAsia="Arial" w:hAnsi="Arial"/>
          <w:sz w:val="21"/>
          <w:szCs w:val="21"/>
          <w:color w:val="000000"/>
        </w:rPr>
        <w:t>Our Proxy Statement and Annual Report to Stockholders are being</w:t>
      </w:r>
      <w:r>
        <w:rPr>
          <w:rFonts w:ascii="Arial" w:cs="Arial" w:eastAsia="Arial" w:hAnsi="Arial"/>
          <w:sz w:val="21"/>
          <w:szCs w:val="21"/>
          <w:b w:val="1"/>
          <w:bCs w:val="1"/>
          <w:color w:val="435F86"/>
        </w:rPr>
        <w:t xml:space="preserve"> </w:t>
      </w:r>
      <w:r>
        <w:rPr>
          <w:rFonts w:ascii="Arial" w:cs="Arial" w:eastAsia="Arial" w:hAnsi="Arial"/>
          <w:sz w:val="21"/>
          <w:szCs w:val="21"/>
          <w:color w:val="000000"/>
        </w:rPr>
        <w:t>made available on or about April 10, 2025 at www.proxyvote.com. We are providing access to our proxy materials over the internet under the rules adopted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5880100</wp:posOffset>
            </wp:positionV>
            <wp:extent cx="656971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TABLE OF CONTENTS</w:t>
      </w:r>
    </w:p>
    <w:p>
      <w:pPr>
        <w:spacing w:after="0" w:line="272" w:lineRule="exact"/>
        <w:rPr>
          <w:sz w:val="20"/>
          <w:szCs w:val="20"/>
          <w:color w:val="auto"/>
        </w:rPr>
      </w:pPr>
    </w:p>
    <w:tbl>
      <w:tblPr>
        <w:tblLayout w:type="fixed"/>
        <w:tblInd w:w="780" w:type="dxa"/>
        <w:tblCellMar>
          <w:top w:w="0" w:type="dxa"/>
          <w:left w:w="0" w:type="dxa"/>
          <w:bottom w:w="0" w:type="dxa"/>
          <w:right w:w="0" w:type="dxa"/>
        </w:tblCellMar>
      </w:tblPr>
      <w:tr>
        <w:trPr>
          <w:trHeight w:val="337"/>
        </w:trPr>
        <w:tc>
          <w:tcPr>
            <w:tcW w:w="8220" w:type="dxa"/>
            <w:vAlign w:val="bottom"/>
            <w:gridSpan w:val="20"/>
            <w:shd w:val="clear" w:color="auto" w:fill="CCEEFF"/>
          </w:tcPr>
          <w:p>
            <w:pPr>
              <w:spacing w:after="0"/>
              <w:rPr>
                <w:sz w:val="20"/>
                <w:szCs w:val="20"/>
                <w:color w:val="auto"/>
              </w:rPr>
            </w:pPr>
            <w:r>
              <w:rPr>
                <w:rFonts w:ascii="Arial" w:cs="Arial" w:eastAsia="Arial" w:hAnsi="Arial"/>
                <w:sz w:val="21"/>
                <w:szCs w:val="21"/>
                <w:b w:val="1"/>
                <w:bCs w:val="1"/>
                <w:color w:val="28B5DE"/>
              </w:rPr>
              <w:t>LETTER FROM THE CHAIRMAN OF THE BOARD</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b w:val="1"/>
                <w:bCs w:val="1"/>
                <w:color w:val="auto"/>
              </w:rPr>
              <w:t>​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Borders>
              <w:right w:val="single" w:sz="8" w:color="28B5DE"/>
            </w:tcBorders>
            <w:shd w:val="clear" w:color="auto" w:fill="28B5DE"/>
          </w:tcPr>
          <w:p>
            <w:pPr>
              <w:spacing w:after="0"/>
              <w:rPr>
                <w:sz w:val="2"/>
                <w:szCs w:val="2"/>
                <w:color w:val="auto"/>
              </w:rPr>
            </w:pPr>
          </w:p>
        </w:tc>
        <w:tc>
          <w:tcPr>
            <w:tcW w:w="200" w:type="dxa"/>
            <w:vAlign w:val="bottom"/>
            <w:tcBorders>
              <w:left w:val="single" w:sz="8" w:color="28B5DE"/>
            </w:tcBorders>
            <w:shd w:val="clear" w:color="auto" w:fill="28B5DE"/>
          </w:tcPr>
          <w:p>
            <w:pPr>
              <w:spacing w:after="0"/>
              <w:rPr>
                <w:sz w:val="2"/>
                <w:szCs w:val="2"/>
                <w:color w:val="auto"/>
              </w:rPr>
            </w:pPr>
          </w:p>
        </w:tc>
        <w:tc>
          <w:tcPr>
            <w:tcW w:w="240" w:type="dxa"/>
            <w:vAlign w:val="bottom"/>
            <w:tcBorders>
              <w:left w:val="single" w:sz="8" w:color="28B5DE"/>
              <w:right w:val="single" w:sz="8" w:color="28B5DE"/>
            </w:tcBorders>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80" w:type="dxa"/>
            <w:vAlign w:val="bottom"/>
            <w:shd w:val="clear" w:color="auto" w:fill="28B5DE"/>
          </w:tcPr>
          <w:p>
            <w:pPr>
              <w:spacing w:after="0"/>
              <w:rPr>
                <w:sz w:val="2"/>
                <w:szCs w:val="2"/>
                <w:color w:val="auto"/>
              </w:rPr>
            </w:pPr>
          </w:p>
        </w:tc>
        <w:tc>
          <w:tcPr>
            <w:tcW w:w="80" w:type="dxa"/>
            <w:vAlign w:val="bottom"/>
            <w:tcBorders>
              <w:left w:val="single" w:sz="8" w:color="28B5DE"/>
            </w:tcBorders>
            <w:shd w:val="clear" w:color="auto" w:fill="28B5DE"/>
          </w:tcPr>
          <w:p>
            <w:pPr>
              <w:spacing w:after="0"/>
              <w:rPr>
                <w:sz w:val="2"/>
                <w:szCs w:val="2"/>
                <w:color w:val="auto"/>
              </w:rPr>
            </w:pPr>
          </w:p>
        </w:tc>
        <w:tc>
          <w:tcPr>
            <w:tcW w:w="340" w:type="dxa"/>
            <w:vAlign w:val="bottom"/>
            <w:tcBorders>
              <w:left w:val="single" w:sz="8" w:color="28B5DE"/>
            </w:tcBorders>
            <w:shd w:val="clear" w:color="auto" w:fill="28B5DE"/>
          </w:tcPr>
          <w:p>
            <w:pPr>
              <w:spacing w:after="0"/>
              <w:rPr>
                <w:sz w:val="2"/>
                <w:szCs w:val="2"/>
                <w:color w:val="auto"/>
              </w:rPr>
            </w:pPr>
          </w:p>
        </w:tc>
        <w:tc>
          <w:tcPr>
            <w:tcW w:w="280" w:type="dxa"/>
            <w:vAlign w:val="bottom"/>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80" w:type="dxa"/>
            <w:vAlign w:val="bottom"/>
            <w:shd w:val="clear" w:color="auto" w:fill="28B5D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r>
        <w:trPr>
          <w:trHeight w:val="447"/>
        </w:trPr>
        <w:tc>
          <w:tcPr>
            <w:tcW w:w="8220" w:type="dxa"/>
            <w:vAlign w:val="bottom"/>
            <w:gridSpan w:val="20"/>
          </w:tcPr>
          <w:p>
            <w:pPr>
              <w:spacing w:after="0"/>
              <w:rPr>
                <w:sz w:val="20"/>
                <w:szCs w:val="20"/>
                <w:color w:val="auto"/>
              </w:rPr>
            </w:pPr>
            <w:r>
              <w:rPr>
                <w:rFonts w:ascii="Arial" w:cs="Arial" w:eastAsia="Arial" w:hAnsi="Arial"/>
                <w:sz w:val="21"/>
                <w:szCs w:val="21"/>
                <w:b w:val="1"/>
                <w:bCs w:val="1"/>
                <w:color w:val="28B5DE"/>
              </w:rPr>
              <w:t>NOTICE OF ANNUAL MEETING OF STOCKHOLDERS</w:t>
            </w:r>
          </w:p>
        </w:tc>
        <w:tc>
          <w:tcPr>
            <w:tcW w:w="300" w:type="dxa"/>
            <w:vAlign w:val="bottom"/>
          </w:tcPr>
          <w:p>
            <w:pPr>
              <w:ind w:left="80"/>
              <w:spacing w:after="0"/>
              <w:rPr>
                <w:sz w:val="20"/>
                <w:szCs w:val="20"/>
                <w:color w:val="auto"/>
              </w:rPr>
            </w:pPr>
            <w:r>
              <w:rPr>
                <w:rFonts w:ascii="Arial" w:cs="Arial" w:eastAsia="Arial" w:hAnsi="Arial"/>
                <w:sz w:val="21"/>
                <w:szCs w:val="21"/>
                <w:b w:val="1"/>
                <w:bCs w:val="1"/>
                <w:color w:val="auto"/>
              </w:rPr>
              <w:t>​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3000" w:type="dxa"/>
            <w:vAlign w:val="bottom"/>
            <w:tcBorders>
              <w:top w:val="single" w:sz="8" w:color="28B5DE"/>
              <w:right w:val="single" w:sz="8" w:color="CCEEFF"/>
            </w:tcBorders>
            <w:gridSpan w:val="7"/>
            <w:shd w:val="clear" w:color="auto" w:fill="CCEEFF"/>
          </w:tcPr>
          <w:p>
            <w:pPr>
              <w:spacing w:after="0"/>
              <w:rPr>
                <w:sz w:val="20"/>
                <w:szCs w:val="20"/>
                <w:color w:val="auto"/>
              </w:rPr>
            </w:pPr>
            <w:r>
              <w:rPr>
                <w:rFonts w:ascii="Arial" w:cs="Arial" w:eastAsia="Arial" w:hAnsi="Arial"/>
                <w:sz w:val="21"/>
                <w:szCs w:val="21"/>
                <w:b w:val="1"/>
                <w:bCs w:val="1"/>
                <w:color w:val="28B5DE"/>
                <w:w w:val="91"/>
              </w:rPr>
              <w:t>PROXY STATEMENT SUMMARY</w:t>
            </w:r>
          </w:p>
        </w:tc>
        <w:tc>
          <w:tcPr>
            <w:tcW w:w="2040" w:type="dxa"/>
            <w:vAlign w:val="bottom"/>
            <w:tcBorders>
              <w:top w:val="single" w:sz="8" w:color="28B5DE"/>
              <w:left w:val="single" w:sz="8" w:color="CCEEFF"/>
            </w:tcBorders>
            <w:gridSpan w:val="10"/>
            <w:shd w:val="clear" w:color="auto" w:fill="CCEEFF"/>
          </w:tcPr>
          <w:p>
            <w:pPr>
              <w:spacing w:after="0"/>
              <w:rPr>
                <w:sz w:val="24"/>
                <w:szCs w:val="24"/>
                <w:color w:val="auto"/>
              </w:rPr>
            </w:pPr>
          </w:p>
        </w:tc>
        <w:tc>
          <w:tcPr>
            <w:tcW w:w="3180" w:type="dxa"/>
            <w:vAlign w:val="bottom"/>
            <w:gridSpan w:val="3"/>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0000EE"/>
                <w:w w:val="71"/>
              </w:rPr>
              <w:t>1</w:t>
            </w:r>
          </w:p>
        </w:tc>
        <w:tc>
          <w:tcPr>
            <w:tcW w:w="20" w:type="dxa"/>
            <w:vAlign w:val="bottom"/>
          </w:tcPr>
          <w:p>
            <w:pPr>
              <w:spacing w:after="0"/>
              <w:rPr>
                <w:sz w:val="24"/>
                <w:szCs w:val="24"/>
                <w:color w:val="auto"/>
              </w:rPr>
            </w:pP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Borders>
              <w:right w:val="single" w:sz="8" w:color="28B5DE"/>
            </w:tcBorders>
            <w:shd w:val="clear" w:color="auto" w:fill="28B5DE"/>
          </w:tcPr>
          <w:p>
            <w:pPr>
              <w:spacing w:after="0"/>
              <w:rPr>
                <w:sz w:val="2"/>
                <w:szCs w:val="2"/>
                <w:color w:val="auto"/>
              </w:rPr>
            </w:pPr>
          </w:p>
        </w:tc>
        <w:tc>
          <w:tcPr>
            <w:tcW w:w="200" w:type="dxa"/>
            <w:vAlign w:val="bottom"/>
            <w:tcBorders>
              <w:left w:val="single" w:sz="8" w:color="28B5DE"/>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41"/>
        </w:trPr>
        <w:tc>
          <w:tcPr>
            <w:tcW w:w="3000" w:type="dxa"/>
            <w:vAlign w:val="bottom"/>
            <w:gridSpan w:val="7"/>
          </w:tcPr>
          <w:p>
            <w:pPr>
              <w:spacing w:after="0"/>
              <w:rPr>
                <w:sz w:val="20"/>
                <w:szCs w:val="20"/>
                <w:color w:val="auto"/>
              </w:rPr>
            </w:pPr>
            <w:r>
              <w:rPr>
                <w:rFonts w:ascii="Arial" w:cs="Arial" w:eastAsia="Arial" w:hAnsi="Arial"/>
                <w:sz w:val="21"/>
                <w:szCs w:val="21"/>
                <w:b w:val="1"/>
                <w:bCs w:val="1"/>
                <w:color w:val="28B5DE"/>
                <w:w w:val="93"/>
              </w:rPr>
              <w:t>CORPORATE RESPONSIBILITY</w:t>
            </w:r>
          </w:p>
        </w:tc>
        <w:tc>
          <w:tcPr>
            <w:tcW w:w="5220" w:type="dxa"/>
            <w:vAlign w:val="bottom"/>
            <w:gridSpan w:val="13"/>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ind w:left="100"/>
              <w:spacing w:after="0"/>
              <w:rPr>
                <w:sz w:val="20"/>
                <w:szCs w:val="20"/>
                <w:color w:val="auto"/>
              </w:rPr>
            </w:pPr>
            <w:r>
              <w:rPr>
                <w:rFonts w:ascii="Arial" w:cs="Arial" w:eastAsia="Arial" w:hAnsi="Arial"/>
                <w:sz w:val="21"/>
                <w:szCs w:val="21"/>
                <w:color w:val="0000EE"/>
                <w:w w:val="85"/>
              </w:rPr>
              <w:t>4</w:t>
            </w: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Borders>
              <w:right w:val="single" w:sz="8" w:color="28B5DE"/>
            </w:tcBorders>
            <w:shd w:val="clear" w:color="auto" w:fill="28B5DE"/>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41"/>
        </w:trPr>
        <w:tc>
          <w:tcPr>
            <w:tcW w:w="8220" w:type="dxa"/>
            <w:vAlign w:val="bottom"/>
            <w:gridSpan w:val="20"/>
            <w:shd w:val="clear" w:color="auto" w:fill="CCEEFF"/>
          </w:tcPr>
          <w:p>
            <w:pPr>
              <w:spacing w:after="0"/>
              <w:rPr>
                <w:sz w:val="20"/>
                <w:szCs w:val="20"/>
                <w:color w:val="auto"/>
              </w:rPr>
            </w:pPr>
            <w:r>
              <w:rPr>
                <w:rFonts w:ascii="Arial" w:cs="Arial" w:eastAsia="Arial" w:hAnsi="Arial"/>
                <w:sz w:val="21"/>
                <w:szCs w:val="21"/>
                <w:b w:val="1"/>
                <w:bCs w:val="1"/>
                <w:color w:val="28B5DE"/>
              </w:rPr>
              <w:t>SHAREHOLDER ENGAGEMENT — 2024</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0000EE"/>
                <w:w w:val="71"/>
              </w:rPr>
              <w:t>5</w:t>
            </w:r>
          </w:p>
        </w:tc>
        <w:tc>
          <w:tcPr>
            <w:tcW w:w="20" w:type="dxa"/>
            <w:vAlign w:val="bottom"/>
          </w:tcPr>
          <w:p>
            <w:pPr>
              <w:spacing w:after="0"/>
              <w:rPr>
                <w:sz w:val="24"/>
                <w:szCs w:val="24"/>
                <w:color w:val="auto"/>
              </w:rPr>
            </w:pP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Borders>
              <w:right w:val="single" w:sz="8" w:color="28B5DE"/>
            </w:tcBorders>
            <w:shd w:val="clear" w:color="auto" w:fill="28B5DE"/>
          </w:tcPr>
          <w:p>
            <w:pPr>
              <w:spacing w:after="0"/>
              <w:rPr>
                <w:sz w:val="2"/>
                <w:szCs w:val="2"/>
                <w:color w:val="auto"/>
              </w:rPr>
            </w:pPr>
          </w:p>
        </w:tc>
        <w:tc>
          <w:tcPr>
            <w:tcW w:w="200" w:type="dxa"/>
            <w:vAlign w:val="bottom"/>
            <w:tcBorders>
              <w:left w:val="single" w:sz="8" w:color="28B5DE"/>
            </w:tcBorders>
            <w:shd w:val="clear" w:color="auto" w:fill="28B5DE"/>
          </w:tcPr>
          <w:p>
            <w:pPr>
              <w:spacing w:after="0"/>
              <w:rPr>
                <w:sz w:val="2"/>
                <w:szCs w:val="2"/>
                <w:color w:val="auto"/>
              </w:rPr>
            </w:pPr>
          </w:p>
        </w:tc>
        <w:tc>
          <w:tcPr>
            <w:tcW w:w="240" w:type="dxa"/>
            <w:vAlign w:val="bottom"/>
            <w:tcBorders>
              <w:left w:val="single" w:sz="8" w:color="28B5DE"/>
              <w:right w:val="single" w:sz="8" w:color="28B5DE"/>
            </w:tcBorders>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80" w:type="dxa"/>
            <w:vAlign w:val="bottom"/>
            <w:shd w:val="clear" w:color="auto" w:fill="28B5DE"/>
          </w:tcPr>
          <w:p>
            <w:pPr>
              <w:spacing w:after="0"/>
              <w:rPr>
                <w:sz w:val="2"/>
                <w:szCs w:val="2"/>
                <w:color w:val="auto"/>
              </w:rPr>
            </w:pPr>
          </w:p>
        </w:tc>
        <w:tc>
          <w:tcPr>
            <w:tcW w:w="80" w:type="dxa"/>
            <w:vAlign w:val="bottom"/>
            <w:tcBorders>
              <w:left w:val="single" w:sz="8" w:color="28B5DE"/>
            </w:tcBorders>
            <w:shd w:val="clear" w:color="auto" w:fill="28B5DE"/>
          </w:tcPr>
          <w:p>
            <w:pPr>
              <w:spacing w:after="0"/>
              <w:rPr>
                <w:sz w:val="2"/>
                <w:szCs w:val="2"/>
                <w:color w:val="auto"/>
              </w:rPr>
            </w:pPr>
          </w:p>
        </w:tc>
        <w:tc>
          <w:tcPr>
            <w:tcW w:w="340" w:type="dxa"/>
            <w:vAlign w:val="bottom"/>
            <w:tcBorders>
              <w:left w:val="single" w:sz="8" w:color="28B5DE"/>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41"/>
        </w:trPr>
        <w:tc>
          <w:tcPr>
            <w:tcW w:w="8220" w:type="dxa"/>
            <w:vAlign w:val="bottom"/>
            <w:gridSpan w:val="20"/>
          </w:tcPr>
          <w:p>
            <w:pPr>
              <w:spacing w:after="0"/>
              <w:rPr>
                <w:sz w:val="20"/>
                <w:szCs w:val="20"/>
                <w:color w:val="auto"/>
              </w:rPr>
            </w:pPr>
            <w:r>
              <w:rPr>
                <w:rFonts w:ascii="Arial" w:cs="Arial" w:eastAsia="Arial" w:hAnsi="Arial"/>
                <w:sz w:val="21"/>
                <w:szCs w:val="21"/>
                <w:b w:val="1"/>
                <w:bCs w:val="1"/>
                <w:color w:val="28B5DE"/>
                <w:w w:val="96"/>
              </w:rPr>
              <w:t>BOARD COMPOSITION, NOMINATIONS PROCESS AND DIRECTOR QUALIFICATIONS</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ind w:left="100"/>
              <w:spacing w:after="0"/>
              <w:rPr>
                <w:sz w:val="20"/>
                <w:szCs w:val="20"/>
                <w:color w:val="auto"/>
              </w:rPr>
            </w:pPr>
            <w:r>
              <w:rPr>
                <w:rFonts w:ascii="Arial" w:cs="Arial" w:eastAsia="Arial" w:hAnsi="Arial"/>
                <w:sz w:val="21"/>
                <w:szCs w:val="21"/>
                <w:color w:val="0000EE"/>
                <w:w w:val="85"/>
              </w:rPr>
              <w:t>7</w:t>
            </w: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Borders>
              <w:right w:val="single" w:sz="8" w:color="28B5DE"/>
            </w:tcBorders>
            <w:shd w:val="clear" w:color="auto" w:fill="28B5DE"/>
          </w:tcPr>
          <w:p>
            <w:pPr>
              <w:spacing w:after="0"/>
              <w:rPr>
                <w:sz w:val="2"/>
                <w:szCs w:val="2"/>
                <w:color w:val="auto"/>
              </w:rPr>
            </w:pPr>
          </w:p>
        </w:tc>
        <w:tc>
          <w:tcPr>
            <w:tcW w:w="200" w:type="dxa"/>
            <w:vAlign w:val="bottom"/>
            <w:tcBorders>
              <w:left w:val="single" w:sz="8" w:color="28B5DE"/>
            </w:tcBorders>
            <w:shd w:val="clear" w:color="auto" w:fill="28B5DE"/>
          </w:tcPr>
          <w:p>
            <w:pPr>
              <w:spacing w:after="0"/>
              <w:rPr>
                <w:sz w:val="2"/>
                <w:szCs w:val="2"/>
                <w:color w:val="auto"/>
              </w:rPr>
            </w:pPr>
          </w:p>
        </w:tc>
        <w:tc>
          <w:tcPr>
            <w:tcW w:w="240" w:type="dxa"/>
            <w:vAlign w:val="bottom"/>
            <w:tcBorders>
              <w:left w:val="single" w:sz="8" w:color="28B5DE"/>
              <w:right w:val="single" w:sz="8" w:color="28B5DE"/>
            </w:tcBorders>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80" w:type="dxa"/>
            <w:vAlign w:val="bottom"/>
            <w:shd w:val="clear" w:color="auto" w:fill="28B5DE"/>
          </w:tcPr>
          <w:p>
            <w:pPr>
              <w:spacing w:after="0"/>
              <w:rPr>
                <w:sz w:val="2"/>
                <w:szCs w:val="2"/>
                <w:color w:val="auto"/>
              </w:rPr>
            </w:pPr>
          </w:p>
        </w:tc>
        <w:tc>
          <w:tcPr>
            <w:tcW w:w="80" w:type="dxa"/>
            <w:vAlign w:val="bottom"/>
            <w:tcBorders>
              <w:left w:val="single" w:sz="8" w:color="28B5DE"/>
            </w:tcBorders>
            <w:shd w:val="clear" w:color="auto" w:fill="28B5DE"/>
          </w:tcPr>
          <w:p>
            <w:pPr>
              <w:spacing w:after="0"/>
              <w:rPr>
                <w:sz w:val="2"/>
                <w:szCs w:val="2"/>
                <w:color w:val="auto"/>
              </w:rPr>
            </w:pPr>
          </w:p>
        </w:tc>
        <w:tc>
          <w:tcPr>
            <w:tcW w:w="340" w:type="dxa"/>
            <w:vAlign w:val="bottom"/>
            <w:tcBorders>
              <w:left w:val="single" w:sz="8" w:color="28B5DE"/>
            </w:tcBorders>
            <w:shd w:val="clear" w:color="auto" w:fill="28B5DE"/>
          </w:tcPr>
          <w:p>
            <w:pPr>
              <w:spacing w:after="0"/>
              <w:rPr>
                <w:sz w:val="2"/>
                <w:szCs w:val="2"/>
                <w:color w:val="auto"/>
              </w:rPr>
            </w:pPr>
          </w:p>
        </w:tc>
        <w:tc>
          <w:tcPr>
            <w:tcW w:w="280" w:type="dxa"/>
            <w:vAlign w:val="bottom"/>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80" w:type="dxa"/>
            <w:vAlign w:val="bottom"/>
            <w:shd w:val="clear" w:color="auto" w:fill="28B5DE"/>
          </w:tcPr>
          <w:p>
            <w:pPr>
              <w:spacing w:after="0"/>
              <w:rPr>
                <w:sz w:val="2"/>
                <w:szCs w:val="2"/>
                <w:color w:val="auto"/>
              </w:rPr>
            </w:pPr>
          </w:p>
        </w:tc>
        <w:tc>
          <w:tcPr>
            <w:tcW w:w="420" w:type="dxa"/>
            <w:vAlign w:val="bottom"/>
            <w:shd w:val="clear" w:color="auto" w:fill="28B5DE"/>
          </w:tcPr>
          <w:p>
            <w:pPr>
              <w:spacing w:after="0"/>
              <w:rPr>
                <w:sz w:val="2"/>
                <w:szCs w:val="2"/>
                <w:color w:val="auto"/>
              </w:rPr>
            </w:pPr>
          </w:p>
        </w:tc>
        <w:tc>
          <w:tcPr>
            <w:tcW w:w="700" w:type="dxa"/>
            <w:vAlign w:val="bottom"/>
            <w:shd w:val="clear" w:color="auto" w:fill="28B5DE"/>
          </w:tcPr>
          <w:p>
            <w:pPr>
              <w:spacing w:after="0"/>
              <w:rPr>
                <w:sz w:val="2"/>
                <w:szCs w:val="2"/>
                <w:color w:val="auto"/>
              </w:rPr>
            </w:pPr>
          </w:p>
        </w:tc>
        <w:tc>
          <w:tcPr>
            <w:tcW w:w="2380" w:type="dxa"/>
            <w:vAlign w:val="bottom"/>
            <w:shd w:val="clear" w:color="auto" w:fill="28B5DE"/>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7900" w:type="dxa"/>
            <w:vAlign w:val="bottom"/>
            <w:gridSpan w:val="18"/>
            <w:shd w:val="clear" w:color="auto" w:fill="CCEEFF"/>
          </w:tcPr>
          <w:p>
            <w:pPr>
              <w:ind w:left="200"/>
              <w:spacing w:after="0"/>
              <w:rPr>
                <w:sz w:val="20"/>
                <w:szCs w:val="20"/>
                <w:color w:val="auto"/>
              </w:rPr>
            </w:pPr>
            <w:r>
              <w:rPr>
                <w:rFonts w:ascii="Arial" w:cs="Arial" w:eastAsia="Arial" w:hAnsi="Arial"/>
                <w:sz w:val="21"/>
                <w:szCs w:val="21"/>
                <w:color w:val="0000EE"/>
              </w:rPr>
              <w:t>Board Composition</w:t>
            </w:r>
          </w:p>
        </w:tc>
        <w:tc>
          <w:tcPr>
            <w:tcW w:w="10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20"/>
                <w:szCs w:val="20"/>
                <w:color w:val="0000EE"/>
                <w:w w:val="71"/>
              </w:rPr>
              <w:t>7</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tcPr>
          <w:p>
            <w:pPr>
              <w:spacing w:after="0"/>
              <w:rPr>
                <w:sz w:val="22"/>
                <w:szCs w:val="22"/>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Board Skills, Experience and Attributes</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ind w:left="100"/>
              <w:spacing w:after="0"/>
              <w:rPr>
                <w:sz w:val="20"/>
                <w:szCs w:val="20"/>
                <w:color w:val="auto"/>
              </w:rPr>
            </w:pPr>
            <w:r>
              <w:rPr>
                <w:rFonts w:ascii="Arial" w:cs="Arial" w:eastAsia="Arial" w:hAnsi="Arial"/>
                <w:sz w:val="21"/>
                <w:szCs w:val="21"/>
                <w:color w:val="0000EE"/>
                <w:w w:val="85"/>
              </w:rPr>
              <w:t>8</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Director Nominee Criteria and Process</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10</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tcPr>
          <w:p>
            <w:pPr>
              <w:spacing w:after="0"/>
              <w:rPr>
                <w:sz w:val="22"/>
                <w:szCs w:val="22"/>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Stockholder Nominations for Directors</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11</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47"/>
        </w:trPr>
        <w:tc>
          <w:tcPr>
            <w:tcW w:w="5740" w:type="dxa"/>
            <w:vAlign w:val="bottom"/>
            <w:tcBorders>
              <w:bottom w:val="single" w:sz="8" w:color="28B5DE"/>
            </w:tcBorders>
            <w:gridSpan w:val="18"/>
            <w:shd w:val="clear" w:color="auto" w:fill="CCEEFF"/>
          </w:tcPr>
          <w:p>
            <w:pPr>
              <w:spacing w:after="0"/>
              <w:rPr>
                <w:sz w:val="20"/>
                <w:szCs w:val="20"/>
                <w:color w:val="auto"/>
              </w:rPr>
            </w:pPr>
            <w:r>
              <w:rPr>
                <w:rFonts w:ascii="Arial" w:cs="Arial" w:eastAsia="Arial" w:hAnsi="Arial"/>
                <w:sz w:val="21"/>
                <w:szCs w:val="21"/>
                <w:b w:val="1"/>
                <w:bCs w:val="1"/>
                <w:color w:val="28B5DE"/>
                <w:w w:val="95"/>
              </w:rPr>
              <w:t>PROPOSAL 1: ELECTION OF THREE DIRECTOR NOMINEES</w:t>
            </w:r>
          </w:p>
        </w:tc>
        <w:tc>
          <w:tcPr>
            <w:tcW w:w="2480" w:type="dxa"/>
            <w:vAlign w:val="bottom"/>
            <w:tcBorders>
              <w:bottom w:val="single" w:sz="8" w:color="CCEEFF"/>
            </w:tcBorders>
            <w:gridSpan w:val="2"/>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tcBorders>
              <w:bottom w:val="single" w:sz="8" w:color="0000EE"/>
            </w:tcBorders>
            <w:gridSpan w:val="2"/>
            <w:shd w:val="clear" w:color="auto" w:fill="CCEEFF"/>
          </w:tcPr>
          <w:p>
            <w:pPr>
              <w:spacing w:after="0"/>
              <w:rPr>
                <w:sz w:val="20"/>
                <w:szCs w:val="20"/>
                <w:color w:val="auto"/>
              </w:rPr>
            </w:pPr>
            <w:r>
              <w:rPr>
                <w:rFonts w:ascii="Arial" w:cs="Arial" w:eastAsia="Arial" w:hAnsi="Arial"/>
                <w:sz w:val="21"/>
                <w:szCs w:val="21"/>
                <w:color w:val="0000EE"/>
                <w:w w:val="76"/>
              </w:rPr>
              <w:t>12</w:t>
            </w:r>
          </w:p>
        </w:tc>
        <w:tc>
          <w:tcPr>
            <w:tcW w:w="20" w:type="dxa"/>
            <w:vAlign w:val="bottom"/>
          </w:tcPr>
          <w:p>
            <w:pPr>
              <w:spacing w:after="0"/>
              <w:rPr>
                <w:sz w:val="24"/>
                <w:szCs w:val="24"/>
                <w:color w:val="auto"/>
              </w:rPr>
            </w:pPr>
          </w:p>
        </w:tc>
      </w:tr>
      <w:tr>
        <w:trPr>
          <w:trHeight w:val="260"/>
        </w:trPr>
        <w:tc>
          <w:tcPr>
            <w:tcW w:w="220" w:type="dxa"/>
            <w:vAlign w:val="bottom"/>
          </w:tcPr>
          <w:p>
            <w:pPr>
              <w:spacing w:after="0"/>
              <w:rPr>
                <w:sz w:val="22"/>
                <w:szCs w:val="22"/>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Nominees for Election as Class II Directors</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12</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tcBorders>
              <w:left w:val="single" w:sz="8" w:color="0000EE"/>
            </w:tcBorders>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Directors Continuing in Office</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15</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41"/>
        </w:trPr>
        <w:tc>
          <w:tcPr>
            <w:tcW w:w="8220" w:type="dxa"/>
            <w:vAlign w:val="bottom"/>
            <w:gridSpan w:val="20"/>
          </w:tcPr>
          <w:p>
            <w:pPr>
              <w:spacing w:after="0"/>
              <w:rPr>
                <w:sz w:val="20"/>
                <w:szCs w:val="20"/>
                <w:color w:val="auto"/>
              </w:rPr>
            </w:pPr>
            <w:r>
              <w:rPr>
                <w:rFonts w:ascii="Arial" w:cs="Arial" w:eastAsia="Arial" w:hAnsi="Arial"/>
                <w:sz w:val="21"/>
                <w:szCs w:val="21"/>
                <w:b w:val="1"/>
                <w:bCs w:val="1"/>
                <w:color w:val="28B5DE"/>
              </w:rPr>
              <w:t>CORPORATE GOVERNANCE</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20</w:t>
            </w: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8000" w:type="dxa"/>
            <w:vAlign w:val="bottom"/>
            <w:gridSpan w:val="19"/>
            <w:shd w:val="clear" w:color="auto" w:fill="CCEEFF"/>
          </w:tcPr>
          <w:p>
            <w:pPr>
              <w:spacing w:after="0"/>
              <w:rPr>
                <w:sz w:val="20"/>
                <w:szCs w:val="20"/>
                <w:color w:val="auto"/>
              </w:rPr>
            </w:pPr>
            <w:r>
              <w:rPr>
                <w:rFonts w:ascii="Arial" w:cs="Arial" w:eastAsia="Arial" w:hAnsi="Arial"/>
                <w:sz w:val="21"/>
                <w:szCs w:val="21"/>
                <w:b w:val="1"/>
                <w:bCs w:val="1"/>
                <w:color w:val="0000EE"/>
              </w:rPr>
              <w:t>Structure and Role of the Board</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20</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tcPr>
          <w:p>
            <w:pPr>
              <w:spacing w:after="0"/>
              <w:rPr>
                <w:sz w:val="22"/>
                <w:szCs w:val="22"/>
                <w:color w:val="auto"/>
              </w:rPr>
            </w:pPr>
          </w:p>
        </w:tc>
        <w:tc>
          <w:tcPr>
            <w:tcW w:w="2980" w:type="dxa"/>
            <w:vAlign w:val="bottom"/>
            <w:gridSpan w:val="7"/>
          </w:tcPr>
          <w:p>
            <w:pPr>
              <w:ind w:left="200"/>
              <w:spacing w:after="0"/>
              <w:rPr>
                <w:sz w:val="20"/>
                <w:szCs w:val="20"/>
                <w:color w:val="auto"/>
              </w:rPr>
            </w:pPr>
            <w:r>
              <w:rPr>
                <w:rFonts w:ascii="Arial" w:cs="Arial" w:eastAsia="Arial" w:hAnsi="Arial"/>
                <w:sz w:val="21"/>
                <w:szCs w:val="21"/>
                <w:color w:val="0000EE"/>
                <w:w w:val="92"/>
              </w:rPr>
              <w:t>Board Structure and Leadership</w:t>
            </w:r>
          </w:p>
        </w:tc>
        <w:tc>
          <w:tcPr>
            <w:tcW w:w="5020" w:type="dxa"/>
            <w:vAlign w:val="bottom"/>
            <w:gridSpan w:val="12"/>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20</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Certain Sponsor Rights</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21</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tcPr>
          <w:p>
            <w:pPr>
              <w:spacing w:after="0"/>
              <w:rPr>
                <w:sz w:val="22"/>
                <w:szCs w:val="22"/>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Director Independence</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22</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Board Role in Risk Oversight</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22</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tcPr>
          <w:p>
            <w:pPr>
              <w:spacing w:after="0"/>
              <w:rPr>
                <w:sz w:val="22"/>
                <w:szCs w:val="22"/>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Board Meetings and Attendance</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23</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0"/>
        </w:trPr>
        <w:tc>
          <w:tcPr>
            <w:tcW w:w="220" w:type="dxa"/>
            <w:vAlign w:val="bottom"/>
            <w:shd w:val="clear" w:color="auto" w:fill="CCEEFF"/>
          </w:tcPr>
          <w:p>
            <w:pPr>
              <w:spacing w:after="0"/>
              <w:rPr>
                <w:sz w:val="22"/>
                <w:szCs w:val="22"/>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Committees of the Board of Directors</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24</w:t>
            </w:r>
          </w:p>
        </w:tc>
        <w:tc>
          <w:tcPr>
            <w:tcW w:w="20" w:type="dxa"/>
            <w:vAlign w:val="bottom"/>
          </w:tcPr>
          <w:p>
            <w:pPr>
              <w:spacing w:after="0"/>
              <w:rPr>
                <w:sz w:val="22"/>
                <w:szCs w:val="22"/>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6"/>
        </w:trPr>
        <w:tc>
          <w:tcPr>
            <w:tcW w:w="220" w:type="dxa"/>
            <w:vAlign w:val="bottom"/>
          </w:tcPr>
          <w:p>
            <w:pPr>
              <w:spacing w:after="0"/>
              <w:rPr>
                <w:sz w:val="23"/>
                <w:szCs w:val="23"/>
                <w:color w:val="auto"/>
              </w:rPr>
            </w:pPr>
          </w:p>
        </w:tc>
        <w:tc>
          <w:tcPr>
            <w:tcW w:w="4320" w:type="dxa"/>
            <w:vAlign w:val="bottom"/>
            <w:gridSpan w:val="14"/>
          </w:tcPr>
          <w:p>
            <w:pPr>
              <w:spacing w:after="0"/>
              <w:rPr>
                <w:sz w:val="20"/>
                <w:szCs w:val="20"/>
                <w:color w:val="auto"/>
              </w:rPr>
            </w:pPr>
            <w:r>
              <w:rPr>
                <w:rFonts w:ascii="Arial" w:cs="Arial" w:eastAsia="Arial" w:hAnsi="Arial"/>
                <w:sz w:val="21"/>
                <w:szCs w:val="21"/>
                <w:b w:val="1"/>
                <w:bCs w:val="1"/>
                <w:color w:val="0000EE"/>
                <w:w w:val="94"/>
              </w:rPr>
              <w:t>Corporate Governance Policies and Practices</w:t>
            </w:r>
          </w:p>
        </w:tc>
        <w:tc>
          <w:tcPr>
            <w:tcW w:w="3680" w:type="dxa"/>
            <w:vAlign w:val="bottom"/>
            <w:gridSpan w:val="5"/>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27</w:t>
            </w:r>
          </w:p>
        </w:tc>
      </w:tr>
      <w:tr>
        <w:trPr>
          <w:trHeight w:val="273"/>
        </w:trPr>
        <w:tc>
          <w:tcPr>
            <w:tcW w:w="220" w:type="dxa"/>
            <w:vAlign w:val="bottom"/>
            <w:shd w:val="clear" w:color="auto" w:fill="CCEEFF"/>
          </w:tcPr>
          <w:p>
            <w:pPr>
              <w:spacing w:after="0"/>
              <w:rPr>
                <w:sz w:val="23"/>
                <w:szCs w:val="23"/>
                <w:color w:val="auto"/>
              </w:rPr>
            </w:pPr>
          </w:p>
        </w:tc>
        <w:tc>
          <w:tcPr>
            <w:tcW w:w="4320" w:type="dxa"/>
            <w:vAlign w:val="bottom"/>
            <w:tcBorders>
              <w:top w:val="single" w:sz="8" w:color="0000EE"/>
            </w:tcBorders>
            <w:gridSpan w:val="14"/>
            <w:shd w:val="clear" w:color="auto" w:fill="CCEEFF"/>
          </w:tcPr>
          <w:p>
            <w:pPr>
              <w:ind w:left="200"/>
              <w:spacing w:after="0"/>
              <w:rPr>
                <w:sz w:val="20"/>
                <w:szCs w:val="20"/>
                <w:color w:val="auto"/>
              </w:rPr>
            </w:pPr>
            <w:r>
              <w:rPr>
                <w:rFonts w:ascii="Arial" w:cs="Arial" w:eastAsia="Arial" w:hAnsi="Arial"/>
                <w:sz w:val="21"/>
                <w:szCs w:val="21"/>
                <w:color w:val="0000EE"/>
              </w:rPr>
              <w:t>Corporate Governance Guidelines</w:t>
            </w:r>
          </w:p>
        </w:tc>
        <w:tc>
          <w:tcPr>
            <w:tcW w:w="3680" w:type="dxa"/>
            <w:vAlign w:val="bottom"/>
            <w:gridSpan w:val="5"/>
            <w:shd w:val="clear" w:color="auto" w:fill="CCEEFF"/>
          </w:tcPr>
          <w:p>
            <w:pPr>
              <w:spacing w:after="0"/>
              <w:rPr>
                <w:sz w:val="23"/>
                <w:szCs w:val="23"/>
                <w:color w:val="auto"/>
              </w:rPr>
            </w:pP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tcBorders>
              <w:top w:val="single" w:sz="8" w:color="0000EE"/>
            </w:tcBorders>
            <w:gridSpan w:val="2"/>
            <w:shd w:val="clear" w:color="auto" w:fill="CCEEFF"/>
          </w:tcPr>
          <w:p>
            <w:pPr>
              <w:spacing w:after="0"/>
              <w:rPr>
                <w:sz w:val="20"/>
                <w:szCs w:val="20"/>
                <w:color w:val="auto"/>
              </w:rPr>
            </w:pPr>
            <w:r>
              <w:rPr>
                <w:rFonts w:ascii="Arial" w:cs="Arial" w:eastAsia="Arial" w:hAnsi="Arial"/>
                <w:sz w:val="21"/>
                <w:szCs w:val="21"/>
                <w:color w:val="0000EE"/>
                <w:w w:val="76"/>
              </w:rPr>
              <w:t>27</w:t>
            </w:r>
          </w:p>
        </w:tc>
        <w:tc>
          <w:tcPr>
            <w:tcW w:w="20" w:type="dxa"/>
            <w:vAlign w:val="bottom"/>
          </w:tcPr>
          <w:p>
            <w:pPr>
              <w:spacing w:after="0"/>
              <w:rPr>
                <w:sz w:val="23"/>
                <w:szCs w:val="23"/>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CCEEFF"/>
            </w:tcBorders>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220" w:type="dxa"/>
            <w:vAlign w:val="bottom"/>
          </w:tcPr>
          <w:p>
            <w:pPr>
              <w:spacing w:after="0"/>
              <w:rPr>
                <w:sz w:val="23"/>
                <w:szCs w:val="23"/>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Board and Committee Self-Evaluations</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27</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220" w:type="dxa"/>
            <w:vAlign w:val="bottom"/>
            <w:shd w:val="clear" w:color="auto" w:fill="CCEEFF"/>
          </w:tcPr>
          <w:p>
            <w:pPr>
              <w:spacing w:after="0"/>
              <w:rPr>
                <w:sz w:val="23"/>
                <w:szCs w:val="23"/>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Code of Business Conduct and Ethics</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27</w:t>
            </w:r>
          </w:p>
        </w:tc>
        <w:tc>
          <w:tcPr>
            <w:tcW w:w="20" w:type="dxa"/>
            <w:vAlign w:val="bottom"/>
          </w:tcPr>
          <w:p>
            <w:pPr>
              <w:spacing w:after="0"/>
              <w:rPr>
                <w:sz w:val="23"/>
                <w:szCs w:val="23"/>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Borders>
              <w:left w:val="single" w:sz="8" w:color="0000EE"/>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220" w:type="dxa"/>
            <w:vAlign w:val="bottom"/>
          </w:tcPr>
          <w:p>
            <w:pPr>
              <w:spacing w:after="0"/>
              <w:rPr>
                <w:sz w:val="23"/>
                <w:szCs w:val="23"/>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Promoting Integrity</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27</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220" w:type="dxa"/>
            <w:vAlign w:val="bottom"/>
            <w:shd w:val="clear" w:color="auto" w:fill="CCEEFF"/>
          </w:tcPr>
          <w:p>
            <w:pPr>
              <w:spacing w:after="0"/>
              <w:rPr>
                <w:sz w:val="23"/>
                <w:szCs w:val="23"/>
                <w:color w:val="auto"/>
              </w:rPr>
            </w:pPr>
          </w:p>
        </w:tc>
        <w:tc>
          <w:tcPr>
            <w:tcW w:w="8000" w:type="dxa"/>
            <w:vAlign w:val="bottom"/>
            <w:gridSpan w:val="19"/>
            <w:shd w:val="clear" w:color="auto" w:fill="CCEEFF"/>
          </w:tcPr>
          <w:p>
            <w:pPr>
              <w:ind w:left="200"/>
              <w:spacing w:after="0"/>
              <w:rPr>
                <w:sz w:val="20"/>
                <w:szCs w:val="20"/>
                <w:color w:val="auto"/>
              </w:rPr>
            </w:pPr>
            <w:r>
              <w:rPr>
                <w:rFonts w:ascii="Arial" w:cs="Arial" w:eastAsia="Arial" w:hAnsi="Arial"/>
                <w:sz w:val="21"/>
                <w:szCs w:val="21"/>
                <w:color w:val="0000EE"/>
              </w:rPr>
              <w:t>Insider Trading Policy</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28</w:t>
            </w:r>
          </w:p>
        </w:tc>
        <w:tc>
          <w:tcPr>
            <w:tcW w:w="20" w:type="dxa"/>
            <w:vAlign w:val="bottom"/>
          </w:tcPr>
          <w:p>
            <w:pPr>
              <w:spacing w:after="0"/>
              <w:rPr>
                <w:sz w:val="23"/>
                <w:szCs w:val="23"/>
                <w:color w:val="auto"/>
              </w:rPr>
            </w:pPr>
          </w:p>
        </w:tc>
      </w:tr>
      <w:tr>
        <w:trPr>
          <w:trHeight w:val="26"/>
        </w:trPr>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tcBorders>
              <w:lef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240" w:type="dxa"/>
            <w:vAlign w:val="bottom"/>
            <w:tcBorders>
              <w:left w:val="single" w:sz="8" w:color="CCEEFF"/>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3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220" w:type="dxa"/>
            <w:vAlign w:val="bottom"/>
          </w:tcPr>
          <w:p>
            <w:pPr>
              <w:spacing w:after="0"/>
              <w:rPr>
                <w:sz w:val="23"/>
                <w:szCs w:val="23"/>
                <w:color w:val="auto"/>
              </w:rPr>
            </w:pPr>
          </w:p>
        </w:tc>
        <w:tc>
          <w:tcPr>
            <w:tcW w:w="8000" w:type="dxa"/>
            <w:vAlign w:val="bottom"/>
            <w:gridSpan w:val="19"/>
          </w:tcPr>
          <w:p>
            <w:pPr>
              <w:ind w:left="200"/>
              <w:spacing w:after="0"/>
              <w:rPr>
                <w:sz w:val="20"/>
                <w:szCs w:val="20"/>
                <w:color w:val="auto"/>
              </w:rPr>
            </w:pPr>
            <w:r>
              <w:rPr>
                <w:rFonts w:ascii="Arial" w:cs="Arial" w:eastAsia="Arial" w:hAnsi="Arial"/>
                <w:sz w:val="21"/>
                <w:szCs w:val="21"/>
                <w:color w:val="0000EE"/>
              </w:rPr>
              <w:t>Communications with the Board</w:t>
            </w: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28</w:t>
            </w:r>
          </w:p>
        </w:tc>
      </w:tr>
      <w:tr>
        <w:trPr>
          <w:trHeight w:val="26"/>
        </w:trPr>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tcBorders>
              <w:left w:val="single" w:sz="8" w:color="0000EE"/>
            </w:tcBorders>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200" w:type="dxa"/>
            <w:vAlign w:val="bottom"/>
            <w:tcBorders>
              <w:lef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54"/>
        </w:trPr>
        <w:tc>
          <w:tcPr>
            <w:tcW w:w="8220" w:type="dxa"/>
            <w:vAlign w:val="bottom"/>
            <w:gridSpan w:val="20"/>
            <w:shd w:val="clear" w:color="auto" w:fill="CCEEFF"/>
          </w:tcPr>
          <w:p>
            <w:pPr>
              <w:spacing w:after="0"/>
              <w:rPr>
                <w:sz w:val="20"/>
                <w:szCs w:val="20"/>
                <w:color w:val="auto"/>
              </w:rPr>
            </w:pPr>
            <w:r>
              <w:rPr>
                <w:rFonts w:ascii="Arial" w:cs="Arial" w:eastAsia="Arial" w:hAnsi="Arial"/>
                <w:sz w:val="21"/>
                <w:szCs w:val="21"/>
                <w:b w:val="1"/>
                <w:bCs w:val="1"/>
                <w:color w:val="28B5DE"/>
              </w:rPr>
              <w:t>NON-EMPLOYEE DIRECTOR COMPENSATION</w:t>
            </w:r>
          </w:p>
        </w:tc>
        <w:tc>
          <w:tcPr>
            <w:tcW w:w="3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21"/>
                <w:szCs w:val="21"/>
                <w:color w:val="auto"/>
              </w:rPr>
              <w:t>​ ​</w:t>
            </w:r>
          </w:p>
        </w:tc>
        <w:tc>
          <w:tcPr>
            <w:tcW w:w="200" w:type="dxa"/>
            <w:vAlign w:val="bottom"/>
            <w:gridSpan w:val="2"/>
            <w:shd w:val="clear" w:color="auto" w:fill="CCEEFF"/>
          </w:tcPr>
          <w:p>
            <w:pPr>
              <w:spacing w:after="0"/>
              <w:rPr>
                <w:sz w:val="20"/>
                <w:szCs w:val="20"/>
                <w:color w:val="auto"/>
              </w:rPr>
            </w:pPr>
            <w:r>
              <w:rPr>
                <w:rFonts w:ascii="Arial" w:cs="Arial" w:eastAsia="Arial" w:hAnsi="Arial"/>
                <w:sz w:val="21"/>
                <w:szCs w:val="21"/>
                <w:color w:val="0000EE"/>
                <w:w w:val="76"/>
              </w:rPr>
              <w:t>29</w:t>
            </w:r>
          </w:p>
        </w:tc>
        <w:tc>
          <w:tcPr>
            <w:tcW w:w="20" w:type="dxa"/>
            <w:vAlign w:val="bottom"/>
          </w:tcPr>
          <w:p>
            <w:pPr>
              <w:spacing w:after="0"/>
              <w:rPr>
                <w:sz w:val="24"/>
                <w:szCs w:val="24"/>
                <w:color w:val="auto"/>
              </w:rPr>
            </w:pPr>
          </w:p>
        </w:tc>
      </w:tr>
      <w:tr>
        <w:trPr>
          <w:trHeight w:val="26"/>
        </w:trPr>
        <w:tc>
          <w:tcPr>
            <w:tcW w:w="22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40" w:type="dxa"/>
            <w:vAlign w:val="bottom"/>
            <w:shd w:val="clear" w:color="auto" w:fill="28B5DE"/>
          </w:tcPr>
          <w:p>
            <w:pPr>
              <w:spacing w:after="0"/>
              <w:rPr>
                <w:sz w:val="2"/>
                <w:szCs w:val="2"/>
                <w:color w:val="auto"/>
              </w:rPr>
            </w:pPr>
          </w:p>
        </w:tc>
        <w:tc>
          <w:tcPr>
            <w:tcW w:w="240" w:type="dxa"/>
            <w:vAlign w:val="bottom"/>
            <w:tcBorders>
              <w:left w:val="single" w:sz="8" w:color="28B5DE"/>
            </w:tcBorders>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360" w:type="dxa"/>
            <w:vAlign w:val="bottom"/>
            <w:tcBorders>
              <w:left w:val="single" w:sz="8" w:color="28B5DE"/>
            </w:tcBorders>
            <w:shd w:val="clear" w:color="auto" w:fill="28B5DE"/>
          </w:tcPr>
          <w:p>
            <w:pPr>
              <w:spacing w:after="0"/>
              <w:rPr>
                <w:sz w:val="2"/>
                <w:szCs w:val="2"/>
                <w:color w:val="auto"/>
              </w:rPr>
            </w:pPr>
          </w:p>
        </w:tc>
        <w:tc>
          <w:tcPr>
            <w:tcW w:w="220" w:type="dxa"/>
            <w:vAlign w:val="bottom"/>
            <w:tcBorders>
              <w:right w:val="single" w:sz="8" w:color="28B5DE"/>
            </w:tcBorders>
            <w:shd w:val="clear" w:color="auto" w:fill="28B5DE"/>
          </w:tcPr>
          <w:p>
            <w:pPr>
              <w:spacing w:after="0"/>
              <w:rPr>
                <w:sz w:val="2"/>
                <w:szCs w:val="2"/>
                <w:color w:val="auto"/>
              </w:rPr>
            </w:pPr>
          </w:p>
        </w:tc>
        <w:tc>
          <w:tcPr>
            <w:tcW w:w="200" w:type="dxa"/>
            <w:vAlign w:val="bottom"/>
            <w:tcBorders>
              <w:left w:val="single" w:sz="8" w:color="28B5DE"/>
            </w:tcBorders>
            <w:shd w:val="clear" w:color="auto" w:fill="28B5DE"/>
          </w:tcPr>
          <w:p>
            <w:pPr>
              <w:spacing w:after="0"/>
              <w:rPr>
                <w:sz w:val="2"/>
                <w:szCs w:val="2"/>
                <w:color w:val="auto"/>
              </w:rPr>
            </w:pPr>
          </w:p>
        </w:tc>
        <w:tc>
          <w:tcPr>
            <w:tcW w:w="240" w:type="dxa"/>
            <w:vAlign w:val="bottom"/>
            <w:tcBorders>
              <w:left w:val="single" w:sz="8" w:color="28B5DE"/>
              <w:right w:val="single" w:sz="8" w:color="28B5DE"/>
            </w:tcBorders>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80" w:type="dxa"/>
            <w:vAlign w:val="bottom"/>
            <w:shd w:val="clear" w:color="auto" w:fill="28B5DE"/>
          </w:tcPr>
          <w:p>
            <w:pPr>
              <w:spacing w:after="0"/>
              <w:rPr>
                <w:sz w:val="2"/>
                <w:szCs w:val="2"/>
                <w:color w:val="auto"/>
              </w:rPr>
            </w:pPr>
          </w:p>
        </w:tc>
        <w:tc>
          <w:tcPr>
            <w:tcW w:w="80" w:type="dxa"/>
            <w:vAlign w:val="bottom"/>
            <w:tcBorders>
              <w:left w:val="single" w:sz="8" w:color="28B5DE"/>
            </w:tcBorders>
            <w:shd w:val="clear" w:color="auto" w:fill="28B5DE"/>
          </w:tcPr>
          <w:p>
            <w:pPr>
              <w:spacing w:after="0"/>
              <w:rPr>
                <w:sz w:val="2"/>
                <w:szCs w:val="2"/>
                <w:color w:val="auto"/>
              </w:rPr>
            </w:pPr>
          </w:p>
        </w:tc>
        <w:tc>
          <w:tcPr>
            <w:tcW w:w="340" w:type="dxa"/>
            <w:vAlign w:val="bottom"/>
            <w:tcBorders>
              <w:left w:val="single" w:sz="8" w:color="28B5DE"/>
            </w:tcBorders>
            <w:shd w:val="clear" w:color="auto" w:fill="28B5DE"/>
          </w:tcPr>
          <w:p>
            <w:pPr>
              <w:spacing w:after="0"/>
              <w:rPr>
                <w:sz w:val="2"/>
                <w:szCs w:val="2"/>
                <w:color w:val="auto"/>
              </w:rPr>
            </w:pPr>
          </w:p>
        </w:tc>
        <w:tc>
          <w:tcPr>
            <w:tcW w:w="280" w:type="dxa"/>
            <w:vAlign w:val="bottom"/>
            <w:shd w:val="clear" w:color="auto" w:fill="28B5D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tcBorders>
              <w:right w:val="single" w:sz="8" w:color="0000EE"/>
            </w:tcBorders>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73"/>
        </w:trPr>
        <w:tc>
          <w:tcPr>
            <w:tcW w:w="220" w:type="dxa"/>
            <w:vAlign w:val="bottom"/>
          </w:tcPr>
          <w:p>
            <w:pPr>
              <w:spacing w:after="0"/>
              <w:rPr>
                <w:sz w:val="23"/>
                <w:szCs w:val="23"/>
                <w:color w:val="auto"/>
              </w:rPr>
            </w:pPr>
          </w:p>
        </w:tc>
        <w:tc>
          <w:tcPr>
            <w:tcW w:w="4200" w:type="dxa"/>
            <w:vAlign w:val="bottom"/>
            <w:gridSpan w:val="13"/>
          </w:tcPr>
          <w:p>
            <w:pPr>
              <w:ind w:left="200"/>
              <w:spacing w:after="0"/>
              <w:rPr>
                <w:sz w:val="20"/>
                <w:szCs w:val="20"/>
                <w:color w:val="auto"/>
              </w:rPr>
            </w:pPr>
            <w:r>
              <w:rPr>
                <w:rFonts w:ascii="Arial" w:cs="Arial" w:eastAsia="Arial" w:hAnsi="Arial"/>
                <w:sz w:val="21"/>
                <w:szCs w:val="21"/>
                <w:color w:val="0000EE"/>
              </w:rPr>
              <w:t>2024 Director Compensation Table</w:t>
            </w:r>
          </w:p>
        </w:tc>
        <w:tc>
          <w:tcPr>
            <w:tcW w:w="3800" w:type="dxa"/>
            <w:vAlign w:val="bottom"/>
            <w:gridSpan w:val="6"/>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21"/>
                <w:szCs w:val="21"/>
                <w:color w:val="auto"/>
              </w:rPr>
              <w:t>​ ​</w:t>
            </w:r>
          </w:p>
        </w:tc>
        <w:tc>
          <w:tcPr>
            <w:tcW w:w="220" w:type="dxa"/>
            <w:vAlign w:val="bottom"/>
            <w:gridSpan w:val="3"/>
          </w:tcPr>
          <w:p>
            <w:pPr>
              <w:spacing w:after="0"/>
              <w:rPr>
                <w:sz w:val="20"/>
                <w:szCs w:val="20"/>
                <w:color w:val="auto"/>
              </w:rPr>
            </w:pPr>
            <w:r>
              <w:rPr>
                <w:rFonts w:ascii="Arial" w:cs="Arial" w:eastAsia="Arial" w:hAnsi="Arial"/>
                <w:sz w:val="21"/>
                <w:szCs w:val="21"/>
                <w:color w:val="0000EE"/>
                <w:w w:val="85"/>
              </w:rPr>
              <w:t>29</w:t>
            </w:r>
          </w:p>
        </w:tc>
      </w:tr>
      <w:tr>
        <w:trPr>
          <w:trHeight w:val="246"/>
        </w:trPr>
        <w:tc>
          <w:tcPr>
            <w:tcW w:w="220" w:type="dxa"/>
            <w:vAlign w:val="bottom"/>
            <w:tcBorders>
              <w:bottom w:val="single" w:sz="8" w:color="28B5DE"/>
            </w:tcBorders>
          </w:tcPr>
          <w:p>
            <w:pPr>
              <w:spacing w:after="0"/>
              <w:rPr>
                <w:sz w:val="21"/>
                <w:szCs w:val="21"/>
                <w:color w:val="auto"/>
              </w:rPr>
            </w:pPr>
          </w:p>
        </w:tc>
        <w:tc>
          <w:tcPr>
            <w:tcW w:w="200" w:type="dxa"/>
            <w:vAlign w:val="bottom"/>
            <w:tcBorders>
              <w:bottom w:val="single" w:sz="8" w:color="28B5DE"/>
            </w:tcBorders>
          </w:tcPr>
          <w:p>
            <w:pPr>
              <w:spacing w:after="0"/>
              <w:rPr>
                <w:sz w:val="21"/>
                <w:szCs w:val="21"/>
                <w:color w:val="auto"/>
              </w:rPr>
            </w:pPr>
          </w:p>
        </w:tc>
        <w:tc>
          <w:tcPr>
            <w:tcW w:w="1640" w:type="dxa"/>
            <w:vAlign w:val="bottom"/>
            <w:tcBorders>
              <w:top w:val="single" w:sz="8" w:color="0000EE"/>
              <w:bottom w:val="single" w:sz="8" w:color="28B5DE"/>
            </w:tcBorders>
          </w:tcPr>
          <w:p>
            <w:pPr>
              <w:spacing w:after="0"/>
              <w:rPr>
                <w:sz w:val="21"/>
                <w:szCs w:val="21"/>
                <w:color w:val="auto"/>
              </w:rPr>
            </w:pPr>
          </w:p>
        </w:tc>
        <w:tc>
          <w:tcPr>
            <w:tcW w:w="240" w:type="dxa"/>
            <w:vAlign w:val="bottom"/>
            <w:tcBorders>
              <w:top w:val="single" w:sz="8" w:color="0000EE"/>
              <w:bottom w:val="single" w:sz="8" w:color="28B5DE"/>
            </w:tcBorders>
          </w:tcPr>
          <w:p>
            <w:pPr>
              <w:spacing w:after="0"/>
              <w:rPr>
                <w:sz w:val="21"/>
                <w:szCs w:val="21"/>
                <w:color w:val="auto"/>
              </w:rPr>
            </w:pPr>
          </w:p>
        </w:tc>
        <w:tc>
          <w:tcPr>
            <w:tcW w:w="120" w:type="dxa"/>
            <w:vAlign w:val="bottom"/>
            <w:tcBorders>
              <w:top w:val="single" w:sz="8" w:color="0000EE"/>
              <w:bottom w:val="single" w:sz="8" w:color="28B5DE"/>
            </w:tcBorders>
          </w:tcPr>
          <w:p>
            <w:pPr>
              <w:spacing w:after="0"/>
              <w:rPr>
                <w:sz w:val="21"/>
                <w:szCs w:val="21"/>
                <w:color w:val="auto"/>
              </w:rPr>
            </w:pPr>
          </w:p>
        </w:tc>
        <w:tc>
          <w:tcPr>
            <w:tcW w:w="360" w:type="dxa"/>
            <w:vAlign w:val="bottom"/>
            <w:tcBorders>
              <w:top w:val="single" w:sz="8" w:color="0000EE"/>
              <w:bottom w:val="single" w:sz="8" w:color="28B5DE"/>
            </w:tcBorders>
          </w:tcPr>
          <w:p>
            <w:pPr>
              <w:spacing w:after="0"/>
              <w:rPr>
                <w:sz w:val="21"/>
                <w:szCs w:val="21"/>
                <w:color w:val="auto"/>
              </w:rPr>
            </w:pPr>
          </w:p>
        </w:tc>
        <w:tc>
          <w:tcPr>
            <w:tcW w:w="220" w:type="dxa"/>
            <w:vAlign w:val="bottom"/>
            <w:tcBorders>
              <w:top w:val="single" w:sz="8" w:color="0000EE"/>
              <w:bottom w:val="single" w:sz="8" w:color="28B5DE"/>
            </w:tcBorders>
          </w:tcPr>
          <w:p>
            <w:pPr>
              <w:spacing w:after="0"/>
              <w:rPr>
                <w:sz w:val="21"/>
                <w:szCs w:val="21"/>
                <w:color w:val="auto"/>
              </w:rPr>
            </w:pPr>
          </w:p>
        </w:tc>
        <w:tc>
          <w:tcPr>
            <w:tcW w:w="200" w:type="dxa"/>
            <w:vAlign w:val="bottom"/>
            <w:tcBorders>
              <w:top w:val="single" w:sz="8" w:color="0000EE"/>
              <w:bottom w:val="single" w:sz="8" w:color="28B5DE"/>
            </w:tcBorders>
          </w:tcPr>
          <w:p>
            <w:pPr>
              <w:spacing w:after="0"/>
              <w:rPr>
                <w:sz w:val="21"/>
                <w:szCs w:val="21"/>
                <w:color w:val="auto"/>
              </w:rPr>
            </w:pPr>
          </w:p>
        </w:tc>
        <w:tc>
          <w:tcPr>
            <w:tcW w:w="240" w:type="dxa"/>
            <w:vAlign w:val="bottom"/>
            <w:tcBorders>
              <w:top w:val="single" w:sz="8" w:color="0000EE"/>
              <w:bottom w:val="single" w:sz="8" w:color="28B5DE"/>
            </w:tcBorders>
          </w:tcPr>
          <w:p>
            <w:pPr>
              <w:spacing w:after="0"/>
              <w:rPr>
                <w:sz w:val="21"/>
                <w:szCs w:val="21"/>
                <w:color w:val="auto"/>
              </w:rPr>
            </w:pPr>
          </w:p>
        </w:tc>
        <w:tc>
          <w:tcPr>
            <w:tcW w:w="200" w:type="dxa"/>
            <w:vAlign w:val="bottom"/>
            <w:tcBorders>
              <w:bottom w:val="single" w:sz="8" w:color="28B5DE"/>
            </w:tcBorders>
          </w:tcPr>
          <w:p>
            <w:pPr>
              <w:spacing w:after="0"/>
              <w:rPr>
                <w:sz w:val="21"/>
                <w:szCs w:val="21"/>
                <w:color w:val="auto"/>
              </w:rPr>
            </w:pPr>
          </w:p>
        </w:tc>
        <w:tc>
          <w:tcPr>
            <w:tcW w:w="80" w:type="dxa"/>
            <w:vAlign w:val="bottom"/>
            <w:tcBorders>
              <w:bottom w:val="single" w:sz="8" w:color="28B5DE"/>
            </w:tcBorders>
          </w:tcPr>
          <w:p>
            <w:pPr>
              <w:spacing w:after="0"/>
              <w:rPr>
                <w:sz w:val="21"/>
                <w:szCs w:val="21"/>
                <w:color w:val="auto"/>
              </w:rPr>
            </w:pPr>
          </w:p>
        </w:tc>
        <w:tc>
          <w:tcPr>
            <w:tcW w:w="80" w:type="dxa"/>
            <w:vAlign w:val="bottom"/>
            <w:tcBorders>
              <w:bottom w:val="single" w:sz="8" w:color="28B5DE"/>
            </w:tcBorders>
          </w:tcPr>
          <w:p>
            <w:pPr>
              <w:spacing w:after="0"/>
              <w:rPr>
                <w:sz w:val="21"/>
                <w:szCs w:val="21"/>
                <w:color w:val="auto"/>
              </w:rPr>
            </w:pPr>
          </w:p>
        </w:tc>
        <w:tc>
          <w:tcPr>
            <w:tcW w:w="340" w:type="dxa"/>
            <w:vAlign w:val="bottom"/>
            <w:tcBorders>
              <w:bottom w:val="single" w:sz="8" w:color="28B5DE"/>
            </w:tcBorders>
          </w:tcPr>
          <w:p>
            <w:pPr>
              <w:spacing w:after="0"/>
              <w:rPr>
                <w:sz w:val="21"/>
                <w:szCs w:val="21"/>
                <w:color w:val="auto"/>
              </w:rPr>
            </w:pPr>
          </w:p>
        </w:tc>
        <w:tc>
          <w:tcPr>
            <w:tcW w:w="280" w:type="dxa"/>
            <w:vAlign w:val="bottom"/>
            <w:tcBorders>
              <w:bottom w:val="single" w:sz="8" w:color="28B5DE"/>
            </w:tcBorders>
          </w:tcPr>
          <w:p>
            <w:pPr>
              <w:spacing w:after="0"/>
              <w:rPr>
                <w:sz w:val="21"/>
                <w:szCs w:val="21"/>
                <w:color w:val="auto"/>
              </w:rPr>
            </w:pPr>
          </w:p>
        </w:tc>
        <w:tc>
          <w:tcPr>
            <w:tcW w:w="120" w:type="dxa"/>
            <w:vAlign w:val="bottom"/>
            <w:tcBorders>
              <w:bottom w:val="single" w:sz="8" w:color="28B5DE"/>
            </w:tcBorders>
          </w:tcPr>
          <w:p>
            <w:pPr>
              <w:spacing w:after="0"/>
              <w:rPr>
                <w:sz w:val="21"/>
                <w:szCs w:val="21"/>
                <w:color w:val="auto"/>
              </w:rPr>
            </w:pPr>
          </w:p>
        </w:tc>
        <w:tc>
          <w:tcPr>
            <w:tcW w:w="80" w:type="dxa"/>
            <w:vAlign w:val="bottom"/>
            <w:tcBorders>
              <w:bottom w:val="single" w:sz="8" w:color="28B5DE"/>
            </w:tcBorders>
          </w:tcPr>
          <w:p>
            <w:pPr>
              <w:spacing w:after="0"/>
              <w:rPr>
                <w:sz w:val="21"/>
                <w:szCs w:val="21"/>
                <w:color w:val="auto"/>
              </w:rPr>
            </w:pPr>
          </w:p>
        </w:tc>
        <w:tc>
          <w:tcPr>
            <w:tcW w:w="420" w:type="dxa"/>
            <w:vAlign w:val="bottom"/>
            <w:tcBorders>
              <w:bottom w:val="single" w:sz="8" w:color="28B5DE"/>
            </w:tcBorders>
          </w:tcPr>
          <w:p>
            <w:pPr>
              <w:spacing w:after="0"/>
              <w:rPr>
                <w:sz w:val="21"/>
                <w:szCs w:val="21"/>
                <w:color w:val="auto"/>
              </w:rPr>
            </w:pPr>
          </w:p>
        </w:tc>
        <w:tc>
          <w:tcPr>
            <w:tcW w:w="700" w:type="dxa"/>
            <w:vAlign w:val="bottom"/>
            <w:tcBorders>
              <w:bottom w:val="single" w:sz="8" w:color="28B5DE"/>
            </w:tcBorders>
          </w:tcPr>
          <w:p>
            <w:pPr>
              <w:spacing w:after="0"/>
              <w:rPr>
                <w:sz w:val="21"/>
                <w:szCs w:val="21"/>
                <w:color w:val="auto"/>
              </w:rPr>
            </w:pPr>
          </w:p>
        </w:tc>
        <w:tc>
          <w:tcPr>
            <w:tcW w:w="2380" w:type="dxa"/>
            <w:vAlign w:val="bottom"/>
            <w:tcBorders>
              <w:bottom w:val="single" w:sz="8" w:color="28B5DE"/>
            </w:tcBorders>
          </w:tcPr>
          <w:p>
            <w:pPr>
              <w:spacing w:after="0"/>
              <w:rPr>
                <w:sz w:val="21"/>
                <w:szCs w:val="21"/>
                <w:color w:val="auto"/>
              </w:rPr>
            </w:pPr>
          </w:p>
        </w:tc>
        <w:tc>
          <w:tcPr>
            <w:tcW w:w="100" w:type="dxa"/>
            <w:vAlign w:val="bottom"/>
            <w:tcBorders>
              <w:bottom w:val="single" w:sz="8" w:color="28B5DE"/>
            </w:tcBorders>
          </w:tcPr>
          <w:p>
            <w:pPr>
              <w:spacing w:after="0"/>
              <w:rPr>
                <w:sz w:val="21"/>
                <w:szCs w:val="21"/>
                <w:color w:val="auto"/>
              </w:rPr>
            </w:pPr>
          </w:p>
        </w:tc>
        <w:tc>
          <w:tcPr>
            <w:tcW w:w="300" w:type="dxa"/>
            <w:vAlign w:val="bottom"/>
            <w:tcBorders>
              <w:bottom w:val="single" w:sz="8" w:color="28B5DE"/>
            </w:tcBorders>
          </w:tcPr>
          <w:p>
            <w:pPr>
              <w:spacing w:after="0"/>
              <w:rPr>
                <w:sz w:val="21"/>
                <w:szCs w:val="21"/>
                <w:color w:val="auto"/>
              </w:rPr>
            </w:pPr>
          </w:p>
        </w:tc>
        <w:tc>
          <w:tcPr>
            <w:tcW w:w="100" w:type="dxa"/>
            <w:vAlign w:val="bottom"/>
            <w:tcBorders>
              <w:top w:val="single" w:sz="8" w:color="0000EE"/>
              <w:bottom w:val="single" w:sz="8" w:color="28B5DE"/>
            </w:tcBorders>
          </w:tcPr>
          <w:p>
            <w:pPr>
              <w:spacing w:after="0"/>
              <w:rPr>
                <w:sz w:val="21"/>
                <w:szCs w:val="21"/>
                <w:color w:val="auto"/>
              </w:rPr>
            </w:pPr>
          </w:p>
        </w:tc>
        <w:tc>
          <w:tcPr>
            <w:tcW w:w="100" w:type="dxa"/>
            <w:vAlign w:val="bottom"/>
            <w:tcBorders>
              <w:top w:val="single" w:sz="8" w:color="0000EE"/>
              <w:bottom w:val="single" w:sz="8" w:color="28B5DE"/>
            </w:tcBorders>
          </w:tcPr>
          <w:p>
            <w:pPr>
              <w:spacing w:after="0"/>
              <w:rPr>
                <w:sz w:val="21"/>
                <w:szCs w:val="21"/>
                <w:color w:val="auto"/>
              </w:rPr>
            </w:pPr>
          </w:p>
        </w:tc>
        <w:tc>
          <w:tcPr>
            <w:tcW w:w="20" w:type="dxa"/>
            <w:vAlign w:val="bottom"/>
            <w:tcBorders>
              <w:bottom w:val="single" w:sz="8" w:color="28B5DE"/>
            </w:tcBorders>
          </w:tcPr>
          <w:p>
            <w:pPr>
              <w:spacing w:after="0"/>
              <w:rPr>
                <w:sz w:val="21"/>
                <w:szCs w:val="21"/>
                <w:color w:val="auto"/>
              </w:rPr>
            </w:pPr>
          </w:p>
        </w:tc>
      </w:tr>
    </w:tbl>
    <w:p>
      <w:pPr>
        <w:spacing w:after="0" w:line="321"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195580</wp:posOffset>
            </wp:positionV>
            <wp:extent cx="656971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780" w:type="dxa"/>
        <w:tblCellMar>
          <w:top w:w="0" w:type="dxa"/>
          <w:left w:w="0" w:type="dxa"/>
          <w:bottom w:w="0" w:type="dxa"/>
          <w:right w:w="0" w:type="dxa"/>
        </w:tblCellMar>
      </w:tblPr>
      <w:tr>
        <w:trPr>
          <w:trHeight w:val="324"/>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Non-Employee Director Compensation Policy</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29</w:t>
            </w:r>
          </w:p>
        </w:tc>
        <w:tc>
          <w:tcPr>
            <w:tcW w:w="20" w:type="dxa"/>
            <w:vAlign w:val="bottom"/>
          </w:tcPr>
          <w:p>
            <w:pPr>
              <w:spacing w:after="0"/>
              <w:rPr>
                <w:sz w:val="24"/>
                <w:szCs w:val="24"/>
                <w:color w:val="auto"/>
              </w:rPr>
            </w:pPr>
          </w:p>
        </w:tc>
      </w:tr>
      <w:tr>
        <w:trPr>
          <w:trHeight w:val="26"/>
        </w:trPr>
        <w:tc>
          <w:tcPr>
            <w:tcW w:w="420" w:type="dxa"/>
            <w:vAlign w:val="bottom"/>
            <w:shd w:val="clear" w:color="auto" w:fill="CCEEFF"/>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28"/>
        </w:trPr>
        <w:tc>
          <w:tcPr>
            <w:tcW w:w="7580" w:type="dxa"/>
            <w:vAlign w:val="bottom"/>
            <w:tcBorders>
              <w:bottom w:val="single" w:sz="8" w:color="28B5DE"/>
            </w:tcBorders>
            <w:gridSpan w:val="23"/>
          </w:tcPr>
          <w:p>
            <w:pPr>
              <w:spacing w:after="0"/>
              <w:rPr>
                <w:sz w:val="20"/>
                <w:szCs w:val="20"/>
                <w:color w:val="auto"/>
              </w:rPr>
            </w:pPr>
            <w:r>
              <w:rPr>
                <w:rFonts w:ascii="Arial" w:cs="Arial" w:eastAsia="Arial" w:hAnsi="Arial"/>
                <w:sz w:val="21"/>
                <w:szCs w:val="21"/>
                <w:b w:val="1"/>
                <w:bCs w:val="1"/>
                <w:color w:val="28B5DE"/>
                <w:w w:val="94"/>
              </w:rPr>
              <w:t>PROPOSAL 2: APPROVAL, ON AN ADVISORY BASIS, OF THE COMPENSATION</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8040" w:type="dxa"/>
            <w:vAlign w:val="bottom"/>
            <w:gridSpan w:val="24"/>
          </w:tcPr>
          <w:p>
            <w:pPr>
              <w:spacing w:after="0" w:line="227" w:lineRule="exact"/>
              <w:rPr>
                <w:sz w:val="20"/>
                <w:szCs w:val="20"/>
                <w:color w:val="auto"/>
              </w:rPr>
            </w:pPr>
            <w:r>
              <w:rPr>
                <w:rFonts w:ascii="Arial" w:cs="Arial" w:eastAsia="Arial" w:hAnsi="Arial"/>
                <w:sz w:val="21"/>
                <w:szCs w:val="21"/>
                <w:b w:val="1"/>
                <w:bCs w:val="1"/>
                <w:color w:val="28B5DE"/>
              </w:rPr>
              <w:t>OF OUR NAMED EXECUTIVE OFFICERS</w:t>
            </w:r>
          </w:p>
        </w:tc>
        <w:tc>
          <w:tcPr>
            <w:tcW w:w="700" w:type="dxa"/>
            <w:vAlign w:val="bottom"/>
            <w:gridSpan w:val="3"/>
          </w:tcPr>
          <w:p>
            <w:pPr>
              <w:ind w:left="460"/>
              <w:spacing w:after="0" w:line="227" w:lineRule="exact"/>
              <w:rPr>
                <w:sz w:val="20"/>
                <w:szCs w:val="20"/>
                <w:color w:val="auto"/>
              </w:rPr>
            </w:pPr>
            <w:r>
              <w:rPr>
                <w:rFonts w:ascii="Arial" w:cs="Arial" w:eastAsia="Arial" w:hAnsi="Arial"/>
                <w:sz w:val="21"/>
                <w:szCs w:val="21"/>
                <w:color w:val="0000EE"/>
                <w:w w:val="93"/>
              </w:rPr>
              <w:t>31</w:t>
            </w:r>
          </w:p>
        </w:tc>
      </w:tr>
      <w:tr>
        <w:trPr>
          <w:trHeight w:val="29"/>
        </w:trPr>
        <w:tc>
          <w:tcPr>
            <w:tcW w:w="420" w:type="dxa"/>
            <w:vAlign w:val="bottom"/>
            <w:shd w:val="clear" w:color="auto" w:fill="28B5DE"/>
          </w:tcPr>
          <w:p>
            <w:pPr>
              <w:spacing w:after="0"/>
              <w:rPr>
                <w:sz w:val="2"/>
                <w:szCs w:val="2"/>
                <w:color w:val="auto"/>
              </w:rPr>
            </w:pPr>
          </w:p>
        </w:tc>
        <w:tc>
          <w:tcPr>
            <w:tcW w:w="820" w:type="dxa"/>
            <w:vAlign w:val="bottom"/>
            <w:shd w:val="clear" w:color="auto" w:fill="28B5DE"/>
          </w:tcPr>
          <w:p>
            <w:pPr>
              <w:spacing w:after="0"/>
              <w:rPr>
                <w:sz w:val="2"/>
                <w:szCs w:val="2"/>
                <w:color w:val="auto"/>
              </w:rPr>
            </w:pPr>
          </w:p>
        </w:tc>
        <w:tc>
          <w:tcPr>
            <w:tcW w:w="300" w:type="dxa"/>
            <w:vAlign w:val="bottom"/>
            <w:shd w:val="clear" w:color="auto" w:fill="28B5DE"/>
          </w:tcPr>
          <w:p>
            <w:pPr>
              <w:spacing w:after="0"/>
              <w:rPr>
                <w:sz w:val="2"/>
                <w:szCs w:val="2"/>
                <w:color w:val="auto"/>
              </w:rPr>
            </w:pPr>
          </w:p>
        </w:tc>
        <w:tc>
          <w:tcPr>
            <w:tcW w:w="940" w:type="dxa"/>
            <w:vAlign w:val="bottom"/>
            <w:shd w:val="clear" w:color="auto" w:fill="28B5DE"/>
          </w:tcPr>
          <w:p>
            <w:pPr>
              <w:spacing w:after="0"/>
              <w:rPr>
                <w:sz w:val="2"/>
                <w:szCs w:val="2"/>
                <w:color w:val="auto"/>
              </w:rPr>
            </w:pPr>
          </w:p>
        </w:tc>
        <w:tc>
          <w:tcPr>
            <w:tcW w:w="160" w:type="dxa"/>
            <w:vAlign w:val="bottom"/>
            <w:shd w:val="clear" w:color="auto" w:fill="28B5DE"/>
          </w:tcPr>
          <w:p>
            <w:pPr>
              <w:spacing w:after="0"/>
              <w:rPr>
                <w:sz w:val="2"/>
                <w:szCs w:val="2"/>
                <w:color w:val="auto"/>
              </w:rPr>
            </w:pPr>
          </w:p>
        </w:tc>
        <w:tc>
          <w:tcPr>
            <w:tcW w:w="260" w:type="dxa"/>
            <w:vAlign w:val="bottom"/>
            <w:shd w:val="clear" w:color="auto" w:fill="28B5DE"/>
          </w:tcPr>
          <w:p>
            <w:pPr>
              <w:spacing w:after="0"/>
              <w:rPr>
                <w:sz w:val="2"/>
                <w:szCs w:val="2"/>
                <w:color w:val="auto"/>
              </w:rPr>
            </w:pPr>
          </w:p>
        </w:tc>
        <w:tc>
          <w:tcPr>
            <w:tcW w:w="100" w:type="dxa"/>
            <w:vAlign w:val="bottom"/>
            <w:shd w:val="clear" w:color="auto" w:fill="28B5DE"/>
          </w:tcPr>
          <w:p>
            <w:pPr>
              <w:spacing w:after="0"/>
              <w:rPr>
                <w:sz w:val="2"/>
                <w:szCs w:val="2"/>
                <w:color w:val="auto"/>
              </w:rPr>
            </w:pPr>
          </w:p>
        </w:tc>
        <w:tc>
          <w:tcPr>
            <w:tcW w:w="140" w:type="dxa"/>
            <w:vAlign w:val="bottom"/>
            <w:shd w:val="clear" w:color="auto" w:fill="28B5DE"/>
          </w:tcPr>
          <w:p>
            <w:pPr>
              <w:spacing w:after="0"/>
              <w:rPr>
                <w:sz w:val="2"/>
                <w:szCs w:val="2"/>
                <w:color w:val="auto"/>
              </w:rPr>
            </w:pPr>
          </w:p>
        </w:tc>
        <w:tc>
          <w:tcPr>
            <w:tcW w:w="200" w:type="dxa"/>
            <w:vAlign w:val="bottom"/>
            <w:shd w:val="clear" w:color="auto" w:fill="28B5DE"/>
          </w:tcPr>
          <w:p>
            <w:pPr>
              <w:spacing w:after="0"/>
              <w:rPr>
                <w:sz w:val="2"/>
                <w:szCs w:val="2"/>
                <w:color w:val="auto"/>
              </w:rPr>
            </w:pPr>
          </w:p>
        </w:tc>
        <w:tc>
          <w:tcPr>
            <w:tcW w:w="160" w:type="dxa"/>
            <w:vAlign w:val="bottom"/>
            <w:shd w:val="clear" w:color="auto" w:fill="28B5DE"/>
          </w:tcPr>
          <w:p>
            <w:pPr>
              <w:spacing w:after="0"/>
              <w:rPr>
                <w:sz w:val="2"/>
                <w:szCs w:val="2"/>
                <w:color w:val="auto"/>
              </w:rPr>
            </w:pPr>
          </w:p>
        </w:tc>
        <w:tc>
          <w:tcPr>
            <w:tcW w:w="120" w:type="dxa"/>
            <w:vAlign w:val="bottom"/>
            <w:shd w:val="clear" w:color="auto" w:fill="28B5DE"/>
          </w:tcPr>
          <w:p>
            <w:pPr>
              <w:spacing w:after="0"/>
              <w:rPr>
                <w:sz w:val="2"/>
                <w:szCs w:val="2"/>
                <w:color w:val="auto"/>
              </w:rPr>
            </w:pPr>
          </w:p>
        </w:tc>
        <w:tc>
          <w:tcPr>
            <w:tcW w:w="100" w:type="dxa"/>
            <w:vAlign w:val="bottom"/>
            <w:shd w:val="clear" w:color="auto" w:fill="28B5DE"/>
          </w:tcPr>
          <w:p>
            <w:pPr>
              <w:spacing w:after="0"/>
              <w:rPr>
                <w:sz w:val="2"/>
                <w:szCs w:val="2"/>
                <w:color w:val="auto"/>
              </w:rPr>
            </w:pPr>
          </w:p>
        </w:tc>
        <w:tc>
          <w:tcPr>
            <w:tcW w:w="120" w:type="dxa"/>
            <w:vAlign w:val="bottom"/>
            <w:tcBorders>
              <w:right w:val="single" w:sz="8" w:color="28B5DE"/>
            </w:tcBorders>
            <w:shd w:val="clear" w:color="auto" w:fill="28B5DE"/>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38"/>
        </w:trPr>
        <w:tc>
          <w:tcPr>
            <w:tcW w:w="8040" w:type="dxa"/>
            <w:vAlign w:val="bottom"/>
            <w:gridSpan w:val="24"/>
            <w:shd w:val="clear" w:color="auto" w:fill="CCEEFF"/>
          </w:tcPr>
          <w:p>
            <w:pPr>
              <w:spacing w:after="0"/>
              <w:rPr>
                <w:sz w:val="20"/>
                <w:szCs w:val="20"/>
                <w:color w:val="auto"/>
              </w:rPr>
            </w:pPr>
            <w:r>
              <w:rPr>
                <w:rFonts w:ascii="Arial" w:cs="Arial" w:eastAsia="Arial" w:hAnsi="Arial"/>
                <w:sz w:val="21"/>
                <w:szCs w:val="21"/>
                <w:b w:val="1"/>
                <w:bCs w:val="1"/>
                <w:color w:val="28B5DE"/>
              </w:rPr>
              <w:t>COMPENSATION DISCUSSION AND ANALYSIS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32</w:t>
            </w:r>
          </w:p>
        </w:tc>
        <w:tc>
          <w:tcPr>
            <w:tcW w:w="20" w:type="dxa"/>
            <w:vAlign w:val="bottom"/>
          </w:tcPr>
          <w:p>
            <w:pPr>
              <w:spacing w:after="0"/>
              <w:rPr>
                <w:sz w:val="24"/>
                <w:szCs w:val="24"/>
                <w:color w:val="auto"/>
              </w:rPr>
            </w:pPr>
          </w:p>
        </w:tc>
      </w:tr>
      <w:tr>
        <w:trPr>
          <w:trHeight w:val="39"/>
        </w:trPr>
        <w:tc>
          <w:tcPr>
            <w:tcW w:w="420" w:type="dxa"/>
            <w:vAlign w:val="bottom"/>
            <w:shd w:val="clear" w:color="auto" w:fill="28B5DE"/>
          </w:tcPr>
          <w:p>
            <w:pPr>
              <w:spacing w:after="0"/>
              <w:rPr>
                <w:sz w:val="3"/>
                <w:szCs w:val="3"/>
                <w:color w:val="auto"/>
              </w:rPr>
            </w:pPr>
          </w:p>
        </w:tc>
        <w:tc>
          <w:tcPr>
            <w:tcW w:w="820" w:type="dxa"/>
            <w:vAlign w:val="bottom"/>
            <w:shd w:val="clear" w:color="auto" w:fill="28B5DE"/>
          </w:tcPr>
          <w:p>
            <w:pPr>
              <w:spacing w:after="0"/>
              <w:rPr>
                <w:sz w:val="3"/>
                <w:szCs w:val="3"/>
                <w:color w:val="auto"/>
              </w:rPr>
            </w:pPr>
          </w:p>
        </w:tc>
        <w:tc>
          <w:tcPr>
            <w:tcW w:w="300" w:type="dxa"/>
            <w:vAlign w:val="bottom"/>
            <w:shd w:val="clear" w:color="auto" w:fill="28B5DE"/>
          </w:tcPr>
          <w:p>
            <w:pPr>
              <w:spacing w:after="0"/>
              <w:rPr>
                <w:sz w:val="3"/>
                <w:szCs w:val="3"/>
                <w:color w:val="auto"/>
              </w:rPr>
            </w:pPr>
          </w:p>
        </w:tc>
        <w:tc>
          <w:tcPr>
            <w:tcW w:w="940" w:type="dxa"/>
            <w:vAlign w:val="bottom"/>
            <w:shd w:val="clear" w:color="auto" w:fill="28B5DE"/>
          </w:tcPr>
          <w:p>
            <w:pPr>
              <w:spacing w:after="0"/>
              <w:rPr>
                <w:sz w:val="3"/>
                <w:szCs w:val="3"/>
                <w:color w:val="auto"/>
              </w:rPr>
            </w:pPr>
          </w:p>
        </w:tc>
        <w:tc>
          <w:tcPr>
            <w:tcW w:w="160" w:type="dxa"/>
            <w:vAlign w:val="bottom"/>
            <w:shd w:val="clear" w:color="auto" w:fill="28B5DE"/>
          </w:tcPr>
          <w:p>
            <w:pPr>
              <w:spacing w:after="0"/>
              <w:rPr>
                <w:sz w:val="3"/>
                <w:szCs w:val="3"/>
                <w:color w:val="auto"/>
              </w:rPr>
            </w:pPr>
          </w:p>
        </w:tc>
        <w:tc>
          <w:tcPr>
            <w:tcW w:w="260" w:type="dxa"/>
            <w:vAlign w:val="bottom"/>
            <w:shd w:val="clear" w:color="auto" w:fill="28B5DE"/>
          </w:tcPr>
          <w:p>
            <w:pPr>
              <w:spacing w:after="0"/>
              <w:rPr>
                <w:sz w:val="3"/>
                <w:szCs w:val="3"/>
                <w:color w:val="auto"/>
              </w:rPr>
            </w:pPr>
          </w:p>
        </w:tc>
        <w:tc>
          <w:tcPr>
            <w:tcW w:w="100" w:type="dxa"/>
            <w:vAlign w:val="bottom"/>
            <w:shd w:val="clear" w:color="auto" w:fill="28B5DE"/>
          </w:tcPr>
          <w:p>
            <w:pPr>
              <w:spacing w:after="0"/>
              <w:rPr>
                <w:sz w:val="3"/>
                <w:szCs w:val="3"/>
                <w:color w:val="auto"/>
              </w:rPr>
            </w:pPr>
          </w:p>
        </w:tc>
        <w:tc>
          <w:tcPr>
            <w:tcW w:w="140" w:type="dxa"/>
            <w:vAlign w:val="bottom"/>
            <w:shd w:val="clear" w:color="auto" w:fill="28B5DE"/>
          </w:tcPr>
          <w:p>
            <w:pPr>
              <w:spacing w:after="0"/>
              <w:rPr>
                <w:sz w:val="3"/>
                <w:szCs w:val="3"/>
                <w:color w:val="auto"/>
              </w:rPr>
            </w:pPr>
          </w:p>
        </w:tc>
        <w:tc>
          <w:tcPr>
            <w:tcW w:w="200" w:type="dxa"/>
            <w:vAlign w:val="bottom"/>
            <w:shd w:val="clear" w:color="auto" w:fill="28B5DE"/>
          </w:tcPr>
          <w:p>
            <w:pPr>
              <w:spacing w:after="0"/>
              <w:rPr>
                <w:sz w:val="3"/>
                <w:szCs w:val="3"/>
                <w:color w:val="auto"/>
              </w:rPr>
            </w:pPr>
          </w:p>
        </w:tc>
        <w:tc>
          <w:tcPr>
            <w:tcW w:w="160" w:type="dxa"/>
            <w:vAlign w:val="bottom"/>
            <w:shd w:val="clear" w:color="auto" w:fill="28B5DE"/>
          </w:tcPr>
          <w:p>
            <w:pPr>
              <w:spacing w:after="0"/>
              <w:rPr>
                <w:sz w:val="3"/>
                <w:szCs w:val="3"/>
                <w:color w:val="auto"/>
              </w:rPr>
            </w:pPr>
          </w:p>
        </w:tc>
        <w:tc>
          <w:tcPr>
            <w:tcW w:w="120" w:type="dxa"/>
            <w:vAlign w:val="bottom"/>
            <w:shd w:val="clear" w:color="auto" w:fill="28B5DE"/>
          </w:tcPr>
          <w:p>
            <w:pPr>
              <w:spacing w:after="0"/>
              <w:rPr>
                <w:sz w:val="3"/>
                <w:szCs w:val="3"/>
                <w:color w:val="auto"/>
              </w:rPr>
            </w:pPr>
          </w:p>
        </w:tc>
        <w:tc>
          <w:tcPr>
            <w:tcW w:w="100" w:type="dxa"/>
            <w:vAlign w:val="bottom"/>
            <w:shd w:val="clear" w:color="auto" w:fill="28B5DE"/>
          </w:tcPr>
          <w:p>
            <w:pPr>
              <w:spacing w:after="0"/>
              <w:rPr>
                <w:sz w:val="3"/>
                <w:szCs w:val="3"/>
                <w:color w:val="auto"/>
              </w:rPr>
            </w:pPr>
          </w:p>
        </w:tc>
        <w:tc>
          <w:tcPr>
            <w:tcW w:w="120" w:type="dxa"/>
            <w:vAlign w:val="bottom"/>
            <w:tcBorders>
              <w:right w:val="single" w:sz="8" w:color="28B5DE"/>
            </w:tcBorders>
            <w:shd w:val="clear" w:color="auto" w:fill="28B5DE"/>
          </w:tcPr>
          <w:p>
            <w:pPr>
              <w:spacing w:after="0"/>
              <w:rPr>
                <w:sz w:val="3"/>
                <w:szCs w:val="3"/>
                <w:color w:val="auto"/>
              </w:rPr>
            </w:pPr>
          </w:p>
        </w:tc>
        <w:tc>
          <w:tcPr>
            <w:tcW w:w="160" w:type="dxa"/>
            <w:vAlign w:val="bottom"/>
            <w:tcBorders>
              <w:left w:val="single" w:sz="8" w:color="28B5DE"/>
              <w:right w:val="single" w:sz="8" w:color="28B5DE"/>
            </w:tcBorders>
            <w:shd w:val="clear" w:color="auto" w:fill="28B5DE"/>
          </w:tcPr>
          <w:p>
            <w:pPr>
              <w:spacing w:after="0"/>
              <w:rPr>
                <w:sz w:val="3"/>
                <w:szCs w:val="3"/>
                <w:color w:val="auto"/>
              </w:rPr>
            </w:pPr>
          </w:p>
        </w:tc>
        <w:tc>
          <w:tcPr>
            <w:tcW w:w="80" w:type="dxa"/>
            <w:vAlign w:val="bottom"/>
            <w:shd w:val="clear" w:color="auto" w:fill="28B5DE"/>
          </w:tcPr>
          <w:p>
            <w:pPr>
              <w:spacing w:after="0"/>
              <w:rPr>
                <w:sz w:val="3"/>
                <w:szCs w:val="3"/>
                <w:color w:val="auto"/>
              </w:rPr>
            </w:pPr>
          </w:p>
        </w:tc>
        <w:tc>
          <w:tcPr>
            <w:tcW w:w="180" w:type="dxa"/>
            <w:vAlign w:val="bottom"/>
            <w:tcBorders>
              <w:right w:val="single" w:sz="8" w:color="28B5DE"/>
            </w:tcBorders>
            <w:shd w:val="clear" w:color="auto" w:fill="28B5DE"/>
          </w:tcPr>
          <w:p>
            <w:pPr>
              <w:spacing w:after="0"/>
              <w:rPr>
                <w:sz w:val="3"/>
                <w:szCs w:val="3"/>
                <w:color w:val="auto"/>
              </w:rPr>
            </w:pPr>
          </w:p>
        </w:tc>
        <w:tc>
          <w:tcPr>
            <w:tcW w:w="100" w:type="dxa"/>
            <w:vAlign w:val="bottom"/>
            <w:shd w:val="clear" w:color="auto" w:fill="28B5DE"/>
          </w:tcPr>
          <w:p>
            <w:pPr>
              <w:spacing w:after="0"/>
              <w:rPr>
                <w:sz w:val="3"/>
                <w:szCs w:val="3"/>
                <w:color w:val="auto"/>
              </w:rPr>
            </w:pPr>
          </w:p>
        </w:tc>
        <w:tc>
          <w:tcPr>
            <w:tcW w:w="140" w:type="dxa"/>
            <w:vAlign w:val="bottom"/>
            <w:tcBorders>
              <w:left w:val="single" w:sz="8" w:color="28B5DE"/>
              <w:right w:val="single" w:sz="8" w:color="CCEEFF"/>
            </w:tcBorders>
            <w:shd w:val="clear" w:color="auto" w:fill="28B5D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4500" w:type="dxa"/>
            <w:vAlign w:val="bottom"/>
            <w:gridSpan w:val="18"/>
          </w:tcPr>
          <w:p>
            <w:pPr>
              <w:ind w:left="420"/>
              <w:spacing w:after="0"/>
              <w:rPr>
                <w:sz w:val="20"/>
                <w:szCs w:val="20"/>
                <w:color w:val="auto"/>
              </w:rPr>
            </w:pPr>
            <w:r>
              <w:rPr>
                <w:rFonts w:ascii="Arial" w:cs="Arial" w:eastAsia="Arial" w:hAnsi="Arial"/>
                <w:sz w:val="21"/>
                <w:szCs w:val="21"/>
                <w:color w:val="0000EE"/>
              </w:rPr>
              <w:t>Overview</w:t>
            </w:r>
          </w:p>
        </w:tc>
        <w:tc>
          <w:tcPr>
            <w:tcW w:w="3540" w:type="dxa"/>
            <w:vAlign w:val="bottom"/>
            <w:gridSpan w:val="6"/>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21"/>
                <w:szCs w:val="21"/>
                <w:color w:val="0000EE"/>
                <w:w w:val="93"/>
              </w:rPr>
              <w:t>32</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2024 Business Performance Highlights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32</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CCEEFF"/>
            </w:tcBorders>
            <w:shd w:val="clear" w:color="auto" w:fill="0000EE"/>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2024 Executive Compensation Highlights</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32</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Consideration of 2024 Say-On-Pay Result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34</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Compensation Philosophy and Program</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35</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Compensation-Setting Process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38</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Compensation Elements for 2024</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41</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Other Compensation Policies and Practices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48</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Leadership Development and Compensation Committee Report</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52</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40" w:type="dxa"/>
            <w:vAlign w:val="bottom"/>
            <w:tcBorders>
              <w:lef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38"/>
        </w:trPr>
        <w:tc>
          <w:tcPr>
            <w:tcW w:w="8040" w:type="dxa"/>
            <w:vAlign w:val="bottom"/>
            <w:gridSpan w:val="24"/>
            <w:shd w:val="clear" w:color="auto" w:fill="CCEEFF"/>
          </w:tcPr>
          <w:p>
            <w:pPr>
              <w:spacing w:after="0"/>
              <w:rPr>
                <w:sz w:val="20"/>
                <w:szCs w:val="20"/>
                <w:color w:val="auto"/>
              </w:rPr>
            </w:pPr>
            <w:r>
              <w:rPr>
                <w:rFonts w:ascii="Arial" w:cs="Arial" w:eastAsia="Arial" w:hAnsi="Arial"/>
                <w:sz w:val="21"/>
                <w:szCs w:val="21"/>
                <w:b w:val="1"/>
                <w:bCs w:val="1"/>
                <w:color w:val="28B5DE"/>
              </w:rPr>
              <w:t>COMPENSATION TABLES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53</w:t>
            </w:r>
          </w:p>
        </w:tc>
        <w:tc>
          <w:tcPr>
            <w:tcW w:w="20" w:type="dxa"/>
            <w:vAlign w:val="bottom"/>
          </w:tcPr>
          <w:p>
            <w:pPr>
              <w:spacing w:after="0"/>
              <w:rPr>
                <w:sz w:val="24"/>
                <w:szCs w:val="24"/>
                <w:color w:val="auto"/>
              </w:rPr>
            </w:pPr>
          </w:p>
        </w:tc>
      </w:tr>
      <w:tr>
        <w:trPr>
          <w:trHeight w:val="39"/>
        </w:trPr>
        <w:tc>
          <w:tcPr>
            <w:tcW w:w="420" w:type="dxa"/>
            <w:vAlign w:val="bottom"/>
            <w:shd w:val="clear" w:color="auto" w:fill="28B5DE"/>
          </w:tcPr>
          <w:p>
            <w:pPr>
              <w:spacing w:after="0"/>
              <w:rPr>
                <w:sz w:val="3"/>
                <w:szCs w:val="3"/>
                <w:color w:val="auto"/>
              </w:rPr>
            </w:pPr>
          </w:p>
        </w:tc>
        <w:tc>
          <w:tcPr>
            <w:tcW w:w="820" w:type="dxa"/>
            <w:vAlign w:val="bottom"/>
            <w:shd w:val="clear" w:color="auto" w:fill="28B5DE"/>
          </w:tcPr>
          <w:p>
            <w:pPr>
              <w:spacing w:after="0"/>
              <w:rPr>
                <w:sz w:val="3"/>
                <w:szCs w:val="3"/>
                <w:color w:val="auto"/>
              </w:rPr>
            </w:pPr>
          </w:p>
        </w:tc>
        <w:tc>
          <w:tcPr>
            <w:tcW w:w="300" w:type="dxa"/>
            <w:vAlign w:val="bottom"/>
            <w:shd w:val="clear" w:color="auto" w:fill="28B5DE"/>
          </w:tcPr>
          <w:p>
            <w:pPr>
              <w:spacing w:after="0"/>
              <w:rPr>
                <w:sz w:val="3"/>
                <w:szCs w:val="3"/>
                <w:color w:val="auto"/>
              </w:rPr>
            </w:pPr>
          </w:p>
        </w:tc>
        <w:tc>
          <w:tcPr>
            <w:tcW w:w="940" w:type="dxa"/>
            <w:vAlign w:val="bottom"/>
            <w:shd w:val="clear" w:color="auto" w:fill="28B5D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2024 Summary Compensation Table</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53</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2024 Grants of Plan-Based Awards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54</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Outstanding Equity Awards at 2024 Year-End</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55</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2024 Option Exercises and Stock Vested</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56</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CCEEFF"/>
            </w:tcBorders>
            <w:shd w:val="clear" w:color="auto" w:fill="0000EE"/>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2024 Non-Qualified Deferred Compensation</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57</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38"/>
        </w:trPr>
        <w:tc>
          <w:tcPr>
            <w:tcW w:w="8040" w:type="dxa"/>
            <w:vAlign w:val="bottom"/>
            <w:gridSpan w:val="24"/>
            <w:shd w:val="clear" w:color="auto" w:fill="CCEEFF"/>
          </w:tcPr>
          <w:p>
            <w:pPr>
              <w:spacing w:after="0"/>
              <w:rPr>
                <w:sz w:val="20"/>
                <w:szCs w:val="20"/>
                <w:color w:val="auto"/>
              </w:rPr>
            </w:pPr>
            <w:r>
              <w:rPr>
                <w:rFonts w:ascii="Arial" w:cs="Arial" w:eastAsia="Arial" w:hAnsi="Arial"/>
                <w:sz w:val="21"/>
                <w:szCs w:val="21"/>
                <w:b w:val="1"/>
                <w:bCs w:val="1"/>
                <w:color w:val="28B5DE"/>
              </w:rPr>
              <w:t>POTENTIAL TERMINATION PAYMENTS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58</w:t>
            </w:r>
          </w:p>
        </w:tc>
        <w:tc>
          <w:tcPr>
            <w:tcW w:w="20" w:type="dxa"/>
            <w:vAlign w:val="bottom"/>
          </w:tcPr>
          <w:p>
            <w:pPr>
              <w:spacing w:after="0"/>
              <w:rPr>
                <w:sz w:val="24"/>
                <w:szCs w:val="24"/>
                <w:color w:val="auto"/>
              </w:rPr>
            </w:pPr>
          </w:p>
        </w:tc>
      </w:tr>
      <w:tr>
        <w:trPr>
          <w:trHeight w:val="39"/>
        </w:trPr>
        <w:tc>
          <w:tcPr>
            <w:tcW w:w="420" w:type="dxa"/>
            <w:vAlign w:val="bottom"/>
            <w:shd w:val="clear" w:color="auto" w:fill="28B5DE"/>
          </w:tcPr>
          <w:p>
            <w:pPr>
              <w:spacing w:after="0"/>
              <w:rPr>
                <w:sz w:val="3"/>
                <w:szCs w:val="3"/>
                <w:color w:val="auto"/>
              </w:rPr>
            </w:pPr>
          </w:p>
        </w:tc>
        <w:tc>
          <w:tcPr>
            <w:tcW w:w="820" w:type="dxa"/>
            <w:vAlign w:val="bottom"/>
            <w:shd w:val="clear" w:color="auto" w:fill="28B5DE"/>
          </w:tcPr>
          <w:p>
            <w:pPr>
              <w:spacing w:after="0"/>
              <w:rPr>
                <w:sz w:val="3"/>
                <w:szCs w:val="3"/>
                <w:color w:val="auto"/>
              </w:rPr>
            </w:pPr>
          </w:p>
        </w:tc>
        <w:tc>
          <w:tcPr>
            <w:tcW w:w="300" w:type="dxa"/>
            <w:vAlign w:val="bottom"/>
            <w:shd w:val="clear" w:color="auto" w:fill="28B5DE"/>
          </w:tcPr>
          <w:p>
            <w:pPr>
              <w:spacing w:after="0"/>
              <w:rPr>
                <w:sz w:val="3"/>
                <w:szCs w:val="3"/>
                <w:color w:val="auto"/>
              </w:rPr>
            </w:pPr>
          </w:p>
        </w:tc>
        <w:tc>
          <w:tcPr>
            <w:tcW w:w="940" w:type="dxa"/>
            <w:vAlign w:val="bottom"/>
            <w:shd w:val="clear" w:color="auto" w:fill="28B5DE"/>
          </w:tcPr>
          <w:p>
            <w:pPr>
              <w:spacing w:after="0"/>
              <w:rPr>
                <w:sz w:val="3"/>
                <w:szCs w:val="3"/>
                <w:color w:val="auto"/>
              </w:rPr>
            </w:pPr>
          </w:p>
        </w:tc>
        <w:tc>
          <w:tcPr>
            <w:tcW w:w="160" w:type="dxa"/>
            <w:vAlign w:val="bottom"/>
            <w:shd w:val="clear" w:color="auto" w:fill="28B5DE"/>
          </w:tcPr>
          <w:p>
            <w:pPr>
              <w:spacing w:after="0"/>
              <w:rPr>
                <w:sz w:val="3"/>
                <w:szCs w:val="3"/>
                <w:color w:val="auto"/>
              </w:rPr>
            </w:pPr>
          </w:p>
        </w:tc>
        <w:tc>
          <w:tcPr>
            <w:tcW w:w="260" w:type="dxa"/>
            <w:vAlign w:val="bottom"/>
            <w:shd w:val="clear" w:color="auto" w:fill="28B5DE"/>
          </w:tcPr>
          <w:p>
            <w:pPr>
              <w:spacing w:after="0"/>
              <w:rPr>
                <w:sz w:val="3"/>
                <w:szCs w:val="3"/>
                <w:color w:val="auto"/>
              </w:rPr>
            </w:pPr>
          </w:p>
        </w:tc>
        <w:tc>
          <w:tcPr>
            <w:tcW w:w="100" w:type="dxa"/>
            <w:vAlign w:val="bottom"/>
            <w:shd w:val="clear" w:color="auto" w:fill="28B5DE"/>
          </w:tcPr>
          <w:p>
            <w:pPr>
              <w:spacing w:after="0"/>
              <w:rPr>
                <w:sz w:val="3"/>
                <w:szCs w:val="3"/>
                <w:color w:val="auto"/>
              </w:rPr>
            </w:pPr>
          </w:p>
        </w:tc>
        <w:tc>
          <w:tcPr>
            <w:tcW w:w="140" w:type="dxa"/>
            <w:vAlign w:val="bottom"/>
            <w:shd w:val="clear" w:color="auto" w:fill="28B5DE"/>
          </w:tcPr>
          <w:p>
            <w:pPr>
              <w:spacing w:after="0"/>
              <w:rPr>
                <w:sz w:val="3"/>
                <w:szCs w:val="3"/>
                <w:color w:val="auto"/>
              </w:rPr>
            </w:pPr>
          </w:p>
        </w:tc>
        <w:tc>
          <w:tcPr>
            <w:tcW w:w="200" w:type="dxa"/>
            <w:vAlign w:val="bottom"/>
            <w:shd w:val="clear" w:color="auto" w:fill="28B5DE"/>
          </w:tcPr>
          <w:p>
            <w:pPr>
              <w:spacing w:after="0"/>
              <w:rPr>
                <w:sz w:val="3"/>
                <w:szCs w:val="3"/>
                <w:color w:val="auto"/>
              </w:rPr>
            </w:pPr>
          </w:p>
        </w:tc>
        <w:tc>
          <w:tcPr>
            <w:tcW w:w="160" w:type="dxa"/>
            <w:vAlign w:val="bottom"/>
            <w:shd w:val="clear" w:color="auto" w:fill="28B5DE"/>
          </w:tcPr>
          <w:p>
            <w:pPr>
              <w:spacing w:after="0"/>
              <w:rPr>
                <w:sz w:val="3"/>
                <w:szCs w:val="3"/>
                <w:color w:val="auto"/>
              </w:rPr>
            </w:pPr>
          </w:p>
        </w:tc>
        <w:tc>
          <w:tcPr>
            <w:tcW w:w="120" w:type="dxa"/>
            <w:vAlign w:val="bottom"/>
            <w:shd w:val="clear" w:color="auto" w:fill="28B5DE"/>
          </w:tcPr>
          <w:p>
            <w:pPr>
              <w:spacing w:after="0"/>
              <w:rPr>
                <w:sz w:val="3"/>
                <w:szCs w:val="3"/>
                <w:color w:val="auto"/>
              </w:rPr>
            </w:pPr>
          </w:p>
        </w:tc>
        <w:tc>
          <w:tcPr>
            <w:tcW w:w="100" w:type="dxa"/>
            <w:vAlign w:val="bottom"/>
            <w:shd w:val="clear" w:color="auto" w:fill="28B5DE"/>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47"/>
        </w:trPr>
        <w:tc>
          <w:tcPr>
            <w:tcW w:w="3720" w:type="dxa"/>
            <w:vAlign w:val="bottom"/>
            <w:gridSpan w:val="12"/>
          </w:tcPr>
          <w:p>
            <w:pPr>
              <w:ind w:left="420"/>
              <w:spacing w:after="0"/>
              <w:rPr>
                <w:sz w:val="20"/>
                <w:szCs w:val="20"/>
                <w:color w:val="auto"/>
              </w:rPr>
            </w:pPr>
            <w:r>
              <w:rPr>
                <w:rFonts w:ascii="Arial" w:cs="Arial" w:eastAsia="Arial" w:hAnsi="Arial"/>
                <w:sz w:val="21"/>
                <w:szCs w:val="21"/>
                <w:color w:val="0000EE"/>
              </w:rPr>
              <w:t>Employment Agreements</w:t>
            </w:r>
          </w:p>
        </w:tc>
        <w:tc>
          <w:tcPr>
            <w:tcW w:w="4320" w:type="dxa"/>
            <w:vAlign w:val="bottom"/>
            <w:gridSpan w:val="12"/>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Arial" w:cs="Arial" w:eastAsia="Arial" w:hAnsi="Arial"/>
                <w:sz w:val="21"/>
                <w:szCs w:val="21"/>
                <w:color w:val="0000EE"/>
                <w:w w:val="93"/>
              </w:rPr>
              <w:t>58</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56"/>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Potential Payments Upon Termination or Change in Control</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61</w:t>
            </w:r>
          </w:p>
        </w:tc>
        <w:tc>
          <w:tcPr>
            <w:tcW w:w="20" w:type="dxa"/>
            <w:vAlign w:val="bottom"/>
          </w:tcPr>
          <w:p>
            <w:pPr>
              <w:spacing w:after="0"/>
              <w:rPr>
                <w:sz w:val="22"/>
                <w:szCs w:val="22"/>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4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2024 Potential Post-Employment Payments Table</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66</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left w:val="single" w:sz="8" w:color="0000EE"/>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470"/>
        </w:trPr>
        <w:tc>
          <w:tcPr>
            <w:tcW w:w="4500" w:type="dxa"/>
            <w:vAlign w:val="bottom"/>
            <w:tcBorders>
              <w:bottom w:val="single" w:sz="8" w:color="28B5DE"/>
              <w:right w:val="single" w:sz="8" w:color="CCEEFF"/>
            </w:tcBorders>
            <w:gridSpan w:val="18"/>
            <w:shd w:val="clear" w:color="auto" w:fill="CCEEFF"/>
          </w:tcPr>
          <w:p>
            <w:pPr>
              <w:spacing w:after="0"/>
              <w:rPr>
                <w:sz w:val="20"/>
                <w:szCs w:val="20"/>
                <w:color w:val="auto"/>
              </w:rPr>
            </w:pPr>
            <w:r>
              <w:rPr>
                <w:rFonts w:ascii="Arial" w:cs="Arial" w:eastAsia="Arial" w:hAnsi="Arial"/>
                <w:sz w:val="21"/>
                <w:szCs w:val="21"/>
                <w:b w:val="1"/>
                <w:bCs w:val="1"/>
                <w:color w:val="28B5DE"/>
                <w:w w:val="94"/>
              </w:rPr>
              <w:t>EQUITY COMPENSATION PLAN INFORMATION</w:t>
            </w:r>
          </w:p>
        </w:tc>
        <w:tc>
          <w:tcPr>
            <w:tcW w:w="3540" w:type="dxa"/>
            <w:vAlign w:val="bottom"/>
            <w:tcBorders>
              <w:bottom w:val="single" w:sz="8" w:color="CCEEFF"/>
            </w:tcBorders>
            <w:gridSpan w:val="6"/>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0000EE"/>
            </w:tcBorders>
            <w:shd w:val="clear" w:color="auto" w:fill="CCEEFF"/>
          </w:tcPr>
          <w:p>
            <w:pPr>
              <w:spacing w:after="0"/>
              <w:rPr>
                <w:sz w:val="20"/>
                <w:szCs w:val="20"/>
                <w:color w:val="auto"/>
              </w:rPr>
            </w:pPr>
            <w:r>
              <w:rPr>
                <w:rFonts w:ascii="Arial" w:cs="Arial" w:eastAsia="Arial" w:hAnsi="Arial"/>
                <w:sz w:val="21"/>
                <w:szCs w:val="21"/>
                <w:color w:val="0000EE"/>
                <w:w w:val="85"/>
              </w:rPr>
              <w:t>69</w:t>
            </w:r>
          </w:p>
        </w:tc>
        <w:tc>
          <w:tcPr>
            <w:tcW w:w="20" w:type="dxa"/>
            <w:vAlign w:val="bottom"/>
          </w:tcPr>
          <w:p>
            <w:pPr>
              <w:spacing w:after="0"/>
              <w:rPr>
                <w:sz w:val="24"/>
                <w:szCs w:val="24"/>
                <w:color w:val="auto"/>
              </w:rPr>
            </w:pPr>
          </w:p>
        </w:tc>
      </w:tr>
      <w:tr>
        <w:trPr>
          <w:trHeight w:val="260"/>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2020 Omnibus Incentive Plan</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69</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Corporate Reorganization &amp; Distribution of Shares</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70</w:t>
            </w:r>
          </w:p>
        </w:tc>
        <w:tc>
          <w:tcPr>
            <w:tcW w:w="20" w:type="dxa"/>
            <w:vAlign w:val="bottom"/>
          </w:tcPr>
          <w:p>
            <w:pPr>
              <w:spacing w:after="0"/>
              <w:rPr>
                <w:sz w:val="23"/>
                <w:szCs w:val="23"/>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40" w:type="dxa"/>
            <w:vAlign w:val="bottom"/>
            <w:tcBorders>
              <w:left w:val="single" w:sz="8" w:color="0000EE"/>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441"/>
        </w:trPr>
        <w:tc>
          <w:tcPr>
            <w:tcW w:w="8040" w:type="dxa"/>
            <w:vAlign w:val="bottom"/>
            <w:gridSpan w:val="24"/>
          </w:tcPr>
          <w:p>
            <w:pPr>
              <w:spacing w:after="0"/>
              <w:rPr>
                <w:sz w:val="20"/>
                <w:szCs w:val="20"/>
                <w:color w:val="auto"/>
              </w:rPr>
            </w:pPr>
            <w:r>
              <w:rPr>
                <w:rFonts w:ascii="Arial" w:cs="Arial" w:eastAsia="Arial" w:hAnsi="Arial"/>
                <w:sz w:val="21"/>
                <w:szCs w:val="21"/>
                <w:b w:val="1"/>
                <w:bCs w:val="1"/>
                <w:color w:val="28B5DE"/>
              </w:rPr>
              <w:t>PAY VERSUS PERFORMANCE</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71</w:t>
            </w:r>
          </w:p>
        </w:tc>
      </w:tr>
      <w:tr>
        <w:trPr>
          <w:trHeight w:val="29"/>
        </w:trPr>
        <w:tc>
          <w:tcPr>
            <w:tcW w:w="420" w:type="dxa"/>
            <w:vAlign w:val="bottom"/>
            <w:shd w:val="clear" w:color="auto" w:fill="28B5DE"/>
          </w:tcPr>
          <w:p>
            <w:pPr>
              <w:spacing w:after="0"/>
              <w:rPr>
                <w:sz w:val="2"/>
                <w:szCs w:val="2"/>
                <w:color w:val="auto"/>
              </w:rPr>
            </w:pPr>
          </w:p>
        </w:tc>
        <w:tc>
          <w:tcPr>
            <w:tcW w:w="820" w:type="dxa"/>
            <w:vAlign w:val="bottom"/>
            <w:shd w:val="clear" w:color="auto" w:fill="28B5DE"/>
          </w:tcPr>
          <w:p>
            <w:pPr>
              <w:spacing w:after="0"/>
              <w:rPr>
                <w:sz w:val="2"/>
                <w:szCs w:val="2"/>
                <w:color w:val="auto"/>
              </w:rPr>
            </w:pPr>
          </w:p>
        </w:tc>
        <w:tc>
          <w:tcPr>
            <w:tcW w:w="300" w:type="dxa"/>
            <w:vAlign w:val="bottom"/>
            <w:shd w:val="clear" w:color="auto" w:fill="28B5DE"/>
          </w:tcPr>
          <w:p>
            <w:pPr>
              <w:spacing w:after="0"/>
              <w:rPr>
                <w:sz w:val="2"/>
                <w:szCs w:val="2"/>
                <w:color w:val="auto"/>
              </w:rPr>
            </w:pPr>
          </w:p>
        </w:tc>
        <w:tc>
          <w:tcPr>
            <w:tcW w:w="940" w:type="dxa"/>
            <w:vAlign w:val="bottom"/>
            <w:shd w:val="clear" w:color="auto" w:fill="28B5DE"/>
          </w:tcPr>
          <w:p>
            <w:pPr>
              <w:spacing w:after="0"/>
              <w:rPr>
                <w:sz w:val="2"/>
                <w:szCs w:val="2"/>
                <w:color w:val="auto"/>
              </w:rPr>
            </w:pPr>
          </w:p>
        </w:tc>
        <w:tc>
          <w:tcPr>
            <w:tcW w:w="160" w:type="dxa"/>
            <w:vAlign w:val="bottom"/>
            <w:shd w:val="clear" w:color="auto" w:fill="28B5DE"/>
          </w:tcPr>
          <w:p>
            <w:pPr>
              <w:spacing w:after="0"/>
              <w:rPr>
                <w:sz w:val="2"/>
                <w:szCs w:val="2"/>
                <w:color w:val="auto"/>
              </w:rPr>
            </w:pPr>
          </w:p>
        </w:tc>
        <w:tc>
          <w:tcPr>
            <w:tcW w:w="260" w:type="dxa"/>
            <w:vAlign w:val="bottom"/>
            <w:shd w:val="clear" w:color="auto" w:fill="28B5D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2024 Pay Versus Performance Table</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71</w:t>
            </w:r>
          </w:p>
        </w:tc>
        <w:tc>
          <w:tcPr>
            <w:tcW w:w="20" w:type="dxa"/>
            <w:vAlign w:val="bottom"/>
          </w:tcPr>
          <w:p>
            <w:pPr>
              <w:spacing w:after="0"/>
              <w:rPr>
                <w:sz w:val="23"/>
                <w:szCs w:val="23"/>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60" w:type="dxa"/>
            <w:vAlign w:val="bottom"/>
            <w:tcBorders>
              <w:left w:val="single" w:sz="8" w:color="CCEEFF"/>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4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260"/>
        </w:trPr>
        <w:tc>
          <w:tcPr>
            <w:tcW w:w="8040" w:type="dxa"/>
            <w:vAlign w:val="bottom"/>
            <w:gridSpan w:val="24"/>
          </w:tcPr>
          <w:p>
            <w:pPr>
              <w:ind w:left="420"/>
              <w:spacing w:after="0"/>
              <w:rPr>
                <w:sz w:val="20"/>
                <w:szCs w:val="20"/>
                <w:color w:val="auto"/>
              </w:rPr>
            </w:pPr>
            <w:r>
              <w:rPr>
                <w:rFonts w:ascii="Arial" w:cs="Arial" w:eastAsia="Arial" w:hAnsi="Arial"/>
                <w:sz w:val="21"/>
                <w:szCs w:val="21"/>
                <w:color w:val="0000EE"/>
              </w:rPr>
              <w:t>Relationship between Pay and Performance</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73</w:t>
            </w:r>
          </w:p>
        </w:tc>
      </w:tr>
      <w:tr>
        <w:trPr>
          <w:trHeight w:val="29"/>
        </w:trPr>
        <w:tc>
          <w:tcPr>
            <w:tcW w:w="420" w:type="dxa"/>
            <w:vAlign w:val="bottom"/>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6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040" w:type="dxa"/>
            <w:vAlign w:val="bottom"/>
            <w:gridSpan w:val="24"/>
            <w:shd w:val="clear" w:color="auto" w:fill="CCEEFF"/>
          </w:tcPr>
          <w:p>
            <w:pPr>
              <w:ind w:left="420"/>
              <w:spacing w:after="0"/>
              <w:rPr>
                <w:sz w:val="20"/>
                <w:szCs w:val="20"/>
                <w:color w:val="auto"/>
              </w:rPr>
            </w:pPr>
            <w:r>
              <w:rPr>
                <w:rFonts w:ascii="Arial" w:cs="Arial" w:eastAsia="Arial" w:hAnsi="Arial"/>
                <w:sz w:val="21"/>
                <w:szCs w:val="21"/>
                <w:color w:val="0000EE"/>
              </w:rPr>
              <w:t>2024 Tabular List: Metrics Used to Link Pay and Performance</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21"/>
                <w:szCs w:val="21"/>
                <w:color w:val="0000EE"/>
                <w:w w:val="85"/>
              </w:rPr>
              <w:t>76</w:t>
            </w:r>
          </w:p>
        </w:tc>
        <w:tc>
          <w:tcPr>
            <w:tcW w:w="20" w:type="dxa"/>
            <w:vAlign w:val="bottom"/>
          </w:tcPr>
          <w:p>
            <w:pPr>
              <w:spacing w:after="0"/>
              <w:rPr>
                <w:sz w:val="23"/>
                <w:szCs w:val="23"/>
                <w:color w:val="auto"/>
              </w:rPr>
            </w:pPr>
          </w:p>
        </w:tc>
      </w:tr>
      <w:tr>
        <w:trPr>
          <w:trHeight w:val="39"/>
        </w:trPr>
        <w:tc>
          <w:tcPr>
            <w:tcW w:w="420" w:type="dxa"/>
            <w:vAlign w:val="bottom"/>
            <w:shd w:val="clear" w:color="auto" w:fill="CCEEFF"/>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94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20" w:type="dxa"/>
            <w:vAlign w:val="bottom"/>
            <w:tcBorders>
              <w:right w:val="single" w:sz="8" w:color="0000EE"/>
            </w:tcBorders>
            <w:shd w:val="clear" w:color="auto" w:fill="0000EE"/>
          </w:tcPr>
          <w:p>
            <w:pPr>
              <w:spacing w:after="0"/>
              <w:rPr>
                <w:sz w:val="3"/>
                <w:szCs w:val="3"/>
                <w:color w:val="auto"/>
              </w:rPr>
            </w:pPr>
          </w:p>
        </w:tc>
        <w:tc>
          <w:tcPr>
            <w:tcW w:w="160" w:type="dxa"/>
            <w:vAlign w:val="bottom"/>
            <w:tcBorders>
              <w:left w:val="single" w:sz="8" w:color="0000EE"/>
              <w:right w:val="single" w:sz="8" w:color="0000EE"/>
            </w:tcBorders>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tcBorders>
              <w:left w:val="single" w:sz="8" w:color="0000EE"/>
              <w:right w:val="single" w:sz="8" w:color="0000EE"/>
            </w:tcBorders>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840" w:type="dxa"/>
            <w:vAlign w:val="bottom"/>
            <w:tcBorders>
              <w:left w:val="single" w:sz="8" w:color="0000EE"/>
            </w:tcBorders>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 w:type="dxa"/>
            <w:vAlign w:val="bottom"/>
          </w:tcPr>
          <w:p>
            <w:pPr>
              <w:spacing w:after="0"/>
              <w:rPr>
                <w:sz w:val="3"/>
                <w:szCs w:val="3"/>
                <w:color w:val="auto"/>
              </w:rPr>
            </w:pPr>
          </w:p>
        </w:tc>
      </w:tr>
      <w:tr>
        <w:trPr>
          <w:trHeight w:val="441"/>
        </w:trPr>
        <w:tc>
          <w:tcPr>
            <w:tcW w:w="8040" w:type="dxa"/>
            <w:vAlign w:val="bottom"/>
            <w:gridSpan w:val="24"/>
          </w:tcPr>
          <w:p>
            <w:pPr>
              <w:spacing w:after="0"/>
              <w:rPr>
                <w:sz w:val="20"/>
                <w:szCs w:val="20"/>
                <w:color w:val="auto"/>
              </w:rPr>
            </w:pPr>
            <w:r>
              <w:rPr>
                <w:rFonts w:ascii="Arial" w:cs="Arial" w:eastAsia="Arial" w:hAnsi="Arial"/>
                <w:sz w:val="21"/>
                <w:szCs w:val="21"/>
                <w:b w:val="1"/>
                <w:bCs w:val="1"/>
                <w:color w:val="28B5DE"/>
              </w:rPr>
              <w:t>CEO PAY RATIO</w:t>
            </w:r>
          </w:p>
        </w:tc>
        <w:tc>
          <w:tcPr>
            <w:tcW w:w="700" w:type="dxa"/>
            <w:vAlign w:val="bottom"/>
            <w:gridSpan w:val="3"/>
          </w:tcPr>
          <w:p>
            <w:pPr>
              <w:ind w:left="460"/>
              <w:spacing w:after="0"/>
              <w:rPr>
                <w:sz w:val="20"/>
                <w:szCs w:val="20"/>
                <w:color w:val="auto"/>
              </w:rPr>
            </w:pPr>
            <w:r>
              <w:rPr>
                <w:rFonts w:ascii="Arial" w:cs="Arial" w:eastAsia="Arial" w:hAnsi="Arial"/>
                <w:sz w:val="21"/>
                <w:szCs w:val="21"/>
                <w:color w:val="0000EE"/>
                <w:w w:val="93"/>
              </w:rPr>
              <w:t>77</w:t>
            </w:r>
          </w:p>
        </w:tc>
      </w:tr>
      <w:tr>
        <w:trPr>
          <w:trHeight w:val="20"/>
        </w:trPr>
        <w:tc>
          <w:tcPr>
            <w:tcW w:w="420" w:type="dxa"/>
            <w:vAlign w:val="bottom"/>
            <w:shd w:val="clear" w:color="auto" w:fill="28B5DE"/>
          </w:tcPr>
          <w:p>
            <w:pPr>
              <w:spacing w:after="0" w:line="20" w:lineRule="exact"/>
              <w:rPr>
                <w:sz w:val="1"/>
                <w:szCs w:val="1"/>
                <w:color w:val="auto"/>
              </w:rPr>
            </w:pPr>
          </w:p>
        </w:tc>
        <w:tc>
          <w:tcPr>
            <w:tcW w:w="820" w:type="dxa"/>
            <w:vAlign w:val="bottom"/>
            <w:shd w:val="clear" w:color="auto" w:fill="28B5DE"/>
          </w:tcPr>
          <w:p>
            <w:pPr>
              <w:spacing w:after="0" w:line="20" w:lineRule="exact"/>
              <w:rPr>
                <w:sz w:val="1"/>
                <w:szCs w:val="1"/>
                <w:color w:val="auto"/>
              </w:rPr>
            </w:pPr>
          </w:p>
        </w:tc>
        <w:tc>
          <w:tcPr>
            <w:tcW w:w="300" w:type="dxa"/>
            <w:vAlign w:val="bottom"/>
            <w:shd w:val="clear" w:color="auto" w:fill="28B5D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733425</wp:posOffset>
            </wp:positionV>
            <wp:extent cx="55384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195580</wp:posOffset>
            </wp:positionV>
            <wp:extent cx="656971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555625</wp:posOffset>
            </wp:positionV>
            <wp:extent cx="6398895" cy="552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98895" cy="55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780"/>
        <w:spacing w:after="0" w:line="262" w:lineRule="auto"/>
        <w:rPr>
          <w:sz w:val="20"/>
          <w:szCs w:val="20"/>
          <w:color w:val="auto"/>
        </w:rPr>
      </w:pPr>
      <w:r>
        <w:rPr>
          <w:rFonts w:ascii="Arial" w:cs="Arial" w:eastAsia="Arial" w:hAnsi="Arial"/>
          <w:sz w:val="21"/>
          <w:szCs w:val="21"/>
          <w:b w:val="1"/>
          <w:bCs w:val="1"/>
          <w:u w:val="single" w:color="auto"/>
          <w:color w:val="28B5DE"/>
        </w:rPr>
        <w:t>PROPOSAL 3: RATIFICATION OF THE APPOINTMENT OF ERNST &amp; YOUNG LLP AS OUR INDEPENDENT REGISTERED PUBLIC ACCOUNTING FIRM FOR THE FISCAL YEAR ENDING DECEMBER 31, 2025</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Independent Registered Public Accounting Firm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6398895" cy="329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98895" cy="329565"/>
                    </a:xfrm>
                    <a:prstGeom prst="rect">
                      <a:avLst/>
                    </a:prstGeom>
                    <a:noFill/>
                  </pic:spPr>
                </pic:pic>
              </a:graphicData>
            </a:graphic>
          </wp:anchor>
        </w:drawing>
      </w:r>
    </w:p>
    <w:p>
      <w:pPr>
        <w:spacing w:after="0" w:line="12" w:lineRule="exact"/>
        <w:rPr>
          <w:sz w:val="20"/>
          <w:szCs w:val="20"/>
          <w:color w:val="auto"/>
        </w:rPr>
      </w:pPr>
    </w:p>
    <w:p>
      <w:pPr>
        <w:ind w:left="1200" w:right="620"/>
        <w:spacing w:after="0" w:line="275" w:lineRule="auto"/>
        <w:rPr>
          <w:sz w:val="20"/>
          <w:szCs w:val="20"/>
          <w:color w:val="auto"/>
        </w:rPr>
      </w:pPr>
      <w:r>
        <w:rPr>
          <w:rFonts w:ascii="Arial" w:cs="Arial" w:eastAsia="Arial" w:hAnsi="Arial"/>
          <w:sz w:val="21"/>
          <w:szCs w:val="21"/>
          <w:u w:val="single" w:color="auto"/>
          <w:color w:val="0000EE"/>
        </w:rPr>
        <w:t>Policy on Audit Committee’s Pre-Approval of Audit and Permissible Non-Audit Services of Independent Registered Public Accounting Firm</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21"/>
          <w:szCs w:val="21"/>
          <w:b w:val="1"/>
          <w:bCs w:val="1"/>
          <w:u w:val="single" w:color="auto"/>
          <w:color w:val="28B5D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6398895" cy="296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98895" cy="296545"/>
                    </a:xfrm>
                    <a:prstGeom prst="rect">
                      <a:avLst/>
                    </a:prstGeom>
                    <a:noFill/>
                  </pic:spPr>
                </pic:pic>
              </a:graphicData>
            </a:graphic>
          </wp:anchor>
        </w:drawing>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1"/>
          <w:szCs w:val="21"/>
          <w:b w:val="1"/>
          <w:bCs w:val="1"/>
          <w:u w:val="single" w:color="auto"/>
          <w:color w:val="28B5DE"/>
        </w:rPr>
        <w:t>SECURITY OWNERSHIP OF CERTAIN BENEFICIAL OWNERS AND MANAGEMENT</w:t>
      </w:r>
    </w:p>
    <w:p>
      <w:pPr>
        <w:spacing w:after="0" w:line="226" w:lineRule="exact"/>
        <w:rPr>
          <w:sz w:val="20"/>
          <w:szCs w:val="20"/>
          <w:color w:val="auto"/>
        </w:rPr>
      </w:pPr>
    </w:p>
    <w:p>
      <w:pPr>
        <w:ind w:left="780"/>
        <w:spacing w:after="0"/>
        <w:rPr>
          <w:sz w:val="20"/>
          <w:szCs w:val="20"/>
          <w:color w:val="auto"/>
        </w:rPr>
      </w:pPr>
      <w:r>
        <w:rPr>
          <w:rFonts w:ascii="Arial" w:cs="Arial" w:eastAsia="Arial" w:hAnsi="Arial"/>
          <w:sz w:val="21"/>
          <w:szCs w:val="21"/>
          <w:b w:val="1"/>
          <w:bCs w:val="1"/>
          <w:u w:val="single" w:color="auto"/>
          <w:color w:val="28B5DE"/>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6398895" cy="181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98895" cy="181610"/>
                    </a:xfrm>
                    <a:prstGeom prst="rect">
                      <a:avLst/>
                    </a:prstGeom>
                    <a:noFill/>
                  </pic:spPr>
                </pic:pic>
              </a:graphicData>
            </a:graphic>
          </wp:anchor>
        </w:drawing>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Registration Rights Agreement</w:t>
      </w:r>
    </w:p>
    <w:p>
      <w:pPr>
        <w:spacing w:after="0" w:line="44"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6398895" cy="181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8895" cy="181610"/>
                    </a:xfrm>
                    <a:prstGeom prst="rect">
                      <a:avLst/>
                    </a:prstGeom>
                    <a:noFill/>
                  </pic:spPr>
                </pic:pic>
              </a:graphicData>
            </a:graphic>
          </wp:anchor>
        </w:drawing>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Limitation of Liability and Indemnification of Officers and Directors</w:t>
      </w:r>
    </w:p>
    <w:p>
      <w:pPr>
        <w:spacing w:after="0" w:line="44"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Policies and Procedures for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6398895" cy="296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8895" cy="296545"/>
                    </a:xfrm>
                    <a:prstGeom prst="rect">
                      <a:avLst/>
                    </a:prstGeom>
                    <a:noFill/>
                  </pic:spPr>
                </pic:pic>
              </a:graphicData>
            </a:graphic>
          </wp:anchor>
        </w:drawing>
      </w:r>
    </w:p>
    <w:p>
      <w:pPr>
        <w:spacing w:after="0" w:line="206" w:lineRule="exact"/>
        <w:rPr>
          <w:sz w:val="20"/>
          <w:szCs w:val="20"/>
          <w:color w:val="auto"/>
        </w:rPr>
      </w:pPr>
    </w:p>
    <w:p>
      <w:pPr>
        <w:ind w:left="780"/>
        <w:spacing w:after="0"/>
        <w:rPr>
          <w:sz w:val="20"/>
          <w:szCs w:val="20"/>
          <w:color w:val="auto"/>
        </w:rPr>
      </w:pPr>
      <w:r>
        <w:rPr>
          <w:rFonts w:ascii="Arial" w:cs="Arial" w:eastAsia="Arial" w:hAnsi="Arial"/>
          <w:sz w:val="21"/>
          <w:szCs w:val="21"/>
          <w:b w:val="1"/>
          <w:bCs w:val="1"/>
          <w:u w:val="single" w:color="auto"/>
          <w:color w:val="28B5DE"/>
        </w:rPr>
        <w:t>OTHER INFORMATION</w:t>
      </w:r>
    </w:p>
    <w:p>
      <w:pPr>
        <w:spacing w:after="0" w:line="44"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2026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6398895" cy="181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98895" cy="181610"/>
                    </a:xfrm>
                    <a:prstGeom prst="rect">
                      <a:avLst/>
                    </a:prstGeom>
                    <a:noFill/>
                  </pic:spPr>
                </pic:pic>
              </a:graphicData>
            </a:graphic>
          </wp:anchor>
        </w:drawing>
      </w:r>
    </w:p>
    <w:p>
      <w:pPr>
        <w:spacing w:after="0" w:line="24" w:lineRule="exact"/>
        <w:rPr>
          <w:sz w:val="20"/>
          <w:szCs w:val="20"/>
          <w:color w:val="auto"/>
        </w:rPr>
      </w:pPr>
    </w:p>
    <w:p>
      <w:pPr>
        <w:ind w:left="1200"/>
        <w:spacing w:after="0"/>
        <w:rPr>
          <w:sz w:val="20"/>
          <w:szCs w:val="20"/>
          <w:color w:val="auto"/>
        </w:rPr>
      </w:pPr>
      <w:r>
        <w:rPr>
          <w:rFonts w:ascii="Arial" w:cs="Arial" w:eastAsia="Arial" w:hAnsi="Arial"/>
          <w:sz w:val="21"/>
          <w:szCs w:val="21"/>
          <w:u w:val="single" w:color="auto"/>
          <w:color w:val="0000EE"/>
        </w:rPr>
        <w:t>Annual Meeting Advance Notice Requirements</w:t>
      </w:r>
    </w:p>
    <w:p>
      <w:pPr>
        <w:spacing w:after="0" w:line="226" w:lineRule="exact"/>
        <w:rPr>
          <w:sz w:val="20"/>
          <w:szCs w:val="20"/>
          <w:color w:val="auto"/>
        </w:rPr>
      </w:pPr>
    </w:p>
    <w:p>
      <w:pPr>
        <w:ind w:left="780" w:right="580"/>
        <w:spacing w:after="0" w:line="287" w:lineRule="auto"/>
        <w:rPr>
          <w:sz w:val="20"/>
          <w:szCs w:val="20"/>
          <w:color w:val="auto"/>
        </w:rPr>
      </w:pPr>
      <w:r>
        <w:rPr>
          <w:rFonts w:ascii="Arial" w:cs="Arial" w:eastAsia="Arial" w:hAnsi="Arial"/>
          <w:sz w:val="21"/>
          <w:szCs w:val="21"/>
          <w:b w:val="1"/>
          <w:bCs w:val="1"/>
          <w:u w:val="single" w:color="auto"/>
          <w:color w:val="28B5DE"/>
        </w:rPr>
        <w:t>QUESTIONS AND ANSWERS ABOUT THE PROXY STATEMENT AND OUR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3399790</wp:posOffset>
            </wp:positionV>
            <wp:extent cx="55384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195580</wp:posOffset>
            </wp:positionV>
            <wp:extent cx="656971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10740"/>
          </w:cols>
          <w:pgMar w:left="800" w:top="93" w:right="359"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Proxy Statement Summary</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Annual Meeting of Stockholders</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PROXY STATEMENT SUMMARY</w:t>
      </w:r>
    </w:p>
    <w:p>
      <w:pPr>
        <w:spacing w:after="0" w:line="209" w:lineRule="exact"/>
        <w:rPr>
          <w:sz w:val="20"/>
          <w:szCs w:val="20"/>
          <w:color w:val="auto"/>
        </w:rPr>
      </w:pPr>
    </w:p>
    <w:p>
      <w:pPr>
        <w:ind w:left="780" w:right="199"/>
        <w:spacing w:after="0" w:line="264" w:lineRule="auto"/>
        <w:rPr>
          <w:sz w:val="20"/>
          <w:szCs w:val="20"/>
          <w:color w:val="auto"/>
        </w:rPr>
      </w:pPr>
      <w:r>
        <w:rPr>
          <w:rFonts w:ascii="Arial" w:cs="Arial" w:eastAsia="Arial" w:hAnsi="Arial"/>
          <w:sz w:val="20"/>
          <w:szCs w:val="20"/>
          <w:i w:val="1"/>
          <w:iCs w:val="1"/>
          <w:color w:val="auto"/>
        </w:rPr>
        <w:t>Your proxy is being solicited on behalf of the Board of Directors (“Board”) of Sotera Health Company (“Sotera Health,” the “Company,” “we,” “us” or “our”) to vote at the 2025 Annual Meeting of Stockholders (“Annual Meeting”). We are making this Proxy Statement available to stockholders beginning on or about April 10, 2025. This proxy statement summary represents only selected information. We encourage you to read the entire Proxy Statement before voting.</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Annual Meeting of Stockholders</w:t>
      </w:r>
    </w:p>
    <w:p>
      <w:pPr>
        <w:sectPr>
          <w:pgSz w:w="11900" w:h="16838" w:orient="portrait"/>
          <w:cols w:equalWidth="0" w:num="1">
            <w:col w:w="9659"/>
          </w:cols>
          <w:pgMar w:left="800" w:top="93" w:right="1440" w:bottom="1440" w:gutter="0" w:footer="0" w:header="0"/>
        </w:sectPr>
      </w:pPr>
    </w:p>
    <w:p>
      <w:pPr>
        <w:spacing w:after="0" w:line="132" w:lineRule="exact"/>
        <w:rPr>
          <w:sz w:val="20"/>
          <w:szCs w:val="20"/>
          <w:color w:val="auto"/>
        </w:rPr>
      </w:pPr>
    </w:p>
    <w:p>
      <w:pPr>
        <w:ind w:left="820"/>
        <w:spacing w:after="0"/>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271780" cy="2717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1780" cy="271780"/>
                    </a:xfrm>
                    <a:prstGeom prst="rect">
                      <a:avLst/>
                    </a:prstGeom>
                    <a:noFill/>
                    <a:ln>
                      <a:noFill/>
                    </a:ln>
                  </pic:spPr>
                </pic:pic>
              </a:graphicData>
            </a:graphic>
          </wp:inline>
        </w:drawing>
      </w:r>
      <w:r>
        <w:rPr>
          <w:rFonts w:ascii="Arial" w:cs="Arial" w:eastAsia="Arial" w:hAnsi="Arial"/>
          <w:sz w:val="21"/>
          <w:szCs w:val="21"/>
          <w:b w:val="1"/>
          <w:bCs w:val="1"/>
          <w:color w:val="auto"/>
        </w:rPr>
        <w:t xml:space="preserve">  Time and Date</w:t>
      </w:r>
    </w:p>
    <w:p>
      <w:pPr>
        <w:spacing w:after="0" w:line="371" w:lineRule="exact"/>
        <w:rPr>
          <w:sz w:val="20"/>
          <w:szCs w:val="20"/>
          <w:color w:val="auto"/>
        </w:rPr>
      </w:pPr>
    </w:p>
    <w:p>
      <w:pPr>
        <w:ind w:left="820"/>
        <w:spacing w:after="0"/>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288290" cy="2635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290" cy="263525"/>
                    </a:xfrm>
                    <a:prstGeom prst="rect">
                      <a:avLst/>
                    </a:prstGeom>
                    <a:noFill/>
                    <a:ln>
                      <a:noFill/>
                    </a:ln>
                  </pic:spPr>
                </pic:pic>
              </a:graphicData>
            </a:graphic>
          </wp:inline>
        </w:drawing>
      </w:r>
      <w:r>
        <w:rPr>
          <w:rFonts w:ascii="Arial" w:cs="Arial" w:eastAsia="Arial" w:hAnsi="Arial"/>
          <w:sz w:val="21"/>
          <w:szCs w:val="21"/>
          <w:b w:val="1"/>
          <w:bCs w:val="1"/>
          <w:color w:val="auto"/>
        </w:rPr>
        <w:t xml:space="preserve">     Place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21"/>
          <w:szCs w:val="21"/>
          <w:color w:val="auto"/>
        </w:rPr>
        <w:t>​ ​Wednesday, May 21, 2025 at 9:00 a.m., Eastern Daylight Time.</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21"/>
          <w:szCs w:val="21"/>
          <w:color w:val="auto"/>
        </w:rPr>
        <w:t>The Annual Meeting will be a virtual meeting held online at</w:t>
      </w:r>
    </w:p>
    <w:p>
      <w:pPr>
        <w:spacing w:after="0" w:line="25" w:lineRule="exact"/>
        <w:rPr>
          <w:sz w:val="20"/>
          <w:szCs w:val="20"/>
          <w:color w:val="auto"/>
        </w:rPr>
      </w:pPr>
    </w:p>
    <w:p>
      <w:pPr>
        <w:jc w:val="both"/>
        <w:ind w:left="140" w:right="279" w:hanging="137"/>
        <w:spacing w:after="0" w:line="185" w:lineRule="auto"/>
        <w:tabs>
          <w:tab w:leader="none" w:pos="95" w:val="left"/>
        </w:tabs>
        <w:numPr>
          <w:ilvl w:val="0"/>
          <w:numId w:val="7"/>
        </w:numPr>
        <w:rPr>
          <w:rFonts w:ascii="Arial" w:cs="Arial" w:eastAsia="Arial" w:hAnsi="Arial"/>
          <w:sz w:val="42"/>
          <w:szCs w:val="42"/>
          <w:color w:val="auto"/>
          <w:vertAlign w:val="subscript"/>
        </w:rPr>
      </w:pPr>
      <w:r>
        <w:rPr>
          <w:rFonts w:ascii="Arial" w:cs="Arial" w:eastAsia="Arial" w:hAnsi="Arial"/>
          <w:sz w:val="41"/>
          <w:szCs w:val="41"/>
          <w:color w:val="auto"/>
          <w:vertAlign w:val="subscript"/>
        </w:rPr>
        <w:t>​</w:t>
      </w:r>
      <w:r>
        <w:rPr>
          <w:rFonts w:ascii="Arial" w:cs="Arial" w:eastAsia="Arial" w:hAnsi="Arial"/>
          <w:sz w:val="21"/>
          <w:szCs w:val="21"/>
          <w:color w:val="auto"/>
        </w:rPr>
        <w:t>www.virtualshareholdermeeting.com/SHC2025 via a live audio webcast. Please see “Virtual Annual Meeting” on the following page for additional information.</w:t>
      </w:r>
    </w:p>
    <w:p>
      <w:pPr>
        <w:spacing w:after="0" w:line="22" w:lineRule="exact"/>
        <w:rPr>
          <w:sz w:val="20"/>
          <w:szCs w:val="20"/>
          <w:color w:val="auto"/>
        </w:rPr>
      </w:pPr>
    </w:p>
    <w:p>
      <w:pPr>
        <w:sectPr>
          <w:pgSz w:w="11900" w:h="16838" w:orient="portrait"/>
          <w:cols w:equalWidth="0" w:num="2">
            <w:col w:w="2920" w:space="60"/>
            <w:col w:w="6679"/>
          </w:cols>
          <w:pgMar w:left="800" w:top="93" w:right="1440" w:bottom="1440" w:gutter="0" w:footer="0" w:header="0"/>
          <w:type w:val="continuous"/>
        </w:sectPr>
      </w:pPr>
    </w:p>
    <w:p>
      <w:pPr>
        <w:ind w:left="820"/>
        <w:spacing w:after="0"/>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271780" cy="2717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780" cy="271780"/>
                    </a:xfrm>
                    <a:prstGeom prst="rect">
                      <a:avLst/>
                    </a:prstGeom>
                    <a:noFill/>
                    <a:ln>
                      <a:noFill/>
                    </a:ln>
                  </pic:spPr>
                </pic:pic>
              </a:graphicData>
            </a:graphic>
          </wp:inline>
        </w:drawing>
      </w:r>
      <w:r>
        <w:rPr>
          <w:rFonts w:ascii="Arial" w:cs="Arial" w:eastAsia="Arial" w:hAnsi="Arial"/>
          <w:sz w:val="21"/>
          <w:szCs w:val="21"/>
          <w:b w:val="1"/>
          <w:bCs w:val="1"/>
          <w:color w:val="auto"/>
        </w:rPr>
        <w:t xml:space="preserve">   Record Date</w:t>
      </w:r>
    </w:p>
    <w:p>
      <w:pPr>
        <w:spacing w:after="0" w:line="358" w:lineRule="exact"/>
        <w:rPr>
          <w:sz w:val="20"/>
          <w:szCs w:val="20"/>
          <w:color w:val="auto"/>
        </w:rPr>
      </w:pPr>
    </w:p>
    <w:p>
      <w:pPr>
        <w:ind w:left="820"/>
        <w:spacing w:after="0"/>
        <w:rPr>
          <w:sz w:val="20"/>
          <w:szCs w:val="20"/>
          <w:color w:val="auto"/>
        </w:rPr>
      </w:pPr>
      <w:r>
        <w:rPr>
          <w:rFonts w:ascii="Arial" w:cs="Arial" w:eastAsia="Arial" w:hAnsi="Arial"/>
          <w:sz w:val="21"/>
          <w:szCs w:val="21"/>
          <w:color w:val="auto"/>
        </w:rPr>
        <w:t>​</w:t>
      </w:r>
      <w:r>
        <w:rPr>
          <w:sz w:val="1"/>
          <w:szCs w:val="1"/>
          <w:color w:val="auto"/>
        </w:rPr>
        <w:drawing>
          <wp:inline distT="0" distB="0" distL="0" distR="0">
            <wp:extent cx="313055" cy="2387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3055" cy="238760"/>
                    </a:xfrm>
                    <a:prstGeom prst="rect">
                      <a:avLst/>
                    </a:prstGeom>
                    <a:noFill/>
                    <a:ln>
                      <a:noFill/>
                    </a:ln>
                  </pic:spPr>
                </pic:pic>
              </a:graphicData>
            </a:graphic>
          </wp:inline>
        </w:drawing>
      </w:r>
      <w:r>
        <w:rPr>
          <w:rFonts w:ascii="Arial" w:cs="Arial" w:eastAsia="Arial" w:hAnsi="Arial"/>
          <w:sz w:val="21"/>
          <w:szCs w:val="21"/>
          <w:b w:val="1"/>
          <w:bCs w:val="1"/>
          <w:color w:val="auto"/>
        </w:rPr>
        <w:t xml:space="preserve">     Voting</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 ​Friday, March 28, 2025</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9"/>
          <w:szCs w:val="19"/>
          <w:color w:val="auto"/>
        </w:rPr>
        <w:t>Only stockholders of record at the close of business on the Record Date</w:t>
      </w:r>
    </w:p>
    <w:p>
      <w:pPr>
        <w:spacing w:after="0" w:line="48" w:lineRule="exact"/>
        <w:rPr>
          <w:sz w:val="20"/>
          <w:szCs w:val="20"/>
          <w:color w:val="auto"/>
        </w:rPr>
      </w:pPr>
    </w:p>
    <w:p>
      <w:pPr>
        <w:ind w:left="140" w:right="339" w:hanging="137"/>
        <w:spacing w:after="0" w:line="185" w:lineRule="auto"/>
        <w:tabs>
          <w:tab w:leader="none" w:pos="95" w:val="left"/>
        </w:tabs>
        <w:numPr>
          <w:ilvl w:val="0"/>
          <w:numId w:val="8"/>
        </w:numPr>
        <w:rPr>
          <w:rFonts w:ascii="Arial" w:cs="Arial" w:eastAsia="Arial" w:hAnsi="Arial"/>
          <w:sz w:val="42"/>
          <w:szCs w:val="42"/>
          <w:color w:val="auto"/>
          <w:vertAlign w:val="subscript"/>
        </w:rPr>
      </w:pPr>
      <w:r>
        <w:rPr>
          <w:rFonts w:ascii="Arial" w:cs="Arial" w:eastAsia="Arial" w:hAnsi="Arial"/>
          <w:sz w:val="41"/>
          <w:szCs w:val="41"/>
          <w:color w:val="auto"/>
          <w:vertAlign w:val="subscript"/>
        </w:rPr>
        <w:t>​</w:t>
      </w:r>
      <w:r>
        <w:rPr>
          <w:rFonts w:ascii="Arial" w:cs="Arial" w:eastAsia="Arial" w:hAnsi="Arial"/>
          <w:sz w:val="21"/>
          <w:szCs w:val="21"/>
          <w:color w:val="auto"/>
        </w:rPr>
        <w:t>are entitled to receive notice of, and vote at, the Annual Meeting. Each share of common stock is entitled to one vote on each director nominee and one vote on each of the proposals.</w:t>
      </w:r>
    </w:p>
    <w:p>
      <w:pPr>
        <w:spacing w:after="0" w:line="87" w:lineRule="exact"/>
        <w:rPr>
          <w:sz w:val="20"/>
          <w:szCs w:val="20"/>
          <w:color w:val="auto"/>
        </w:rPr>
      </w:pPr>
    </w:p>
    <w:p>
      <w:pPr>
        <w:sectPr>
          <w:pgSz w:w="11900" w:h="16838" w:orient="portrait"/>
          <w:cols w:equalWidth="0" w:num="2">
            <w:col w:w="2840" w:space="140"/>
            <w:col w:w="6679"/>
          </w:cols>
          <w:pgMar w:left="800" w:top="93" w:right="1440" w:bottom="1440" w:gutter="0" w:footer="0" w:header="0"/>
          <w:type w:val="continuous"/>
        </w:sectPr>
      </w:pPr>
    </w:p>
    <w:p>
      <w:pPr>
        <w:ind w:left="820"/>
        <w:spacing w:after="0"/>
        <w:tabs>
          <w:tab w:leader="none" w:pos="2960" w:val="left"/>
        </w:tabs>
        <w:rPr>
          <w:sz w:val="20"/>
          <w:szCs w:val="20"/>
          <w:color w:val="auto"/>
        </w:rPr>
      </w:pPr>
      <w:r>
        <w:rPr>
          <w:rFonts w:ascii="Arial" w:cs="Arial" w:eastAsia="Arial" w:hAnsi="Arial"/>
          <w:sz w:val="21"/>
          <w:szCs w:val="21"/>
          <w:color w:val="auto"/>
        </w:rPr>
        <w:t xml:space="preserve">​ </w:t>
      </w:r>
      <w:r>
        <w:rPr>
          <w:sz w:val="1"/>
          <w:szCs w:val="1"/>
          <w:color w:val="auto"/>
        </w:rPr>
        <w:drawing>
          <wp:inline distT="0" distB="0" distL="0" distR="0">
            <wp:extent cx="189865"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9865" cy="213995"/>
                    </a:xfrm>
                    <a:prstGeom prst="rect">
                      <a:avLst/>
                    </a:prstGeom>
                    <a:noFill/>
                    <a:ln>
                      <a:noFill/>
                    </a:ln>
                  </pic:spPr>
                </pic:pic>
              </a:graphicData>
            </a:graphic>
          </wp:inline>
        </w:drawing>
      </w:r>
      <w:r>
        <w:rPr>
          <w:rFonts w:ascii="Arial" w:cs="Arial" w:eastAsia="Arial" w:hAnsi="Arial"/>
          <w:sz w:val="21"/>
          <w:szCs w:val="21"/>
          <w:b w:val="1"/>
          <w:bCs w:val="1"/>
          <w:color w:val="auto"/>
        </w:rPr>
        <w:t xml:space="preserve">    Attendance</w:t>
      </w:r>
      <w:r>
        <w:rPr>
          <w:sz w:val="20"/>
          <w:szCs w:val="20"/>
          <w:color w:val="auto"/>
        </w:rPr>
        <w:tab/>
      </w:r>
      <w:r>
        <w:rPr>
          <w:rFonts w:ascii="Arial" w:cs="Arial" w:eastAsia="Arial" w:hAnsi="Arial"/>
          <w:sz w:val="19"/>
          <w:szCs w:val="19"/>
          <w:color w:val="auto"/>
        </w:rPr>
        <w:t>​ ​Stockholders and their duly appointed proxies may attend the meeting.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Proposals and Board Recommendations</w:t>
      </w:r>
    </w:p>
    <w:p>
      <w:pPr>
        <w:spacing w:after="0" w:line="123"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6300" w:type="dxa"/>
            <w:vAlign w:val="bottom"/>
            <w:tcBorders>
              <w:bottom w:val="single" w:sz="8" w:color="435F86"/>
            </w:tcBorders>
            <w:gridSpan w:val="2"/>
          </w:tcPr>
          <w:p>
            <w:pPr>
              <w:ind w:left="100"/>
              <w:spacing w:after="0"/>
              <w:rPr>
                <w:sz w:val="20"/>
                <w:szCs w:val="20"/>
                <w:color w:val="auto"/>
              </w:rPr>
            </w:pPr>
            <w:r>
              <w:rPr>
                <w:rFonts w:ascii="Arial" w:cs="Arial" w:eastAsia="Arial" w:hAnsi="Arial"/>
                <w:sz w:val="16"/>
                <w:szCs w:val="16"/>
                <w:b w:val="1"/>
                <w:bCs w:val="1"/>
                <w:color w:val="435F86"/>
              </w:rPr>
              <w:t>Proposal</w:t>
            </w:r>
          </w:p>
        </w:tc>
        <w:tc>
          <w:tcPr>
            <w:tcW w:w="242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3"/>
              </w:rPr>
              <w:t>Board Voting Recommendation</w:t>
            </w:r>
          </w:p>
        </w:tc>
        <w:tc>
          <w:tcPr>
            <w:tcW w:w="0" w:type="dxa"/>
            <w:vAlign w:val="bottom"/>
          </w:tcPr>
          <w:p>
            <w:pPr>
              <w:spacing w:after="0"/>
              <w:rPr>
                <w:sz w:val="1"/>
                <w:szCs w:val="1"/>
                <w:color w:val="auto"/>
              </w:rPr>
            </w:pPr>
          </w:p>
        </w:tc>
      </w:tr>
      <w:tr>
        <w:trPr>
          <w:trHeight w:val="317"/>
        </w:trPr>
        <w:tc>
          <w:tcPr>
            <w:tcW w:w="340" w:type="dxa"/>
            <w:vAlign w:val="bottom"/>
          </w:tcPr>
          <w:p>
            <w:pPr>
              <w:ind w:left="100"/>
              <w:spacing w:after="0"/>
              <w:rPr>
                <w:sz w:val="20"/>
                <w:szCs w:val="20"/>
                <w:color w:val="auto"/>
              </w:rPr>
            </w:pPr>
            <w:r>
              <w:rPr>
                <w:rFonts w:ascii="Arial" w:cs="Arial" w:eastAsia="Arial" w:hAnsi="Arial"/>
                <w:sz w:val="17"/>
                <w:szCs w:val="17"/>
                <w:b w:val="1"/>
                <w:bCs w:val="1"/>
                <w:color w:val="435F86"/>
              </w:rPr>
              <w:t>1.</w:t>
            </w:r>
          </w:p>
        </w:tc>
        <w:tc>
          <w:tcPr>
            <w:tcW w:w="5960" w:type="dxa"/>
            <w:vAlign w:val="bottom"/>
          </w:tcPr>
          <w:p>
            <w:pPr>
              <w:ind w:left="120"/>
              <w:spacing w:after="0"/>
              <w:rPr>
                <w:sz w:val="20"/>
                <w:szCs w:val="20"/>
                <w:color w:val="auto"/>
              </w:rPr>
            </w:pPr>
            <w:r>
              <w:rPr>
                <w:rFonts w:ascii="Arial" w:cs="Arial" w:eastAsia="Arial" w:hAnsi="Arial"/>
                <w:sz w:val="17"/>
                <w:szCs w:val="17"/>
                <w:color w:val="auto"/>
                <w:w w:val="97"/>
              </w:rPr>
              <w:t>Election of Ruoxi Chen, Karen A. Flynn and Ann R. Klee as Class II directors to</w:t>
            </w:r>
          </w:p>
        </w:tc>
        <w:tc>
          <w:tcPr>
            <w:tcW w:w="2420" w:type="dxa"/>
            <w:vAlign w:val="bottom"/>
          </w:tcPr>
          <w:p>
            <w:pPr>
              <w:jc w:val="center"/>
              <w:spacing w:after="0"/>
              <w:rPr>
                <w:sz w:val="20"/>
                <w:szCs w:val="20"/>
                <w:color w:val="auto"/>
              </w:rPr>
            </w:pPr>
            <w:r>
              <w:rPr>
                <w:rFonts w:ascii="Arial" w:cs="Arial" w:eastAsia="Arial" w:hAnsi="Arial"/>
                <w:sz w:val="24"/>
                <w:szCs w:val="24"/>
                <w:b w:val="1"/>
                <w:bCs w:val="1"/>
                <w:color w:val="435F86"/>
                <w:w w:val="98"/>
              </w:rPr>
              <w:t>FOR</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3"/>
                <w:szCs w:val="23"/>
                <w:color w:val="auto"/>
              </w:rPr>
            </w:pPr>
          </w:p>
        </w:tc>
        <w:tc>
          <w:tcPr>
            <w:tcW w:w="5960" w:type="dxa"/>
            <w:vAlign w:val="bottom"/>
          </w:tcPr>
          <w:p>
            <w:pPr>
              <w:ind w:left="120"/>
              <w:spacing w:after="0"/>
              <w:rPr>
                <w:sz w:val="20"/>
                <w:szCs w:val="20"/>
                <w:color w:val="auto"/>
              </w:rPr>
            </w:pPr>
            <w:r>
              <w:rPr>
                <w:rFonts w:ascii="Arial" w:cs="Arial" w:eastAsia="Arial" w:hAnsi="Arial"/>
                <w:sz w:val="17"/>
                <w:szCs w:val="17"/>
                <w:color w:val="auto"/>
              </w:rPr>
              <w:t>our Board</w:t>
            </w:r>
          </w:p>
        </w:tc>
        <w:tc>
          <w:tcPr>
            <w:tcW w:w="2420" w:type="dxa"/>
            <w:vAlign w:val="bottom"/>
          </w:tcPr>
          <w:p>
            <w:pPr>
              <w:jc w:val="center"/>
              <w:spacing w:after="0"/>
              <w:rPr>
                <w:sz w:val="20"/>
                <w:szCs w:val="20"/>
                <w:color w:val="auto"/>
              </w:rPr>
            </w:pPr>
            <w:r>
              <w:rPr>
                <w:rFonts w:ascii="Arial" w:cs="Arial" w:eastAsia="Arial" w:hAnsi="Arial"/>
                <w:sz w:val="17"/>
                <w:szCs w:val="17"/>
                <w:color w:val="auto"/>
                <w:w w:val="96"/>
              </w:rPr>
              <w:t>these nominees</w:t>
            </w:r>
          </w:p>
        </w:tc>
        <w:tc>
          <w:tcPr>
            <w:tcW w:w="0" w:type="dxa"/>
            <w:vAlign w:val="bottom"/>
          </w:tcPr>
          <w:p>
            <w:pPr>
              <w:spacing w:after="0"/>
              <w:rPr>
                <w:sz w:val="1"/>
                <w:szCs w:val="1"/>
                <w:color w:val="auto"/>
              </w:rPr>
            </w:pPr>
          </w:p>
        </w:tc>
      </w:tr>
      <w:tr>
        <w:trPr>
          <w:trHeight w:val="48"/>
        </w:trPr>
        <w:tc>
          <w:tcPr>
            <w:tcW w:w="340" w:type="dxa"/>
            <w:vAlign w:val="bottom"/>
            <w:tcBorders>
              <w:bottom w:val="single" w:sz="8" w:color="A1AFC2"/>
            </w:tcBorders>
          </w:tcPr>
          <w:p>
            <w:pPr>
              <w:spacing w:after="0"/>
              <w:rPr>
                <w:sz w:val="4"/>
                <w:szCs w:val="4"/>
                <w:color w:val="auto"/>
              </w:rPr>
            </w:pPr>
          </w:p>
        </w:tc>
        <w:tc>
          <w:tcPr>
            <w:tcW w:w="5960" w:type="dxa"/>
            <w:vAlign w:val="bottom"/>
            <w:tcBorders>
              <w:bottom w:val="single" w:sz="8" w:color="A1AFC2"/>
            </w:tcBorders>
          </w:tcPr>
          <w:p>
            <w:pPr>
              <w:spacing w:after="0"/>
              <w:rPr>
                <w:sz w:val="4"/>
                <w:szCs w:val="4"/>
                <w:color w:val="auto"/>
              </w:rPr>
            </w:pPr>
          </w:p>
        </w:tc>
        <w:tc>
          <w:tcPr>
            <w:tcW w:w="2420" w:type="dxa"/>
            <w:vAlign w:val="bottom"/>
            <w:tcBorders>
              <w:bottom w:val="single" w:sz="8" w:color="A1AFC2"/>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40" w:type="dxa"/>
            <w:vAlign w:val="bottom"/>
          </w:tcPr>
          <w:p>
            <w:pPr>
              <w:ind w:left="100"/>
              <w:spacing w:after="0"/>
              <w:rPr>
                <w:sz w:val="20"/>
                <w:szCs w:val="20"/>
                <w:color w:val="auto"/>
              </w:rPr>
            </w:pPr>
            <w:r>
              <w:rPr>
                <w:rFonts w:ascii="Arial" w:cs="Arial" w:eastAsia="Arial" w:hAnsi="Arial"/>
                <w:sz w:val="17"/>
                <w:szCs w:val="17"/>
                <w:b w:val="1"/>
                <w:bCs w:val="1"/>
                <w:color w:val="435F86"/>
              </w:rPr>
              <w:t>2.</w:t>
            </w:r>
          </w:p>
        </w:tc>
        <w:tc>
          <w:tcPr>
            <w:tcW w:w="5960" w:type="dxa"/>
            <w:vAlign w:val="bottom"/>
          </w:tcPr>
          <w:p>
            <w:pPr>
              <w:ind w:left="100"/>
              <w:spacing w:after="0"/>
              <w:rPr>
                <w:sz w:val="20"/>
                <w:szCs w:val="20"/>
                <w:color w:val="auto"/>
              </w:rPr>
            </w:pPr>
            <w:r>
              <w:rPr>
                <w:rFonts w:ascii="Arial" w:cs="Arial" w:eastAsia="Arial" w:hAnsi="Arial"/>
                <w:sz w:val="17"/>
                <w:szCs w:val="17"/>
                <w:color w:val="auto"/>
              </w:rPr>
              <w:t>Approval, on an advisory basis, of the compensation of our named executive</w:t>
            </w:r>
          </w:p>
        </w:tc>
        <w:tc>
          <w:tcPr>
            <w:tcW w:w="2420" w:type="dxa"/>
            <w:vAlign w:val="bottom"/>
            <w:vMerge w:val="restart"/>
          </w:tcPr>
          <w:p>
            <w:pPr>
              <w:jc w:val="center"/>
              <w:spacing w:after="0"/>
              <w:rPr>
                <w:sz w:val="20"/>
                <w:szCs w:val="20"/>
                <w:color w:val="auto"/>
              </w:rPr>
            </w:pPr>
            <w:r>
              <w:rPr>
                <w:rFonts w:ascii="Arial" w:cs="Arial" w:eastAsia="Arial" w:hAnsi="Arial"/>
                <w:sz w:val="24"/>
                <w:szCs w:val="24"/>
                <w:b w:val="1"/>
                <w:bCs w:val="1"/>
                <w:color w:val="435F86"/>
              </w:rPr>
              <w:t>FOR</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159"/>
        </w:trPr>
        <w:tc>
          <w:tcPr>
            <w:tcW w:w="340" w:type="dxa"/>
            <w:vAlign w:val="bottom"/>
          </w:tcPr>
          <w:p>
            <w:pPr>
              <w:spacing w:after="0"/>
              <w:rPr>
                <w:sz w:val="13"/>
                <w:szCs w:val="13"/>
                <w:color w:val="auto"/>
              </w:rPr>
            </w:pPr>
          </w:p>
        </w:tc>
        <w:tc>
          <w:tcPr>
            <w:tcW w:w="5960" w:type="dxa"/>
            <w:vAlign w:val="bottom"/>
            <w:vMerge w:val="restart"/>
          </w:tcPr>
          <w:p>
            <w:pPr>
              <w:ind w:left="100"/>
              <w:spacing w:after="0"/>
              <w:rPr>
                <w:sz w:val="20"/>
                <w:szCs w:val="20"/>
                <w:color w:val="auto"/>
              </w:rPr>
            </w:pPr>
            <w:r>
              <w:rPr>
                <w:rFonts w:ascii="Arial" w:cs="Arial" w:eastAsia="Arial" w:hAnsi="Arial"/>
                <w:sz w:val="17"/>
                <w:szCs w:val="17"/>
                <w:color w:val="auto"/>
              </w:rPr>
              <w:t>officers</w:t>
            </w: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40" w:type="dxa"/>
            <w:vAlign w:val="bottom"/>
          </w:tcPr>
          <w:p>
            <w:pPr>
              <w:spacing w:after="0"/>
              <w:rPr>
                <w:sz w:val="6"/>
                <w:szCs w:val="6"/>
                <w:color w:val="auto"/>
              </w:rPr>
            </w:pPr>
          </w:p>
        </w:tc>
        <w:tc>
          <w:tcPr>
            <w:tcW w:w="5960" w:type="dxa"/>
            <w:vAlign w:val="bottom"/>
            <w:vMerge w:val="continue"/>
          </w:tcPr>
          <w:p>
            <w:pPr>
              <w:spacing w:after="0"/>
              <w:rPr>
                <w:sz w:val="6"/>
                <w:szCs w:val="6"/>
                <w:color w:val="auto"/>
              </w:rPr>
            </w:pPr>
          </w:p>
        </w:tc>
        <w:tc>
          <w:tcPr>
            <w:tcW w:w="2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40" w:type="dxa"/>
            <w:vAlign w:val="bottom"/>
            <w:tcBorders>
              <w:bottom w:val="single" w:sz="8" w:color="A1AFC2"/>
            </w:tcBorders>
          </w:tcPr>
          <w:p>
            <w:pPr>
              <w:spacing w:after="0"/>
              <w:rPr>
                <w:sz w:val="5"/>
                <w:szCs w:val="5"/>
                <w:color w:val="auto"/>
              </w:rPr>
            </w:pPr>
          </w:p>
        </w:tc>
        <w:tc>
          <w:tcPr>
            <w:tcW w:w="5960" w:type="dxa"/>
            <w:vAlign w:val="bottom"/>
            <w:tcBorders>
              <w:bottom w:val="single" w:sz="8" w:color="A1AFC2"/>
            </w:tcBorders>
          </w:tcPr>
          <w:p>
            <w:pPr>
              <w:spacing w:after="0"/>
              <w:rPr>
                <w:sz w:val="5"/>
                <w:szCs w:val="5"/>
                <w:color w:val="auto"/>
              </w:rPr>
            </w:pPr>
          </w:p>
        </w:tc>
        <w:tc>
          <w:tcPr>
            <w:tcW w:w="2420" w:type="dxa"/>
            <w:vAlign w:val="bottom"/>
            <w:tcBorders>
              <w:bottom w:val="single" w:sz="8" w:color="A1AFC2"/>
            </w:tcBorders>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340" w:type="dxa"/>
            <w:vAlign w:val="bottom"/>
          </w:tcPr>
          <w:p>
            <w:pPr>
              <w:ind w:left="100"/>
              <w:spacing w:after="0"/>
              <w:rPr>
                <w:sz w:val="20"/>
                <w:szCs w:val="20"/>
                <w:color w:val="auto"/>
              </w:rPr>
            </w:pPr>
            <w:r>
              <w:rPr>
                <w:rFonts w:ascii="Arial" w:cs="Arial" w:eastAsia="Arial" w:hAnsi="Arial"/>
                <w:sz w:val="17"/>
                <w:szCs w:val="17"/>
                <w:b w:val="1"/>
                <w:bCs w:val="1"/>
                <w:color w:val="435F86"/>
              </w:rPr>
              <w:t>3.</w:t>
            </w:r>
          </w:p>
        </w:tc>
        <w:tc>
          <w:tcPr>
            <w:tcW w:w="5960" w:type="dxa"/>
            <w:vAlign w:val="bottom"/>
          </w:tcPr>
          <w:p>
            <w:pPr>
              <w:ind w:left="120"/>
              <w:spacing w:after="0"/>
              <w:rPr>
                <w:sz w:val="20"/>
                <w:szCs w:val="20"/>
                <w:color w:val="auto"/>
              </w:rPr>
            </w:pPr>
            <w:r>
              <w:rPr>
                <w:rFonts w:ascii="Arial" w:cs="Arial" w:eastAsia="Arial" w:hAnsi="Arial"/>
                <w:sz w:val="17"/>
                <w:szCs w:val="17"/>
                <w:color w:val="auto"/>
              </w:rPr>
              <w:t>Ratification of the appointment of Ernst &amp; Young LLP as our independent</w:t>
            </w:r>
          </w:p>
        </w:tc>
        <w:tc>
          <w:tcPr>
            <w:tcW w:w="2420" w:type="dxa"/>
            <w:vAlign w:val="bottom"/>
            <w:vMerge w:val="restart"/>
          </w:tcPr>
          <w:p>
            <w:pPr>
              <w:jc w:val="center"/>
              <w:spacing w:after="0"/>
              <w:rPr>
                <w:sz w:val="20"/>
                <w:szCs w:val="20"/>
                <w:color w:val="auto"/>
              </w:rPr>
            </w:pPr>
            <w:r>
              <w:rPr>
                <w:rFonts w:ascii="Arial" w:cs="Arial" w:eastAsia="Arial" w:hAnsi="Arial"/>
                <w:sz w:val="24"/>
                <w:szCs w:val="24"/>
                <w:b w:val="1"/>
                <w:bCs w:val="1"/>
                <w:color w:val="435F86"/>
                <w:w w:val="98"/>
              </w:rPr>
              <w:t>FOR</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7"/>
                <w:szCs w:val="17"/>
                <w:color w:val="auto"/>
                <w:w w:val="98"/>
              </w:rPr>
              <w:t>registered public accounting firm for the fiscal year ending December 31, 2025</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340" w:type="dxa"/>
            <w:vAlign w:val="bottom"/>
            <w:tcBorders>
              <w:bottom w:val="single" w:sz="8" w:color="435F86"/>
            </w:tcBorders>
          </w:tcPr>
          <w:p>
            <w:pPr>
              <w:spacing w:after="0"/>
              <w:rPr>
                <w:sz w:val="7"/>
                <w:szCs w:val="7"/>
                <w:color w:val="auto"/>
              </w:rPr>
            </w:pPr>
          </w:p>
        </w:tc>
        <w:tc>
          <w:tcPr>
            <w:tcW w:w="5960" w:type="dxa"/>
            <w:vAlign w:val="bottom"/>
            <w:tcBorders>
              <w:bottom w:val="single" w:sz="8" w:color="435F86"/>
            </w:tcBorders>
          </w:tcPr>
          <w:p>
            <w:pPr>
              <w:spacing w:after="0"/>
              <w:rPr>
                <w:sz w:val="7"/>
                <w:szCs w:val="7"/>
                <w:color w:val="auto"/>
              </w:rPr>
            </w:pPr>
          </w:p>
        </w:tc>
        <w:tc>
          <w:tcPr>
            <w:tcW w:w="2420" w:type="dxa"/>
            <w:vAlign w:val="bottom"/>
            <w:tcBorders>
              <w:bottom w:val="single" w:sz="8" w:color="435F8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906780</wp:posOffset>
            </wp:positionV>
            <wp:extent cx="494665" cy="165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782955</wp:posOffset>
            </wp:positionV>
            <wp:extent cx="553847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Proxy Statement Summary</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Information on the Director Nominees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Information on the Director Nominees</w:t>
      </w:r>
    </w:p>
    <w:p>
      <w:pPr>
        <w:spacing w:after="0" w:line="215" w:lineRule="exact"/>
        <w:rPr>
          <w:sz w:val="20"/>
          <w:szCs w:val="20"/>
          <w:color w:val="auto"/>
        </w:rPr>
      </w:pPr>
    </w:p>
    <w:p>
      <w:pPr>
        <w:ind w:left="780" w:right="920"/>
        <w:spacing w:after="0" w:line="246" w:lineRule="auto"/>
        <w:rPr>
          <w:sz w:val="20"/>
          <w:szCs w:val="20"/>
          <w:color w:val="auto"/>
        </w:rPr>
      </w:pPr>
      <w:r>
        <w:rPr>
          <w:rFonts w:ascii="Arial" w:cs="Arial" w:eastAsia="Arial" w:hAnsi="Arial"/>
          <w:sz w:val="21"/>
          <w:szCs w:val="21"/>
          <w:color w:val="auto"/>
        </w:rPr>
        <w:t xml:space="preserve">Information as of March 28, 2025 about the three nominees for Class II directors is set forth below. The Nominating and Corporate Governance (“NCG”) Committee reviewed the attributes and contributions of each of the nominees (without Mr. Chen’s involvement in the review and discussion of his attributes or contributions and without Ms. Klee’s involvement in the review and discussion of her attributes or contributions) and the Board recommends that stockholders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election of each of these director nominees.</w:t>
      </w:r>
    </w:p>
    <w:p>
      <w:pPr>
        <w:spacing w:after="0" w:line="277"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435F86"/>
                <w:w w:val="91"/>
              </w:rPr>
              <w:t>Director</w:t>
            </w: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320" w:type="dxa"/>
            <w:vAlign w:val="bottom"/>
            <w:tcBorders>
              <w:bottom w:val="single" w:sz="8" w:color="435F86"/>
            </w:tcBorders>
            <w:gridSpan w:val="2"/>
          </w:tcPr>
          <w:p>
            <w:pPr>
              <w:ind w:left="40"/>
              <w:spacing w:after="0"/>
              <w:rPr>
                <w:sz w:val="20"/>
                <w:szCs w:val="20"/>
                <w:color w:val="auto"/>
              </w:rPr>
            </w:pPr>
            <w:r>
              <w:rPr>
                <w:rFonts w:ascii="Arial" w:cs="Arial" w:eastAsia="Arial" w:hAnsi="Arial"/>
                <w:sz w:val="16"/>
                <w:szCs w:val="16"/>
                <w:b w:val="1"/>
                <w:bCs w:val="1"/>
                <w:color w:val="435F86"/>
              </w:rPr>
              <w:t>​Name and Occupation</w:t>
            </w:r>
          </w:p>
        </w:tc>
        <w:tc>
          <w:tcPr>
            <w:tcW w:w="240" w:type="dxa"/>
            <w:vAlign w:val="bottom"/>
            <w:tcBorders>
              <w:bottom w:val="single" w:sz="8" w:color="435F86"/>
            </w:tcBorders>
          </w:tcPr>
          <w:p>
            <w:pPr>
              <w:ind w:left="80"/>
              <w:spacing w:after="0"/>
              <w:rPr>
                <w:sz w:val="20"/>
                <w:szCs w:val="20"/>
                <w:color w:val="auto"/>
              </w:rPr>
            </w:pPr>
            <w:r>
              <w:rPr>
                <w:rFonts w:ascii="Arial" w:cs="Arial" w:eastAsia="Arial" w:hAnsi="Arial"/>
                <w:sz w:val="16"/>
                <w:szCs w:val="16"/>
                <w:b w:val="1"/>
                <w:bCs w:val="1"/>
                <w:color w:val="435F86"/>
              </w:rPr>
              <w:t>​</w:t>
            </w:r>
          </w:p>
        </w:tc>
        <w:tc>
          <w:tcPr>
            <w:tcW w:w="52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9"/>
              </w:rPr>
              <w:t>Age</w:t>
            </w:r>
          </w:p>
        </w:tc>
        <w:tc>
          <w:tcPr>
            <w:tcW w:w="320" w:type="dxa"/>
            <w:vAlign w:val="bottom"/>
            <w:tcBorders>
              <w:bottom w:val="single" w:sz="8" w:color="435F86"/>
            </w:tcBorders>
          </w:tcPr>
          <w:p>
            <w:pPr>
              <w:ind w:left="140"/>
              <w:spacing w:after="0"/>
              <w:rPr>
                <w:sz w:val="20"/>
                <w:szCs w:val="20"/>
                <w:color w:val="auto"/>
              </w:rPr>
            </w:pPr>
            <w:r>
              <w:rPr>
                <w:rFonts w:ascii="Arial" w:cs="Arial" w:eastAsia="Arial" w:hAnsi="Arial"/>
                <w:sz w:val="16"/>
                <w:szCs w:val="16"/>
                <w:b w:val="1"/>
                <w:bCs w:val="1"/>
                <w:color w:val="435F86"/>
              </w:rPr>
              <w:t>​ ​</w:t>
            </w:r>
          </w:p>
        </w:tc>
        <w:tc>
          <w:tcPr>
            <w:tcW w:w="70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3"/>
              </w:rPr>
              <w:t>Since</w:t>
            </w:r>
          </w:p>
        </w:tc>
        <w:tc>
          <w:tcPr>
            <w:tcW w:w="1380" w:type="dxa"/>
            <w:vAlign w:val="bottom"/>
            <w:tcBorders>
              <w:bottom w:val="single" w:sz="8" w:color="435F86"/>
            </w:tcBorders>
            <w:gridSpan w:val="2"/>
          </w:tcPr>
          <w:p>
            <w:pPr>
              <w:ind w:left="80"/>
              <w:spacing w:after="0"/>
              <w:rPr>
                <w:sz w:val="20"/>
                <w:szCs w:val="20"/>
                <w:color w:val="auto"/>
              </w:rPr>
            </w:pPr>
            <w:r>
              <w:rPr>
                <w:rFonts w:ascii="Arial" w:cs="Arial" w:eastAsia="Arial" w:hAnsi="Arial"/>
                <w:sz w:val="16"/>
                <w:szCs w:val="16"/>
                <w:b w:val="1"/>
                <w:bCs w:val="1"/>
                <w:color w:val="435F86"/>
              </w:rPr>
              <w:t>​ ​Independent ​</w:t>
            </w:r>
          </w:p>
        </w:tc>
        <w:tc>
          <w:tcPr>
            <w:tcW w:w="2240" w:type="dxa"/>
            <w:vAlign w:val="bottom"/>
            <w:tcBorders>
              <w:bottom w:val="single" w:sz="8" w:color="435F86"/>
            </w:tcBorders>
          </w:tcPr>
          <w:p>
            <w:pPr>
              <w:jc w:val="center"/>
              <w:ind w:right="55"/>
              <w:spacing w:after="0"/>
              <w:rPr>
                <w:sz w:val="20"/>
                <w:szCs w:val="20"/>
                <w:color w:val="auto"/>
              </w:rPr>
            </w:pPr>
            <w:r>
              <w:rPr>
                <w:rFonts w:ascii="Arial" w:cs="Arial" w:eastAsia="Arial" w:hAnsi="Arial"/>
                <w:sz w:val="16"/>
                <w:szCs w:val="16"/>
                <w:b w:val="1"/>
                <w:bCs w:val="1"/>
                <w:color w:val="435F86"/>
                <w:w w:val="93"/>
              </w:rPr>
              <w:t>Committees</w:t>
            </w:r>
          </w:p>
        </w:tc>
        <w:tc>
          <w:tcPr>
            <w:tcW w:w="0" w:type="dxa"/>
            <w:vAlign w:val="bottom"/>
          </w:tcPr>
          <w:p>
            <w:pPr>
              <w:spacing w:after="0"/>
              <w:rPr>
                <w:sz w:val="1"/>
                <w:szCs w:val="1"/>
                <w:color w:val="auto"/>
              </w:rPr>
            </w:pPr>
          </w:p>
        </w:tc>
      </w:tr>
      <w:tr>
        <w:trPr>
          <w:trHeight w:val="343"/>
        </w:trPr>
        <w:tc>
          <w:tcPr>
            <w:tcW w:w="3320" w:type="dxa"/>
            <w:vAlign w:val="bottom"/>
            <w:gridSpan w:val="2"/>
          </w:tcPr>
          <w:p>
            <w:pPr>
              <w:ind w:left="40"/>
              <w:spacing w:after="0" w:line="34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Ruoxi Chen</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320" w:type="dxa"/>
            <w:vAlign w:val="bottom"/>
          </w:tcPr>
          <w:p>
            <w:pPr>
              <w:ind w:left="140"/>
              <w:spacing w:after="0"/>
              <w:rPr>
                <w:sz w:val="20"/>
                <w:szCs w:val="20"/>
                <w:color w:val="auto"/>
              </w:rPr>
            </w:pPr>
            <w:r>
              <w:rPr>
                <w:rFonts w:ascii="Arial" w:cs="Arial" w:eastAsia="Arial" w:hAnsi="Arial"/>
                <w:sz w:val="17"/>
                <w:szCs w:val="17"/>
                <w:color w:val="auto"/>
              </w:rPr>
              <w:t>​ ​</w:t>
            </w:r>
          </w:p>
        </w:tc>
        <w:tc>
          <w:tcPr>
            <w:tcW w:w="700" w:type="dxa"/>
            <w:vAlign w:val="bottom"/>
          </w:tcPr>
          <w:p>
            <w:pPr>
              <w:jc w:val="center"/>
              <w:spacing w:after="0"/>
              <w:rPr>
                <w:sz w:val="20"/>
                <w:szCs w:val="20"/>
                <w:color w:val="auto"/>
              </w:rPr>
            </w:pPr>
            <w:r>
              <w:rPr>
                <w:rFonts w:ascii="Arial" w:cs="Arial" w:eastAsia="Arial" w:hAnsi="Arial"/>
                <w:sz w:val="17"/>
                <w:szCs w:val="17"/>
                <w:color w:val="auto"/>
                <w:w w:val="95"/>
              </w:rPr>
              <w:t>2020</w:t>
            </w:r>
          </w:p>
        </w:tc>
        <w:tc>
          <w:tcPr>
            <w:tcW w:w="680" w:type="dxa"/>
            <w:vAlign w:val="bottom"/>
          </w:tcPr>
          <w:p>
            <w:pPr>
              <w:ind w:left="80"/>
              <w:spacing w:after="0"/>
              <w:rPr>
                <w:sz w:val="20"/>
                <w:szCs w:val="20"/>
                <w:color w:val="auto"/>
              </w:rPr>
            </w:pPr>
            <w:r>
              <w:rPr>
                <w:rFonts w:ascii="Arial" w:cs="Arial" w:eastAsia="Arial" w:hAnsi="Arial"/>
                <w:sz w:val="17"/>
                <w:szCs w:val="17"/>
                <w:color w:val="auto"/>
              </w:rPr>
              <w:t>​ ​</w:t>
            </w:r>
          </w:p>
        </w:tc>
        <w:tc>
          <w:tcPr>
            <w:tcW w:w="700" w:type="dxa"/>
            <w:vAlign w:val="bottom"/>
          </w:tcPr>
          <w:p>
            <w:pPr>
              <w:ind w:left="480"/>
              <w:spacing w:after="0"/>
              <w:rPr>
                <w:sz w:val="20"/>
                <w:szCs w:val="20"/>
                <w:color w:val="auto"/>
              </w:rPr>
            </w:pPr>
            <w:r>
              <w:rPr>
                <w:rFonts w:ascii="Arial" w:cs="Arial" w:eastAsia="Arial" w:hAnsi="Arial"/>
                <w:sz w:val="17"/>
                <w:szCs w:val="17"/>
                <w:color w:val="auto"/>
              </w:rPr>
              <w:t>​</w:t>
            </w:r>
          </w:p>
        </w:tc>
        <w:tc>
          <w:tcPr>
            <w:tcW w:w="2240" w:type="dxa"/>
            <w:vAlign w:val="bottom"/>
          </w:tcPr>
          <w:p>
            <w:pPr>
              <w:jc w:val="center"/>
              <w:ind w:right="55"/>
              <w:spacing w:after="0"/>
              <w:rPr>
                <w:sz w:val="20"/>
                <w:szCs w:val="20"/>
                <w:color w:val="auto"/>
              </w:rPr>
            </w:pPr>
            <w:r>
              <w:rPr>
                <w:rFonts w:ascii="Arial" w:cs="Arial" w:eastAsia="Arial" w:hAnsi="Arial"/>
                <w:sz w:val="17"/>
                <w:szCs w:val="17"/>
                <w:color w:val="auto"/>
                <w:w w:val="97"/>
              </w:rPr>
              <w:t>NCG Committee</w:t>
            </w:r>
          </w:p>
        </w:tc>
        <w:tc>
          <w:tcPr>
            <w:tcW w:w="0" w:type="dxa"/>
            <w:vAlign w:val="bottom"/>
          </w:tcPr>
          <w:p>
            <w:pPr>
              <w:spacing w:after="0"/>
              <w:rPr>
                <w:sz w:val="1"/>
                <w:szCs w:val="1"/>
                <w:color w:val="auto"/>
              </w:rPr>
            </w:pPr>
          </w:p>
        </w:tc>
      </w:tr>
      <w:tr>
        <w:trPr>
          <w:trHeight w:val="221"/>
        </w:trPr>
        <w:tc>
          <w:tcPr>
            <w:tcW w:w="180" w:type="dxa"/>
            <w:vAlign w:val="bottom"/>
            <w:tcBorders>
              <w:bottom w:val="single" w:sz="8" w:color="A1AFC2"/>
            </w:tcBorders>
          </w:tcPr>
          <w:p>
            <w:pPr>
              <w:spacing w:after="0"/>
              <w:rPr>
                <w:sz w:val="19"/>
                <w:szCs w:val="19"/>
                <w:color w:val="auto"/>
              </w:rPr>
            </w:pPr>
          </w:p>
        </w:tc>
        <w:tc>
          <w:tcPr>
            <w:tcW w:w="31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w w:val="97"/>
              </w:rPr>
              <w:t>Managing Director, Warburg Pincus, LLC</w:t>
            </w:r>
          </w:p>
        </w:tc>
        <w:tc>
          <w:tcPr>
            <w:tcW w:w="240" w:type="dxa"/>
            <w:vAlign w:val="bottom"/>
            <w:tcBorders>
              <w:bottom w:val="single" w:sz="8" w:color="A1AFC2"/>
            </w:tcBorders>
          </w:tcPr>
          <w:p>
            <w:pPr>
              <w:spacing w:after="0"/>
              <w:rPr>
                <w:sz w:val="19"/>
                <w:szCs w:val="19"/>
                <w:color w:val="auto"/>
              </w:rPr>
            </w:pPr>
          </w:p>
        </w:tc>
        <w:tc>
          <w:tcPr>
            <w:tcW w:w="520" w:type="dxa"/>
            <w:vAlign w:val="bottom"/>
            <w:tcBorders>
              <w:bottom w:val="single" w:sz="8" w:color="A1AFC2"/>
            </w:tcBorders>
          </w:tcPr>
          <w:p>
            <w:pPr>
              <w:spacing w:after="0"/>
              <w:rPr>
                <w:sz w:val="19"/>
                <w:szCs w:val="19"/>
                <w:color w:val="auto"/>
              </w:rPr>
            </w:pPr>
          </w:p>
        </w:tc>
        <w:tc>
          <w:tcPr>
            <w:tcW w:w="320" w:type="dxa"/>
            <w:vAlign w:val="bottom"/>
            <w:tcBorders>
              <w:bottom w:val="single" w:sz="8" w:color="A1AFC2"/>
            </w:tcBorders>
          </w:tcPr>
          <w:p>
            <w:pPr>
              <w:spacing w:after="0"/>
              <w:rPr>
                <w:sz w:val="19"/>
                <w:szCs w:val="19"/>
                <w:color w:val="auto"/>
              </w:rPr>
            </w:pPr>
          </w:p>
        </w:tc>
        <w:tc>
          <w:tcPr>
            <w:tcW w:w="700" w:type="dxa"/>
            <w:vAlign w:val="bottom"/>
            <w:tcBorders>
              <w:bottom w:val="single" w:sz="8" w:color="A1AFC2"/>
            </w:tcBorders>
          </w:tcPr>
          <w:p>
            <w:pPr>
              <w:spacing w:after="0"/>
              <w:rPr>
                <w:sz w:val="19"/>
                <w:szCs w:val="19"/>
                <w:color w:val="auto"/>
              </w:rPr>
            </w:pPr>
          </w:p>
        </w:tc>
        <w:tc>
          <w:tcPr>
            <w:tcW w:w="680" w:type="dxa"/>
            <w:vAlign w:val="bottom"/>
            <w:tcBorders>
              <w:bottom w:val="single" w:sz="8" w:color="A1AFC2"/>
            </w:tcBorders>
          </w:tcPr>
          <w:p>
            <w:pPr>
              <w:spacing w:after="0"/>
              <w:rPr>
                <w:sz w:val="19"/>
                <w:szCs w:val="19"/>
                <w:color w:val="auto"/>
              </w:rPr>
            </w:pPr>
          </w:p>
        </w:tc>
        <w:tc>
          <w:tcPr>
            <w:tcW w:w="700" w:type="dxa"/>
            <w:vAlign w:val="bottom"/>
            <w:tcBorders>
              <w:bottom w:val="single" w:sz="8" w:color="A1AFC2"/>
            </w:tcBorders>
          </w:tcPr>
          <w:p>
            <w:pPr>
              <w:spacing w:after="0"/>
              <w:rPr>
                <w:sz w:val="19"/>
                <w:szCs w:val="19"/>
                <w:color w:val="auto"/>
              </w:rPr>
            </w:pPr>
          </w:p>
        </w:tc>
        <w:tc>
          <w:tcPr>
            <w:tcW w:w="2240" w:type="dxa"/>
            <w:vAlign w:val="bottom"/>
            <w:tcBorders>
              <w:bottom w:val="single" w:sz="8" w:color="A1AFC2"/>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320" w:type="dxa"/>
            <w:vAlign w:val="bottom"/>
            <w:gridSpan w:val="2"/>
          </w:tcPr>
          <w:p>
            <w:pPr>
              <w:ind w:left="100"/>
              <w:spacing w:after="0"/>
              <w:rPr>
                <w:sz w:val="20"/>
                <w:szCs w:val="20"/>
                <w:color w:val="auto"/>
              </w:rPr>
            </w:pPr>
            <w:r>
              <w:rPr>
                <w:rFonts w:ascii="Arial" w:cs="Arial" w:eastAsia="Arial" w:hAnsi="Arial"/>
                <w:sz w:val="17"/>
                <w:szCs w:val="17"/>
                <w:color w:val="auto"/>
              </w:rPr>
              <w:t>Karen A. Flynn</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3140" w:type="dxa"/>
            <w:vAlign w:val="bottom"/>
          </w:tcPr>
          <w:p>
            <w:pPr>
              <w:ind w:left="80"/>
              <w:spacing w:after="0"/>
              <w:rPr>
                <w:sz w:val="20"/>
                <w:szCs w:val="20"/>
                <w:color w:val="auto"/>
              </w:rPr>
            </w:pPr>
            <w:r>
              <w:rPr>
                <w:rFonts w:ascii="Arial" w:cs="Arial" w:eastAsia="Arial" w:hAnsi="Arial"/>
                <w:sz w:val="17"/>
                <w:szCs w:val="17"/>
                <w:color w:val="auto"/>
              </w:rPr>
              <w:t>Former President, Biomodalities,</w:t>
            </w:r>
          </w:p>
        </w:tc>
        <w:tc>
          <w:tcPr>
            <w:tcW w:w="240" w:type="dxa"/>
            <w:vAlign w:val="bottom"/>
          </w:tcPr>
          <w:p>
            <w:pPr>
              <w:ind w:left="80"/>
              <w:spacing w:after="0"/>
              <w:rPr>
                <w:sz w:val="20"/>
                <w:szCs w:val="20"/>
                <w:color w:val="auto"/>
              </w:rPr>
            </w:pPr>
            <w:r>
              <w:rPr>
                <w:rFonts w:ascii="Arial" w:cs="Arial" w:eastAsia="Arial" w:hAnsi="Arial"/>
                <w:sz w:val="17"/>
                <w:szCs w:val="17"/>
                <w:color w:val="auto"/>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94"/>
              </w:rPr>
              <w:t>62</w:t>
            </w:r>
          </w:p>
        </w:tc>
        <w:tc>
          <w:tcPr>
            <w:tcW w:w="320" w:type="dxa"/>
            <w:vAlign w:val="bottom"/>
          </w:tcPr>
          <w:p>
            <w:pPr>
              <w:ind w:left="140"/>
              <w:spacing w:after="0"/>
              <w:rPr>
                <w:sz w:val="20"/>
                <w:szCs w:val="20"/>
                <w:color w:val="auto"/>
              </w:rPr>
            </w:pPr>
            <w:r>
              <w:rPr>
                <w:rFonts w:ascii="Arial" w:cs="Arial" w:eastAsia="Arial" w:hAnsi="Arial"/>
                <w:sz w:val="17"/>
                <w:szCs w:val="17"/>
                <w:color w:val="auto"/>
              </w:rPr>
              <w:t>​ ​</w:t>
            </w:r>
          </w:p>
        </w:tc>
        <w:tc>
          <w:tcPr>
            <w:tcW w:w="700" w:type="dxa"/>
            <w:vAlign w:val="bottom"/>
          </w:tcPr>
          <w:p>
            <w:pPr>
              <w:jc w:val="center"/>
              <w:spacing w:after="0"/>
              <w:rPr>
                <w:sz w:val="20"/>
                <w:szCs w:val="20"/>
                <w:color w:val="auto"/>
              </w:rPr>
            </w:pPr>
            <w:r>
              <w:rPr>
                <w:rFonts w:ascii="Arial" w:cs="Arial" w:eastAsia="Arial" w:hAnsi="Arial"/>
                <w:sz w:val="17"/>
                <w:szCs w:val="17"/>
                <w:color w:val="auto"/>
                <w:w w:val="95"/>
              </w:rPr>
              <w:t>2023</w:t>
            </w:r>
          </w:p>
        </w:tc>
        <w:tc>
          <w:tcPr>
            <w:tcW w:w="680" w:type="dxa"/>
            <w:vAlign w:val="bottom"/>
          </w:tcPr>
          <w:p>
            <w:pPr>
              <w:ind w:left="80"/>
              <w:spacing w:after="0"/>
              <w:rPr>
                <w:sz w:val="20"/>
                <w:szCs w:val="20"/>
                <w:color w:val="auto"/>
              </w:rPr>
            </w:pPr>
            <w:r>
              <w:rPr>
                <w:rFonts w:ascii="Arial" w:cs="Arial" w:eastAsia="Arial" w:hAnsi="Arial"/>
                <w:sz w:val="17"/>
                <w:szCs w:val="17"/>
                <w:color w:val="auto"/>
              </w:rPr>
              <w:t>​ ​</w:t>
            </w:r>
          </w:p>
        </w:tc>
        <w:tc>
          <w:tcPr>
            <w:tcW w:w="700" w:type="dxa"/>
            <w:vAlign w:val="bottom"/>
          </w:tcPr>
          <w:p>
            <w:pPr>
              <w:ind w:left="480"/>
              <w:spacing w:after="0"/>
              <w:rPr>
                <w:sz w:val="20"/>
                <w:szCs w:val="20"/>
                <w:color w:val="auto"/>
              </w:rPr>
            </w:pPr>
            <w:r>
              <w:rPr>
                <w:rFonts w:ascii="Arial" w:cs="Arial" w:eastAsia="Arial" w:hAnsi="Arial"/>
                <w:sz w:val="17"/>
                <w:szCs w:val="17"/>
                <w:color w:val="auto"/>
              </w:rPr>
              <w:t>​</w:t>
            </w:r>
          </w:p>
        </w:tc>
        <w:tc>
          <w:tcPr>
            <w:tcW w:w="2240" w:type="dxa"/>
            <w:vAlign w:val="bottom"/>
          </w:tcPr>
          <w:p>
            <w:pPr>
              <w:jc w:val="center"/>
              <w:ind w:right="55"/>
              <w:spacing w:after="0"/>
              <w:rPr>
                <w:sz w:val="20"/>
                <w:szCs w:val="20"/>
                <w:color w:val="auto"/>
              </w:rPr>
            </w:pPr>
            <w:r>
              <w:rPr>
                <w:rFonts w:ascii="Arial" w:cs="Arial" w:eastAsia="Arial" w:hAnsi="Arial"/>
                <w:sz w:val="17"/>
                <w:szCs w:val="17"/>
                <w:color w:val="auto"/>
                <w:w w:val="97"/>
              </w:rPr>
              <w:t>Audit Committee</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3140" w:type="dxa"/>
            <w:vAlign w:val="bottom"/>
          </w:tcPr>
          <w:p>
            <w:pPr>
              <w:ind w:left="80"/>
              <w:spacing w:after="0"/>
              <w:rPr>
                <w:sz w:val="20"/>
                <w:szCs w:val="20"/>
                <w:color w:val="auto"/>
              </w:rPr>
            </w:pPr>
            <w:r>
              <w:rPr>
                <w:rFonts w:ascii="Arial" w:cs="Arial" w:eastAsia="Arial" w:hAnsi="Arial"/>
                <w:sz w:val="17"/>
                <w:szCs w:val="17"/>
                <w:color w:val="auto"/>
              </w:rPr>
              <w:t>Catalent Pharma Solutions</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320" w:type="dxa"/>
            <w:vAlign w:val="bottom"/>
            <w:tcBorders>
              <w:bottom w:val="single" w:sz="8" w:color="A1AFC2"/>
            </w:tcBorders>
            <w:gridSpan w:val="2"/>
          </w:tcPr>
          <w:p>
            <w:pPr>
              <w:spacing w:after="0"/>
              <w:rPr>
                <w:sz w:val="5"/>
                <w:szCs w:val="5"/>
                <w:color w:val="auto"/>
              </w:rPr>
            </w:pPr>
          </w:p>
        </w:tc>
        <w:tc>
          <w:tcPr>
            <w:tcW w:w="240" w:type="dxa"/>
            <w:vAlign w:val="bottom"/>
            <w:tcBorders>
              <w:bottom w:val="single" w:sz="8" w:color="A1AFC2"/>
            </w:tcBorders>
          </w:tcPr>
          <w:p>
            <w:pPr>
              <w:spacing w:after="0"/>
              <w:rPr>
                <w:sz w:val="5"/>
                <w:szCs w:val="5"/>
                <w:color w:val="auto"/>
              </w:rPr>
            </w:pPr>
          </w:p>
        </w:tc>
        <w:tc>
          <w:tcPr>
            <w:tcW w:w="520" w:type="dxa"/>
            <w:vAlign w:val="bottom"/>
            <w:tcBorders>
              <w:bottom w:val="single" w:sz="8" w:color="A1AFC2"/>
            </w:tcBorders>
          </w:tcPr>
          <w:p>
            <w:pPr>
              <w:spacing w:after="0"/>
              <w:rPr>
                <w:sz w:val="5"/>
                <w:szCs w:val="5"/>
                <w:color w:val="auto"/>
              </w:rPr>
            </w:pPr>
          </w:p>
        </w:tc>
        <w:tc>
          <w:tcPr>
            <w:tcW w:w="320" w:type="dxa"/>
            <w:vAlign w:val="bottom"/>
            <w:tcBorders>
              <w:bottom w:val="single" w:sz="8" w:color="A1AFC2"/>
            </w:tcBorders>
          </w:tcPr>
          <w:p>
            <w:pPr>
              <w:spacing w:after="0"/>
              <w:rPr>
                <w:sz w:val="5"/>
                <w:szCs w:val="5"/>
                <w:color w:val="auto"/>
              </w:rPr>
            </w:pPr>
          </w:p>
        </w:tc>
        <w:tc>
          <w:tcPr>
            <w:tcW w:w="700" w:type="dxa"/>
            <w:vAlign w:val="bottom"/>
            <w:tcBorders>
              <w:bottom w:val="single" w:sz="8" w:color="A1AFC2"/>
            </w:tcBorders>
          </w:tcPr>
          <w:p>
            <w:pPr>
              <w:spacing w:after="0"/>
              <w:rPr>
                <w:sz w:val="5"/>
                <w:szCs w:val="5"/>
                <w:color w:val="auto"/>
              </w:rPr>
            </w:pPr>
          </w:p>
        </w:tc>
        <w:tc>
          <w:tcPr>
            <w:tcW w:w="680" w:type="dxa"/>
            <w:vAlign w:val="bottom"/>
            <w:tcBorders>
              <w:bottom w:val="single" w:sz="8" w:color="A1AFC2"/>
            </w:tcBorders>
          </w:tcPr>
          <w:p>
            <w:pPr>
              <w:spacing w:after="0"/>
              <w:rPr>
                <w:sz w:val="5"/>
                <w:szCs w:val="5"/>
                <w:color w:val="auto"/>
              </w:rPr>
            </w:pPr>
          </w:p>
        </w:tc>
        <w:tc>
          <w:tcPr>
            <w:tcW w:w="700" w:type="dxa"/>
            <w:vAlign w:val="bottom"/>
            <w:tcBorders>
              <w:bottom w:val="single" w:sz="8" w:color="A1AFC2"/>
            </w:tcBorders>
          </w:tcPr>
          <w:p>
            <w:pPr>
              <w:spacing w:after="0"/>
              <w:rPr>
                <w:sz w:val="5"/>
                <w:szCs w:val="5"/>
                <w:color w:val="auto"/>
              </w:rPr>
            </w:pPr>
          </w:p>
        </w:tc>
        <w:tc>
          <w:tcPr>
            <w:tcW w:w="2240" w:type="dxa"/>
            <w:vAlign w:val="bottom"/>
            <w:tcBorders>
              <w:bottom w:val="single" w:sz="8" w:color="A1AFC2"/>
            </w:tcBorders>
          </w:tcPr>
          <w:p>
            <w:pPr>
              <w:spacing w:after="0"/>
              <w:rPr>
                <w:sz w:val="5"/>
                <w:szCs w:val="5"/>
                <w:color w:val="auto"/>
              </w:rPr>
            </w:pPr>
          </w:p>
        </w:tc>
        <w:tc>
          <w:tcPr>
            <w:tcW w:w="0" w:type="dxa"/>
            <w:vAlign w:val="bottom"/>
          </w:tcPr>
          <w:p>
            <w:pPr>
              <w:spacing w:after="0"/>
              <w:rPr>
                <w:sz w:val="1"/>
                <w:szCs w:val="1"/>
                <w:color w:val="auto"/>
              </w:rPr>
            </w:pPr>
          </w:p>
        </w:tc>
      </w:tr>
      <w:tr>
        <w:trPr>
          <w:trHeight w:val="288"/>
        </w:trPr>
        <w:tc>
          <w:tcPr>
            <w:tcW w:w="3320" w:type="dxa"/>
            <w:vAlign w:val="bottom"/>
            <w:gridSpan w:val="2"/>
          </w:tcPr>
          <w:p>
            <w:pPr>
              <w:ind w:left="100"/>
              <w:spacing w:after="0"/>
              <w:rPr>
                <w:sz w:val="20"/>
                <w:szCs w:val="20"/>
                <w:color w:val="auto"/>
              </w:rPr>
            </w:pPr>
            <w:r>
              <w:rPr>
                <w:rFonts w:ascii="Arial" w:cs="Arial" w:eastAsia="Arial" w:hAnsi="Arial"/>
                <w:sz w:val="17"/>
                <w:szCs w:val="17"/>
                <w:color w:val="auto"/>
              </w:rPr>
              <w:t>Ann R. Klee</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8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3140" w:type="dxa"/>
            <w:vAlign w:val="bottom"/>
          </w:tcPr>
          <w:p>
            <w:pPr>
              <w:ind w:left="80"/>
              <w:spacing w:after="0"/>
              <w:rPr>
                <w:sz w:val="20"/>
                <w:szCs w:val="20"/>
                <w:color w:val="auto"/>
              </w:rPr>
            </w:pPr>
            <w:r>
              <w:rPr>
                <w:rFonts w:ascii="Arial" w:cs="Arial" w:eastAsia="Arial" w:hAnsi="Arial"/>
                <w:sz w:val="17"/>
                <w:szCs w:val="17"/>
                <w:color w:val="auto"/>
              </w:rPr>
              <w:t>Former Executive Vice President,</w:t>
            </w:r>
          </w:p>
        </w:tc>
        <w:tc>
          <w:tcPr>
            <w:tcW w:w="240" w:type="dxa"/>
            <w:vAlign w:val="bottom"/>
            <w:vMerge w:val="restart"/>
          </w:tcPr>
          <w:p>
            <w:pPr>
              <w:ind w:left="80"/>
              <w:spacing w:after="0"/>
              <w:rPr>
                <w:sz w:val="20"/>
                <w:szCs w:val="20"/>
                <w:color w:val="auto"/>
              </w:rPr>
            </w:pPr>
            <w:r>
              <w:rPr>
                <w:rFonts w:ascii="Arial" w:cs="Arial" w:eastAsia="Arial" w:hAnsi="Arial"/>
                <w:sz w:val="17"/>
                <w:szCs w:val="17"/>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4"/>
              </w:rPr>
              <w:t>63</w:t>
            </w:r>
          </w:p>
        </w:tc>
        <w:tc>
          <w:tcPr>
            <w:tcW w:w="320" w:type="dxa"/>
            <w:vAlign w:val="bottom"/>
            <w:vMerge w:val="restart"/>
          </w:tcPr>
          <w:p>
            <w:pPr>
              <w:ind w:left="140"/>
              <w:spacing w:after="0"/>
              <w:rPr>
                <w:sz w:val="20"/>
                <w:szCs w:val="20"/>
                <w:color w:val="auto"/>
              </w:rPr>
            </w:pPr>
            <w:r>
              <w:rPr>
                <w:rFonts w:ascii="Arial" w:cs="Arial" w:eastAsia="Arial" w:hAnsi="Arial"/>
                <w:sz w:val="17"/>
                <w:szCs w:val="17"/>
                <w:color w:val="auto"/>
              </w:rPr>
              <w:t>​ ​</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5"/>
              </w:rPr>
              <w:t>2020</w:t>
            </w:r>
          </w:p>
        </w:tc>
        <w:tc>
          <w:tcPr>
            <w:tcW w:w="680" w:type="dxa"/>
            <w:vAlign w:val="bottom"/>
            <w:vMerge w:val="restart"/>
          </w:tcPr>
          <w:p>
            <w:pPr>
              <w:ind w:left="80"/>
              <w:spacing w:after="0"/>
              <w:rPr>
                <w:sz w:val="20"/>
                <w:szCs w:val="20"/>
                <w:color w:val="auto"/>
              </w:rPr>
            </w:pPr>
            <w:r>
              <w:rPr>
                <w:rFonts w:ascii="Arial" w:cs="Arial" w:eastAsia="Arial" w:hAnsi="Arial"/>
                <w:sz w:val="17"/>
                <w:szCs w:val="17"/>
                <w:color w:val="auto"/>
              </w:rPr>
              <w:t>​ ​</w:t>
            </w:r>
          </w:p>
        </w:tc>
        <w:tc>
          <w:tcPr>
            <w:tcW w:w="70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2240" w:type="dxa"/>
            <w:vAlign w:val="bottom"/>
          </w:tcPr>
          <w:p>
            <w:pPr>
              <w:jc w:val="center"/>
              <w:ind w:right="95"/>
              <w:spacing w:after="0"/>
              <w:rPr>
                <w:sz w:val="20"/>
                <w:szCs w:val="20"/>
                <w:color w:val="auto"/>
              </w:rPr>
            </w:pPr>
            <w:r>
              <w:rPr>
                <w:rFonts w:ascii="Arial" w:cs="Arial" w:eastAsia="Arial" w:hAnsi="Arial"/>
                <w:sz w:val="17"/>
                <w:szCs w:val="17"/>
                <w:color w:val="auto"/>
                <w:w w:val="96"/>
              </w:rPr>
              <w:t>Audit Committee;</w:t>
            </w:r>
          </w:p>
        </w:tc>
        <w:tc>
          <w:tcPr>
            <w:tcW w:w="0" w:type="dxa"/>
            <w:vAlign w:val="bottom"/>
          </w:tcPr>
          <w:p>
            <w:pPr>
              <w:spacing w:after="0"/>
              <w:rPr>
                <w:sz w:val="1"/>
                <w:szCs w:val="1"/>
                <w:color w:val="auto"/>
              </w:rPr>
            </w:pPr>
          </w:p>
        </w:tc>
      </w:tr>
      <w:tr>
        <w:trPr>
          <w:trHeight w:val="224"/>
        </w:trPr>
        <w:tc>
          <w:tcPr>
            <w:tcW w:w="180" w:type="dxa"/>
            <w:vAlign w:val="bottom"/>
            <w:vMerge w:val="continue"/>
          </w:tcPr>
          <w:p>
            <w:pPr>
              <w:spacing w:after="0"/>
              <w:rPr>
                <w:sz w:val="19"/>
                <w:szCs w:val="19"/>
                <w:color w:val="auto"/>
              </w:rPr>
            </w:pPr>
          </w:p>
        </w:tc>
        <w:tc>
          <w:tcPr>
            <w:tcW w:w="3140" w:type="dxa"/>
            <w:vAlign w:val="bottom"/>
          </w:tcPr>
          <w:p>
            <w:pPr>
              <w:ind w:left="80"/>
              <w:spacing w:after="0"/>
              <w:rPr>
                <w:sz w:val="20"/>
                <w:szCs w:val="20"/>
                <w:color w:val="auto"/>
              </w:rPr>
            </w:pPr>
            <w:r>
              <w:rPr>
                <w:rFonts w:ascii="Arial" w:cs="Arial" w:eastAsia="Arial" w:hAnsi="Arial"/>
                <w:sz w:val="17"/>
                <w:szCs w:val="17"/>
                <w:color w:val="auto"/>
              </w:rPr>
              <w:t>Business Development &amp; External</w:t>
            </w:r>
          </w:p>
        </w:tc>
        <w:tc>
          <w:tcPr>
            <w:tcW w:w="24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7"/>
              </w:rPr>
              <w:t>NCG Committee (Chair)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-1210310</wp:posOffset>
            </wp:positionV>
            <wp:extent cx="140335" cy="140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0335" cy="14033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-789940</wp:posOffset>
            </wp:positionV>
            <wp:extent cx="140335" cy="140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0335" cy="14033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-205105</wp:posOffset>
            </wp:positionV>
            <wp:extent cx="140335" cy="140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7"/>
          <w:szCs w:val="17"/>
          <w:color w:val="auto"/>
        </w:rPr>
        <w:t>Affairs, Suffolk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74295</wp:posOffset>
            </wp:positionV>
            <wp:extent cx="5538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Virtual Annual Meeting</w:t>
      </w:r>
    </w:p>
    <w:p>
      <w:pPr>
        <w:spacing w:after="0" w:line="202" w:lineRule="exact"/>
        <w:rPr>
          <w:sz w:val="20"/>
          <w:szCs w:val="20"/>
          <w:color w:val="auto"/>
        </w:rPr>
      </w:pPr>
    </w:p>
    <w:p>
      <w:pPr>
        <w:ind w:left="780" w:right="1020"/>
        <w:spacing w:after="0" w:line="280" w:lineRule="auto"/>
        <w:rPr>
          <w:sz w:val="20"/>
          <w:szCs w:val="20"/>
          <w:color w:val="auto"/>
        </w:rPr>
      </w:pPr>
      <w:r>
        <w:rPr>
          <w:rFonts w:ascii="Arial" w:cs="Arial" w:eastAsia="Arial" w:hAnsi="Arial"/>
          <w:sz w:val="20"/>
          <w:szCs w:val="20"/>
          <w:color w:val="auto"/>
        </w:rPr>
        <w:t>Our Annual Meeting will be held exclusively online in a virtual format through a live audio webcast. You are entitled to participate in the Annual Meeting if you were a stockholder as of the close of business on March 28, 2025, the record date, or hold a valid proxy for the meeting.</w:t>
      </w:r>
    </w:p>
    <w:p>
      <w:pPr>
        <w:spacing w:after="0" w:line="130" w:lineRule="exact"/>
        <w:rPr>
          <w:sz w:val="20"/>
          <w:szCs w:val="20"/>
          <w:color w:val="auto"/>
        </w:rPr>
      </w:pPr>
    </w:p>
    <w:p>
      <w:pPr>
        <w:ind w:left="780" w:right="880"/>
        <w:spacing w:after="0" w:line="263" w:lineRule="auto"/>
        <w:rPr>
          <w:sz w:val="20"/>
          <w:szCs w:val="20"/>
          <w:color w:val="auto"/>
        </w:rPr>
      </w:pPr>
      <w:r>
        <w:rPr>
          <w:rFonts w:ascii="Arial" w:cs="Arial" w:eastAsia="Arial" w:hAnsi="Arial"/>
          <w:sz w:val="20"/>
          <w:szCs w:val="20"/>
          <w:color w:val="auto"/>
        </w:rPr>
        <w:t>To be admitted to the Annual Meeting at www.virtualshareholdermeeting.com/SHC2025, you must enter the 16-digit control number found next to the label “Control Number” on your Notice of Internet Availability, proxy card, or the voting instructions you receive by email. Stockholders may vote their shares electronically during the Annual Meeting through the virtual meeting platform; for more information on how to vote your shares, please refer to “Questions and Answers About the Proxy Statement and Our 2025 Annual Meeting of Stockholders.”</w:t>
      </w:r>
    </w:p>
    <w:p>
      <w:pPr>
        <w:spacing w:after="0" w:line="149" w:lineRule="exact"/>
        <w:rPr>
          <w:sz w:val="20"/>
          <w:szCs w:val="20"/>
          <w:color w:val="auto"/>
        </w:rPr>
      </w:pPr>
    </w:p>
    <w:p>
      <w:pPr>
        <w:ind w:left="780" w:right="840"/>
        <w:spacing w:after="0" w:line="249" w:lineRule="auto"/>
        <w:rPr>
          <w:sz w:val="20"/>
          <w:szCs w:val="20"/>
          <w:color w:val="auto"/>
        </w:rPr>
      </w:pPr>
      <w:r>
        <w:rPr>
          <w:rFonts w:ascii="Arial" w:cs="Arial" w:eastAsia="Arial" w:hAnsi="Arial"/>
          <w:sz w:val="21"/>
          <w:szCs w:val="21"/>
          <w:color w:val="auto"/>
        </w:rPr>
        <w:t>We are committed to ensuring that stockholders who attend our virtual Annual Meeting are afforded the same rights and opportunities to participate as stockholders at in-person meetings. Stockholders will be able to submit questions to Sotera Health’s management and directors during the Annual Meeting through the virtual meeting platform and we will answer as many properly submitted questions as possible.</w:t>
      </w:r>
    </w:p>
    <w:p>
      <w:pPr>
        <w:spacing w:after="0" w:line="175" w:lineRule="exact"/>
        <w:rPr>
          <w:sz w:val="20"/>
          <w:szCs w:val="20"/>
          <w:color w:val="auto"/>
        </w:rPr>
      </w:pPr>
    </w:p>
    <w:p>
      <w:pPr>
        <w:ind w:left="780" w:right="940"/>
        <w:spacing w:after="0" w:line="246" w:lineRule="auto"/>
        <w:rPr>
          <w:sz w:val="20"/>
          <w:szCs w:val="20"/>
          <w:color w:val="auto"/>
        </w:rPr>
      </w:pPr>
      <w:r>
        <w:rPr>
          <w:rFonts w:ascii="Arial" w:cs="Arial" w:eastAsia="Arial" w:hAnsi="Arial"/>
          <w:sz w:val="21"/>
          <w:szCs w:val="21"/>
          <w:color w:val="auto"/>
        </w:rPr>
        <w:t>The Annual Meeting webcast will begin promptly at 9:00 a.m., Eastern Daylight Time, on May 21, 2025. Online access and check-in will begin approximately 15 minutes prior to the 9:00 a.m. start time. We encourage you to access the meeting prior to the start time to allow ample time for check-in procedures. If you encounter any difficulties accessing the virtual meeting during check-in or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145415</wp:posOffset>
            </wp:positionV>
            <wp:extent cx="55384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6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40" w:type="dxa"/>
            <w:vAlign w:val="bottom"/>
          </w:tcPr>
          <w:p>
            <w:pPr>
              <w:jc w:val="right"/>
              <w:ind w:right="5013"/>
              <w:spacing w:after="0"/>
              <w:rPr>
                <w:sz w:val="20"/>
                <w:szCs w:val="20"/>
                <w:color w:val="auto"/>
              </w:rPr>
            </w:pPr>
            <w:r>
              <w:rPr>
                <w:rFonts w:ascii="Arial" w:cs="Arial" w:eastAsia="Arial" w:hAnsi="Arial"/>
                <w:sz w:val="17"/>
                <w:szCs w:val="17"/>
                <w:color w:val="auto"/>
              </w:rPr>
              <w:t>2</w:t>
            </w:r>
          </w:p>
        </w:tc>
      </w:tr>
      <w:tr>
        <w:trPr>
          <w:trHeight w:val="106"/>
        </w:trPr>
        <w:tc>
          <w:tcPr>
            <w:tcW w:w="416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Proxy Statement Summary</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Information on the Director Nominees</w:t>
      </w:r>
    </w:p>
    <w:p>
      <w:pPr>
        <w:spacing w:after="0" w:line="238" w:lineRule="exact"/>
        <w:rPr>
          <w:sz w:val="20"/>
          <w:szCs w:val="20"/>
          <w:color w:val="auto"/>
        </w:rPr>
      </w:pPr>
    </w:p>
    <w:p>
      <w:pPr>
        <w:ind w:left="780" w:right="539"/>
        <w:spacing w:after="0" w:line="251" w:lineRule="auto"/>
        <w:rPr>
          <w:sz w:val="20"/>
          <w:szCs w:val="20"/>
          <w:color w:val="auto"/>
        </w:rPr>
      </w:pPr>
      <w:r>
        <w:rPr>
          <w:rFonts w:ascii="Arial" w:cs="Arial" w:eastAsia="Arial" w:hAnsi="Arial"/>
          <w:sz w:val="21"/>
          <w:szCs w:val="21"/>
          <w:color w:val="auto"/>
        </w:rPr>
        <w:t>the meeting, please call 844-986-0822 (US) or 303-562-9302 (International). If there are any technical issues in convening or hosting the meeting, we plan to promptly post information to our investor relations website, https://investors.soterahealth.com/, including information on when the meeting will be reconvened.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6414135</wp:posOffset>
            </wp:positionV>
            <wp:extent cx="494665" cy="165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6282055</wp:posOffset>
            </wp:positionV>
            <wp:extent cx="55384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3"/>
          <w:szCs w:val="13"/>
          <w:color w:val="003366"/>
        </w:rPr>
        <w:t>TABLE OF CONTENTS</w:t>
      </w:r>
      <w:r>
        <w:rPr>
          <w:rFonts w:ascii="Calibri" w:cs="Calibri" w:eastAsia="Calibri" w:hAnsi="Calibri"/>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608965</wp:posOffset>
            </wp:positionV>
            <wp:extent cx="5909310" cy="7442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09310" cy="7442835"/>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80"/>
        <w:spacing w:after="0"/>
        <w:tabs>
          <w:tab w:leader="none" w:pos="508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13970</wp:posOffset>
            </wp:positionV>
            <wp:extent cx="656971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Shareholder Engagement — 2024</w:t>
      </w:r>
    </w:p>
    <w:p>
      <w:pPr>
        <w:spacing w:after="0" w:line="200" w:lineRule="exact"/>
        <w:rPr>
          <w:sz w:val="20"/>
          <w:szCs w:val="20"/>
          <w:color w:val="auto"/>
        </w:rPr>
      </w:pPr>
    </w:p>
    <w:p>
      <w:pPr>
        <w:spacing w:after="0" w:line="218"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SHAREHOLDER ENGAGEMENT — 2024</w:t>
      </w:r>
    </w:p>
    <w:p>
      <w:pPr>
        <w:spacing w:after="0" w:line="207" w:lineRule="exact"/>
        <w:rPr>
          <w:sz w:val="20"/>
          <w:szCs w:val="20"/>
          <w:color w:val="auto"/>
        </w:rPr>
      </w:pPr>
    </w:p>
    <w:p>
      <w:pPr>
        <w:ind w:left="780" w:right="239"/>
        <w:spacing w:after="0" w:line="272" w:lineRule="auto"/>
        <w:rPr>
          <w:sz w:val="20"/>
          <w:szCs w:val="20"/>
          <w:color w:val="auto"/>
        </w:rPr>
      </w:pPr>
      <w:r>
        <w:rPr>
          <w:rFonts w:ascii="Arial" w:cs="Arial" w:eastAsia="Arial" w:hAnsi="Arial"/>
          <w:sz w:val="19"/>
          <w:szCs w:val="19"/>
          <w:color w:val="auto"/>
        </w:rPr>
        <w:t>Shareholder feedback is a valuable input that we incorporate into discussions with our Board, committees and management. Our executive Corporate Responsibility (“CR”) Committee, which reports to our Chief Executive Officer (“CEO”) and provides regular reports to the NCG Committee, seeks opportunities to connect with our investors to discuss current and ongoing corporate responsibility trends and hear their views about our governance policies and practices. In 2024, we reached out to institutional shareholders representing over 60% of shares held by non-affiliates to solicit their feedback and to address shareholder questions. Members of our executive CR Committee participated in these meetings with institutional investors. These engagements are in addition to the discussions that our senior leadership and investor relations teams regularly have with institutional and other shareholders regarding corporate governance and other matters, which includes quarterly outreach efforts to our largest shareholders after we release our earnings reports.</w:t>
      </w:r>
    </w:p>
    <w:p>
      <w:pPr>
        <w:sectPr>
          <w:pgSz w:w="11900" w:h="16838" w:orient="portrait"/>
          <w:cols w:equalWidth="0" w:num="1">
            <w:col w:w="9659"/>
          </w:cols>
          <w:pgMar w:left="800" w:top="93" w:right="1440" w:bottom="1440" w:gutter="0" w:footer="0" w:header="0"/>
        </w:sectPr>
      </w:pPr>
    </w:p>
    <w:p>
      <w:pPr>
        <w:spacing w:after="0" w:line="206" w:lineRule="exact"/>
        <w:rPr>
          <w:sz w:val="20"/>
          <w:szCs w:val="20"/>
          <w:color w:val="auto"/>
        </w:rPr>
      </w:pPr>
    </w:p>
    <w:p>
      <w:pPr>
        <w:ind w:left="840"/>
        <w:spacing w:after="0"/>
        <w:rPr>
          <w:sz w:val="20"/>
          <w:szCs w:val="20"/>
          <w:color w:val="auto"/>
        </w:rPr>
      </w:pPr>
      <w:r>
        <w:rPr>
          <w:rFonts w:ascii="Arial" w:cs="Arial" w:eastAsia="Arial" w:hAnsi="Arial"/>
          <w:sz w:val="28"/>
          <w:szCs w:val="28"/>
          <w:color w:val="28B5DE"/>
        </w:rPr>
        <w:t>Scope of Outreach</w:t>
      </w:r>
    </w:p>
    <w:p>
      <w:pPr>
        <w:spacing w:after="0" w:line="85" w:lineRule="exact"/>
        <w:rPr>
          <w:sz w:val="20"/>
          <w:szCs w:val="20"/>
          <w:color w:val="auto"/>
        </w:rPr>
      </w:pPr>
    </w:p>
    <w:p>
      <w:pPr>
        <w:ind w:left="1640"/>
        <w:spacing w:after="0" w:line="265" w:lineRule="auto"/>
        <w:rPr>
          <w:sz w:val="20"/>
          <w:szCs w:val="20"/>
          <w:color w:val="auto"/>
        </w:rPr>
      </w:pPr>
      <w:r>
        <w:rPr>
          <w:rFonts w:ascii="Arial" w:cs="Arial" w:eastAsia="Arial" w:hAnsi="Arial"/>
          <w:sz w:val="19"/>
          <w:szCs w:val="19"/>
          <w:color w:val="auto"/>
        </w:rPr>
        <w:t>We reached out to shareholders</w:t>
      </w:r>
      <w:r>
        <w:rPr>
          <w:rFonts w:ascii="Arial" w:cs="Arial" w:eastAsia="Arial" w:hAnsi="Arial"/>
          <w:sz w:val="23"/>
          <w:szCs w:val="23"/>
          <w:color w:val="auto"/>
          <w:vertAlign w:val="superscript"/>
        </w:rPr>
        <w:t>1</w:t>
      </w:r>
      <w:r>
        <w:rPr>
          <w:rFonts w:ascii="Arial" w:cs="Arial" w:eastAsia="Arial" w:hAnsi="Arial"/>
          <w:sz w:val="19"/>
          <w:szCs w:val="19"/>
          <w:color w:val="auto"/>
        </w:rPr>
        <w:t xml:space="preserve"> representing over 60% of outstanding</w:t>
      </w:r>
    </w:p>
    <w:p>
      <w:pPr>
        <w:jc w:val="both"/>
        <w:ind w:left="1640" w:right="560" w:hanging="799"/>
        <w:spacing w:after="0" w:line="292" w:lineRule="auto"/>
        <w:tabs>
          <w:tab w:leader="none" w:pos="1620" w:val="left"/>
        </w:tabs>
        <w:rPr>
          <w:sz w:val="20"/>
          <w:szCs w:val="20"/>
          <w:color w:val="auto"/>
        </w:rPr>
      </w:pPr>
      <w:r>
        <w:rPr>
          <w:rFonts w:ascii="Arial" w:cs="Arial" w:eastAsia="Arial" w:hAnsi="Arial"/>
          <w:sz w:val="22"/>
          <w:szCs w:val="22"/>
          <w:b w:val="1"/>
          <w:bCs w:val="1"/>
          <w:color w:val="435F86"/>
        </w:rPr>
        <w:t>60%</w:t>
      </w:r>
      <w:r>
        <w:rPr>
          <w:sz w:val="20"/>
          <w:szCs w:val="20"/>
          <w:color w:val="auto"/>
        </w:rPr>
        <w:tab/>
      </w:r>
      <w:r>
        <w:rPr>
          <w:rFonts w:ascii="Arial" w:cs="Arial" w:eastAsia="Arial" w:hAnsi="Arial"/>
          <w:sz w:val="19"/>
          <w:szCs w:val="19"/>
          <w:color w:val="auto"/>
        </w:rPr>
        <w:t>shares held by non-affiliates on Corporate Responsibility topics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28"/>
          <w:szCs w:val="28"/>
          <w:color w:val="28B5DE"/>
        </w:rPr>
        <w:t>Who We Met With</w:t>
      </w:r>
    </w:p>
    <w:p>
      <w:pPr>
        <w:spacing w:after="0" w:line="85" w:lineRule="exact"/>
        <w:rPr>
          <w:sz w:val="20"/>
          <w:szCs w:val="20"/>
          <w:color w:val="auto"/>
        </w:rPr>
      </w:pPr>
    </w:p>
    <w:p>
      <w:pPr>
        <w:ind w:left="800" w:right="539"/>
        <w:spacing w:after="0" w:line="265" w:lineRule="auto"/>
        <w:rPr>
          <w:sz w:val="20"/>
          <w:szCs w:val="20"/>
          <w:color w:val="auto"/>
        </w:rPr>
      </w:pPr>
      <w:r>
        <w:rPr>
          <w:rFonts w:ascii="Arial" w:cs="Arial" w:eastAsia="Arial" w:hAnsi="Arial"/>
          <w:sz w:val="19"/>
          <w:szCs w:val="19"/>
          <w:color w:val="auto"/>
        </w:rPr>
        <w:t>We met with shareholders</w:t>
      </w:r>
      <w:r>
        <w:rPr>
          <w:rFonts w:ascii="Arial" w:cs="Arial" w:eastAsia="Arial" w:hAnsi="Arial"/>
          <w:sz w:val="23"/>
          <w:szCs w:val="23"/>
          <w:color w:val="auto"/>
          <w:vertAlign w:val="superscript"/>
        </w:rPr>
        <w:t>1</w:t>
      </w:r>
      <w:r>
        <w:rPr>
          <w:rFonts w:ascii="Arial" w:cs="Arial" w:eastAsia="Arial" w:hAnsi="Arial"/>
          <w:sz w:val="19"/>
          <w:szCs w:val="19"/>
          <w:color w:val="auto"/>
        </w:rPr>
        <w:t xml:space="preserve"> representing approximately 41% of</w:t>
      </w:r>
    </w:p>
    <w:p>
      <w:pPr>
        <w:ind w:left="800" w:right="399" w:hanging="799"/>
        <w:spacing w:after="0" w:line="249" w:lineRule="auto"/>
        <w:tabs>
          <w:tab w:leader="none" w:pos="780" w:val="left"/>
        </w:tabs>
        <w:rPr>
          <w:sz w:val="20"/>
          <w:szCs w:val="20"/>
          <w:color w:val="auto"/>
        </w:rPr>
      </w:pPr>
      <w:r>
        <w:rPr>
          <w:rFonts w:ascii="Arial" w:cs="Arial" w:eastAsia="Arial" w:hAnsi="Arial"/>
          <w:sz w:val="24"/>
          <w:szCs w:val="24"/>
          <w:b w:val="1"/>
          <w:bCs w:val="1"/>
          <w:color w:val="435F86"/>
        </w:rPr>
        <w:t>41%</w:t>
      </w:r>
      <w:r>
        <w:rPr>
          <w:sz w:val="20"/>
          <w:szCs w:val="20"/>
          <w:color w:val="auto"/>
        </w:rPr>
        <w:tab/>
      </w:r>
      <w:r>
        <w:rPr>
          <w:rFonts w:ascii="Arial" w:cs="Arial" w:eastAsia="Arial" w:hAnsi="Arial"/>
          <w:sz w:val="21"/>
          <w:szCs w:val="21"/>
          <w:color w:val="auto"/>
        </w:rPr>
        <w:t>outstanding shares held by non-affiliates on Corporate Responsibility topics</w:t>
      </w:r>
    </w:p>
    <w:p>
      <w:pPr>
        <w:spacing w:after="0" w:line="171" w:lineRule="exact"/>
        <w:rPr>
          <w:sz w:val="20"/>
          <w:szCs w:val="20"/>
          <w:color w:val="auto"/>
        </w:rPr>
      </w:pPr>
    </w:p>
    <w:p>
      <w:pPr>
        <w:sectPr>
          <w:pgSz w:w="11900" w:h="16838" w:orient="portrait"/>
          <w:cols w:equalWidth="0" w:num="2">
            <w:col w:w="4900" w:space="380"/>
            <w:col w:w="4379"/>
          </w:cols>
          <w:pgMar w:left="800" w:top="93" w:right="1440" w:bottom="1440" w:gutter="0" w:footer="0" w:header="0"/>
          <w:type w:val="continuous"/>
        </w:sectPr>
      </w:pPr>
    </w:p>
    <w:p>
      <w:pPr>
        <w:ind w:left="780" w:right="619"/>
        <w:spacing w:after="0" w:line="273" w:lineRule="auto"/>
        <w:rPr>
          <w:sz w:val="20"/>
          <w:szCs w:val="20"/>
          <w:color w:val="auto"/>
        </w:rPr>
      </w:pPr>
      <w:r>
        <w:rPr>
          <w:rFonts w:ascii="Arial" w:cs="Arial" w:eastAsia="Arial" w:hAnsi="Arial"/>
          <w:sz w:val="20"/>
          <w:szCs w:val="20"/>
          <w:color w:val="auto"/>
        </w:rPr>
        <w:t>The following table highlights key themes that shareholders raised about corporate governance matters during our engagements and how management and the Board address these issues. Shareholder feedback is shared with the NCG Committee and the Board.</w:t>
      </w:r>
    </w:p>
    <w:p>
      <w:pPr>
        <w:spacing w:after="0" w:line="191" w:lineRule="exact"/>
        <w:rPr>
          <w:sz w:val="20"/>
          <w:szCs w:val="20"/>
          <w:color w:val="auto"/>
        </w:rPr>
      </w:pPr>
    </w:p>
    <w:tbl>
      <w:tblPr>
        <w:tblLayout w:type="fixed"/>
        <w:tblInd w:w="780" w:type="dxa"/>
        <w:tblCellMar>
          <w:top w:w="0" w:type="dxa"/>
          <w:left w:w="0" w:type="dxa"/>
          <w:bottom w:w="0" w:type="dxa"/>
          <w:right w:w="0" w:type="dxa"/>
        </w:tblCellMar>
      </w:tblPr>
      <w:tr>
        <w:trPr>
          <w:trHeight w:val="322"/>
        </w:trPr>
        <w:tc>
          <w:tcPr>
            <w:tcW w:w="4340" w:type="dxa"/>
            <w:vAlign w:val="bottom"/>
            <w:gridSpan w:val="2"/>
          </w:tcPr>
          <w:p>
            <w:pPr>
              <w:spacing w:after="0"/>
              <w:rPr>
                <w:sz w:val="20"/>
                <w:szCs w:val="20"/>
                <w:color w:val="auto"/>
              </w:rPr>
            </w:pPr>
            <w:r>
              <w:rPr>
                <w:rFonts w:ascii="Arial" w:cs="Arial" w:eastAsia="Arial" w:hAnsi="Arial"/>
                <w:sz w:val="28"/>
                <w:szCs w:val="28"/>
                <w:color w:val="28B5DE"/>
              </w:rPr>
              <w:t>What We Heard</w:t>
            </w:r>
          </w:p>
        </w:tc>
        <w:tc>
          <w:tcPr>
            <w:tcW w:w="4380" w:type="dxa"/>
            <w:vAlign w:val="bottom"/>
          </w:tcPr>
          <w:p>
            <w:pPr>
              <w:ind w:left="120"/>
              <w:spacing w:after="0"/>
              <w:rPr>
                <w:sz w:val="20"/>
                <w:szCs w:val="20"/>
                <w:color w:val="auto"/>
              </w:rPr>
            </w:pPr>
            <w:r>
              <w:rPr>
                <w:rFonts w:ascii="Arial" w:cs="Arial" w:eastAsia="Arial" w:hAnsi="Arial"/>
                <w:sz w:val="28"/>
                <w:szCs w:val="28"/>
                <w:color w:val="28B5DE"/>
              </w:rPr>
              <w:t>What We Do</w:t>
            </w:r>
          </w:p>
        </w:tc>
      </w:tr>
      <w:tr>
        <w:trPr>
          <w:trHeight w:val="247"/>
        </w:trPr>
        <w:tc>
          <w:tcPr>
            <w:tcW w:w="4340" w:type="dxa"/>
            <w:vAlign w:val="bottom"/>
            <w:gridSpan w:val="2"/>
          </w:tcPr>
          <w:p>
            <w:pPr>
              <w:spacing w:after="0"/>
              <w:rPr>
                <w:sz w:val="20"/>
                <w:szCs w:val="20"/>
                <w:color w:val="auto"/>
              </w:rPr>
            </w:pPr>
            <w:r>
              <w:rPr>
                <w:rFonts w:ascii="Arial" w:cs="Arial" w:eastAsia="Arial" w:hAnsi="Arial"/>
                <w:sz w:val="21"/>
                <w:szCs w:val="21"/>
                <w:color w:val="auto"/>
              </w:rPr>
              <w:t>Certain investors disfavor our classified board</w:t>
            </w:r>
          </w:p>
        </w:tc>
        <w:tc>
          <w:tcPr>
            <w:tcW w:w="4380" w:type="dxa"/>
            <w:vAlign w:val="bottom"/>
          </w:tcPr>
          <w:p>
            <w:pPr>
              <w:ind w:left="120"/>
              <w:spacing w:after="0"/>
              <w:rPr>
                <w:sz w:val="20"/>
                <w:szCs w:val="20"/>
                <w:color w:val="auto"/>
              </w:rPr>
            </w:pPr>
            <w:r>
              <w:rPr>
                <w:rFonts w:ascii="Arial" w:cs="Arial" w:eastAsia="Arial" w:hAnsi="Arial"/>
                <w:sz w:val="21"/>
                <w:szCs w:val="21"/>
                <w:color w:val="auto"/>
              </w:rPr>
              <w:t>NCG Committee regularly reviews Board and</w:t>
            </w:r>
          </w:p>
        </w:tc>
      </w:tr>
      <w:tr>
        <w:trPr>
          <w:trHeight w:val="260"/>
        </w:trPr>
        <w:tc>
          <w:tcPr>
            <w:tcW w:w="4340" w:type="dxa"/>
            <w:vAlign w:val="bottom"/>
            <w:gridSpan w:val="2"/>
          </w:tcPr>
          <w:p>
            <w:pPr>
              <w:spacing w:after="0"/>
              <w:rPr>
                <w:sz w:val="20"/>
                <w:szCs w:val="20"/>
                <w:color w:val="auto"/>
              </w:rPr>
            </w:pPr>
            <w:r>
              <w:rPr>
                <w:rFonts w:ascii="Arial" w:cs="Arial" w:eastAsia="Arial" w:hAnsi="Arial"/>
                <w:sz w:val="21"/>
                <w:szCs w:val="21"/>
                <w:color w:val="auto"/>
                <w:w w:val="96"/>
              </w:rPr>
              <w:t>structure, the lack of a lead independent director</w:t>
            </w:r>
          </w:p>
        </w:tc>
        <w:tc>
          <w:tcPr>
            <w:tcW w:w="4380" w:type="dxa"/>
            <w:vAlign w:val="bottom"/>
          </w:tcPr>
          <w:p>
            <w:pPr>
              <w:ind w:left="120"/>
              <w:spacing w:after="0"/>
              <w:rPr>
                <w:sz w:val="20"/>
                <w:szCs w:val="20"/>
                <w:color w:val="auto"/>
              </w:rPr>
            </w:pPr>
            <w:r>
              <w:rPr>
                <w:rFonts w:ascii="Arial" w:cs="Arial" w:eastAsia="Arial" w:hAnsi="Arial"/>
                <w:sz w:val="21"/>
                <w:szCs w:val="21"/>
                <w:color w:val="auto"/>
              </w:rPr>
              <w:t>voting governance structures, including board</w:t>
            </w:r>
          </w:p>
        </w:tc>
      </w:tr>
      <w:tr>
        <w:trPr>
          <w:trHeight w:val="247"/>
        </w:trPr>
        <w:tc>
          <w:tcPr>
            <w:tcW w:w="4340" w:type="dxa"/>
            <w:vAlign w:val="bottom"/>
            <w:gridSpan w:val="2"/>
          </w:tcPr>
          <w:p>
            <w:pPr>
              <w:spacing w:after="0"/>
              <w:rPr>
                <w:sz w:val="20"/>
                <w:szCs w:val="20"/>
                <w:color w:val="auto"/>
              </w:rPr>
            </w:pPr>
            <w:r>
              <w:rPr>
                <w:rFonts w:ascii="Arial" w:cs="Arial" w:eastAsia="Arial" w:hAnsi="Arial"/>
                <w:sz w:val="21"/>
                <w:szCs w:val="21"/>
                <w:color w:val="auto"/>
              </w:rPr>
              <w:t>and, as a result of our Sponsors owning less</w:t>
            </w:r>
          </w:p>
        </w:tc>
        <w:tc>
          <w:tcPr>
            <w:tcW w:w="4380" w:type="dxa"/>
            <w:vAlign w:val="bottom"/>
          </w:tcPr>
          <w:p>
            <w:pPr>
              <w:ind w:left="120"/>
              <w:spacing w:after="0"/>
              <w:rPr>
                <w:sz w:val="20"/>
                <w:szCs w:val="20"/>
                <w:color w:val="auto"/>
              </w:rPr>
            </w:pPr>
            <w:r>
              <w:rPr>
                <w:rFonts w:ascii="Arial" w:cs="Arial" w:eastAsia="Arial" w:hAnsi="Arial"/>
                <w:sz w:val="21"/>
                <w:szCs w:val="21"/>
                <w:color w:val="auto"/>
              </w:rPr>
              <w:t>classification and voting standards, to confirm</w:t>
            </w:r>
          </w:p>
        </w:tc>
      </w:tr>
      <w:tr>
        <w:trPr>
          <w:trHeight w:val="247"/>
        </w:trPr>
        <w:tc>
          <w:tcPr>
            <w:tcW w:w="4340" w:type="dxa"/>
            <w:vAlign w:val="bottom"/>
            <w:gridSpan w:val="2"/>
          </w:tcPr>
          <w:p>
            <w:pPr>
              <w:spacing w:after="0"/>
              <w:rPr>
                <w:sz w:val="20"/>
                <w:szCs w:val="20"/>
                <w:color w:val="auto"/>
              </w:rPr>
            </w:pPr>
            <w:r>
              <w:rPr>
                <w:rFonts w:ascii="Arial" w:cs="Arial" w:eastAsia="Arial" w:hAnsi="Arial"/>
                <w:sz w:val="21"/>
                <w:szCs w:val="21"/>
                <w:color w:val="auto"/>
                <w:w w:val="98"/>
              </w:rPr>
              <w:t>than a majority of shares of our common stock,</w:t>
            </w:r>
          </w:p>
        </w:tc>
        <w:tc>
          <w:tcPr>
            <w:tcW w:w="4380" w:type="dxa"/>
            <w:vAlign w:val="bottom"/>
          </w:tcPr>
          <w:p>
            <w:pPr>
              <w:ind w:left="120"/>
              <w:spacing w:after="0"/>
              <w:rPr>
                <w:sz w:val="20"/>
                <w:szCs w:val="20"/>
                <w:color w:val="auto"/>
              </w:rPr>
            </w:pPr>
            <w:r>
              <w:rPr>
                <w:rFonts w:ascii="Arial" w:cs="Arial" w:eastAsia="Arial" w:hAnsi="Arial"/>
                <w:sz w:val="21"/>
                <w:szCs w:val="21"/>
                <w:color w:val="auto"/>
                <w:w w:val="96"/>
              </w:rPr>
              <w:t>that a classified board and supermajority voting</w:t>
            </w:r>
          </w:p>
        </w:tc>
      </w:tr>
      <w:tr>
        <w:trPr>
          <w:trHeight w:val="247"/>
        </w:trPr>
        <w:tc>
          <w:tcPr>
            <w:tcW w:w="4340" w:type="dxa"/>
            <w:vAlign w:val="bottom"/>
            <w:gridSpan w:val="2"/>
          </w:tcPr>
          <w:p>
            <w:pPr>
              <w:spacing w:after="0"/>
              <w:rPr>
                <w:sz w:val="20"/>
                <w:szCs w:val="20"/>
                <w:color w:val="auto"/>
              </w:rPr>
            </w:pPr>
            <w:r>
              <w:rPr>
                <w:rFonts w:ascii="Arial" w:cs="Arial" w:eastAsia="Arial" w:hAnsi="Arial"/>
                <w:sz w:val="21"/>
                <w:szCs w:val="21"/>
                <w:color w:val="auto"/>
              </w:rPr>
              <w:t>the supermajority voting standards for charter</w:t>
            </w:r>
          </w:p>
        </w:tc>
        <w:tc>
          <w:tcPr>
            <w:tcW w:w="4380" w:type="dxa"/>
            <w:vAlign w:val="bottom"/>
          </w:tcPr>
          <w:p>
            <w:pPr>
              <w:ind w:left="120"/>
              <w:spacing w:after="0"/>
              <w:rPr>
                <w:sz w:val="20"/>
                <w:szCs w:val="20"/>
                <w:color w:val="auto"/>
              </w:rPr>
            </w:pPr>
            <w:r>
              <w:rPr>
                <w:rFonts w:ascii="Arial" w:cs="Arial" w:eastAsia="Arial" w:hAnsi="Arial"/>
                <w:sz w:val="21"/>
                <w:szCs w:val="21"/>
                <w:color w:val="auto"/>
                <w:w w:val="94"/>
              </w:rPr>
              <w:t>standards remain appropriate; the Board elected</w:t>
            </w:r>
          </w:p>
        </w:tc>
      </w:tr>
      <w:tr>
        <w:trPr>
          <w:trHeight w:val="247"/>
        </w:trPr>
        <w:tc>
          <w:tcPr>
            <w:tcW w:w="4340" w:type="dxa"/>
            <w:vAlign w:val="bottom"/>
            <w:gridSpan w:val="2"/>
          </w:tcPr>
          <w:p>
            <w:pPr>
              <w:spacing w:after="0"/>
              <w:rPr>
                <w:sz w:val="20"/>
                <w:szCs w:val="20"/>
                <w:color w:val="auto"/>
              </w:rPr>
            </w:pPr>
            <w:r>
              <w:rPr>
                <w:rFonts w:ascii="Arial" w:cs="Arial" w:eastAsia="Arial" w:hAnsi="Arial"/>
                <w:sz w:val="21"/>
                <w:szCs w:val="21"/>
                <w:color w:val="auto"/>
              </w:rPr>
              <w:t>amendments</w:t>
            </w:r>
          </w:p>
        </w:tc>
        <w:tc>
          <w:tcPr>
            <w:tcW w:w="4380" w:type="dxa"/>
            <w:vAlign w:val="bottom"/>
          </w:tcPr>
          <w:p>
            <w:pPr>
              <w:ind w:left="120"/>
              <w:spacing w:after="0"/>
              <w:rPr>
                <w:sz w:val="20"/>
                <w:szCs w:val="20"/>
                <w:color w:val="auto"/>
              </w:rPr>
            </w:pPr>
            <w:r>
              <w:rPr>
                <w:rFonts w:ascii="Arial" w:cs="Arial" w:eastAsia="Arial" w:hAnsi="Arial"/>
                <w:sz w:val="21"/>
                <w:szCs w:val="21"/>
                <w:color w:val="auto"/>
              </w:rPr>
              <w:t>Mr. Petrella to serve as Lead Independent</w:t>
            </w:r>
          </w:p>
        </w:tc>
      </w:tr>
      <w:tr>
        <w:trPr>
          <w:trHeight w:val="260"/>
        </w:trPr>
        <w:tc>
          <w:tcPr>
            <w:tcW w:w="20" w:type="dxa"/>
            <w:vAlign w:val="bottom"/>
          </w:tcPr>
          <w:p>
            <w:pPr>
              <w:spacing w:after="0"/>
              <w:rPr>
                <w:sz w:val="22"/>
                <w:szCs w:val="22"/>
                <w:color w:val="auto"/>
              </w:rPr>
            </w:pPr>
          </w:p>
        </w:tc>
        <w:tc>
          <w:tcPr>
            <w:tcW w:w="4320" w:type="dxa"/>
            <w:vAlign w:val="bottom"/>
            <w:tcBorders>
              <w:bottom w:val="single" w:sz="8" w:color="CCCCCC"/>
            </w:tcBorders>
          </w:tcPr>
          <w:p>
            <w:pPr>
              <w:spacing w:after="0"/>
              <w:rPr>
                <w:sz w:val="22"/>
                <w:szCs w:val="22"/>
                <w:color w:val="auto"/>
              </w:rPr>
            </w:pPr>
          </w:p>
        </w:tc>
        <w:tc>
          <w:tcPr>
            <w:tcW w:w="4380" w:type="dxa"/>
            <w:vAlign w:val="bottom"/>
            <w:tcBorders>
              <w:bottom w:val="single" w:sz="8" w:color="CCCCCC"/>
            </w:tcBorders>
          </w:tcPr>
          <w:p>
            <w:pPr>
              <w:ind w:left="120"/>
              <w:spacing w:after="0"/>
              <w:rPr>
                <w:sz w:val="20"/>
                <w:szCs w:val="20"/>
                <w:color w:val="auto"/>
              </w:rPr>
            </w:pPr>
            <w:r>
              <w:rPr>
                <w:rFonts w:ascii="Arial" w:cs="Arial" w:eastAsia="Arial" w:hAnsi="Arial"/>
                <w:sz w:val="21"/>
                <w:szCs w:val="21"/>
                <w:color w:val="auto"/>
              </w:rPr>
              <w:t>Director in January 2025</w:t>
            </w:r>
          </w:p>
        </w:tc>
      </w:tr>
      <w:tr>
        <w:trPr>
          <w:trHeight w:val="226"/>
        </w:trPr>
        <w:tc>
          <w:tcPr>
            <w:tcW w:w="20" w:type="dxa"/>
            <w:vAlign w:val="bottom"/>
          </w:tcPr>
          <w:p>
            <w:pPr>
              <w:spacing w:after="0"/>
              <w:rPr>
                <w:sz w:val="19"/>
                <w:szCs w:val="19"/>
                <w:color w:val="auto"/>
              </w:rPr>
            </w:pPr>
          </w:p>
        </w:tc>
        <w:tc>
          <w:tcPr>
            <w:tcW w:w="4320" w:type="dxa"/>
            <w:vAlign w:val="bottom"/>
          </w:tcPr>
          <w:p>
            <w:pPr>
              <w:spacing w:after="0" w:line="226" w:lineRule="exact"/>
              <w:rPr>
                <w:sz w:val="20"/>
                <w:szCs w:val="20"/>
                <w:color w:val="auto"/>
              </w:rPr>
            </w:pPr>
            <w:r>
              <w:rPr>
                <w:rFonts w:ascii="Arial" w:cs="Arial" w:eastAsia="Arial" w:hAnsi="Arial"/>
                <w:sz w:val="21"/>
                <w:szCs w:val="21"/>
                <w:color w:val="auto"/>
              </w:rPr>
              <w:t>Appoint independent Board and Committee</w:t>
            </w:r>
          </w:p>
        </w:tc>
        <w:tc>
          <w:tcPr>
            <w:tcW w:w="4380" w:type="dxa"/>
            <w:vAlign w:val="bottom"/>
          </w:tcPr>
          <w:p>
            <w:pPr>
              <w:ind w:left="120"/>
              <w:spacing w:after="0" w:line="226" w:lineRule="exact"/>
              <w:rPr>
                <w:sz w:val="20"/>
                <w:szCs w:val="20"/>
                <w:color w:val="auto"/>
              </w:rPr>
            </w:pPr>
            <w:r>
              <w:rPr>
                <w:rFonts w:ascii="Arial" w:cs="Arial" w:eastAsia="Arial" w:hAnsi="Arial"/>
                <w:sz w:val="21"/>
                <w:szCs w:val="21"/>
                <w:color w:val="auto"/>
              </w:rPr>
              <w:t>All of our directors (with the exception of our</w:t>
            </w:r>
          </w:p>
        </w:tc>
      </w:tr>
      <w:tr>
        <w:trPr>
          <w:trHeight w:val="260"/>
        </w:trPr>
        <w:tc>
          <w:tcPr>
            <w:tcW w:w="4340" w:type="dxa"/>
            <w:vAlign w:val="bottom"/>
            <w:gridSpan w:val="2"/>
          </w:tcPr>
          <w:p>
            <w:pPr>
              <w:spacing w:after="0"/>
              <w:rPr>
                <w:sz w:val="20"/>
                <w:szCs w:val="20"/>
                <w:color w:val="auto"/>
              </w:rPr>
            </w:pPr>
            <w:r>
              <w:rPr>
                <w:rFonts w:ascii="Arial" w:cs="Arial" w:eastAsia="Arial" w:hAnsi="Arial"/>
                <w:sz w:val="21"/>
                <w:szCs w:val="21"/>
                <w:color w:val="auto"/>
              </w:rPr>
              <w:t>members</w:t>
            </w:r>
          </w:p>
        </w:tc>
        <w:tc>
          <w:tcPr>
            <w:tcW w:w="4380" w:type="dxa"/>
            <w:vAlign w:val="bottom"/>
          </w:tcPr>
          <w:p>
            <w:pPr>
              <w:ind w:left="120"/>
              <w:spacing w:after="0"/>
              <w:rPr>
                <w:sz w:val="20"/>
                <w:szCs w:val="20"/>
                <w:color w:val="auto"/>
              </w:rPr>
            </w:pPr>
            <w:r>
              <w:rPr>
                <w:rFonts w:ascii="Arial" w:cs="Arial" w:eastAsia="Arial" w:hAnsi="Arial"/>
                <w:sz w:val="21"/>
                <w:szCs w:val="21"/>
                <w:color w:val="auto"/>
              </w:rPr>
              <w:t>CEO) and all the members of all Board</w:t>
            </w:r>
          </w:p>
        </w:tc>
      </w:tr>
      <w:tr>
        <w:trPr>
          <w:trHeight w:val="247"/>
        </w:trPr>
        <w:tc>
          <w:tcPr>
            <w:tcW w:w="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4380" w:type="dxa"/>
            <w:vAlign w:val="bottom"/>
          </w:tcPr>
          <w:p>
            <w:pPr>
              <w:ind w:left="120"/>
              <w:spacing w:after="0"/>
              <w:rPr>
                <w:sz w:val="20"/>
                <w:szCs w:val="20"/>
                <w:color w:val="auto"/>
              </w:rPr>
            </w:pPr>
            <w:r>
              <w:rPr>
                <w:rFonts w:ascii="Arial" w:cs="Arial" w:eastAsia="Arial" w:hAnsi="Arial"/>
                <w:sz w:val="21"/>
                <w:szCs w:val="21"/>
                <w:color w:val="auto"/>
              </w:rPr>
              <w:t>Committees are independent under Nasdaq</w:t>
            </w:r>
          </w:p>
        </w:tc>
      </w:tr>
      <w:tr>
        <w:trPr>
          <w:trHeight w:val="260"/>
        </w:trPr>
        <w:tc>
          <w:tcPr>
            <w:tcW w:w="20" w:type="dxa"/>
            <w:vAlign w:val="bottom"/>
          </w:tcPr>
          <w:p>
            <w:pPr>
              <w:spacing w:after="0"/>
              <w:rPr>
                <w:sz w:val="22"/>
                <w:szCs w:val="22"/>
                <w:color w:val="auto"/>
              </w:rPr>
            </w:pPr>
          </w:p>
        </w:tc>
        <w:tc>
          <w:tcPr>
            <w:tcW w:w="4320" w:type="dxa"/>
            <w:vAlign w:val="bottom"/>
            <w:tcBorders>
              <w:bottom w:val="single" w:sz="8" w:color="CCCCCC"/>
            </w:tcBorders>
          </w:tcPr>
          <w:p>
            <w:pPr>
              <w:spacing w:after="0"/>
              <w:rPr>
                <w:sz w:val="22"/>
                <w:szCs w:val="22"/>
                <w:color w:val="auto"/>
              </w:rPr>
            </w:pPr>
          </w:p>
        </w:tc>
        <w:tc>
          <w:tcPr>
            <w:tcW w:w="4380" w:type="dxa"/>
            <w:vAlign w:val="bottom"/>
            <w:tcBorders>
              <w:bottom w:val="single" w:sz="8" w:color="CCCCCC"/>
            </w:tcBorders>
          </w:tcPr>
          <w:p>
            <w:pPr>
              <w:ind w:left="120"/>
              <w:spacing w:after="0"/>
              <w:rPr>
                <w:sz w:val="20"/>
                <w:szCs w:val="20"/>
                <w:color w:val="auto"/>
              </w:rPr>
            </w:pPr>
            <w:r>
              <w:rPr>
                <w:rFonts w:ascii="Arial" w:cs="Arial" w:eastAsia="Arial" w:hAnsi="Arial"/>
                <w:sz w:val="21"/>
                <w:szCs w:val="21"/>
                <w:color w:val="auto"/>
              </w:rPr>
              <w:t>standards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700405</wp:posOffset>
            </wp:positionV>
            <wp:extent cx="5276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7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20" w:right="319" w:hanging="337"/>
        <w:spacing w:after="0" w:line="227" w:lineRule="auto"/>
        <w:tabs>
          <w:tab w:leader="none" w:pos="112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The outreach and meeting percentages are based on publicly available information about institutional shareholder holdings of our stock, shares held by affiliates and outstanding shares as of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311150</wp:posOffset>
            </wp:positionV>
            <wp:extent cx="494665" cy="165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187960</wp:posOffset>
            </wp:positionV>
            <wp:extent cx="55384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Shareholder Engagement — 2024</w:t>
      </w:r>
    </w:p>
    <w:p>
      <w:pPr>
        <w:spacing w:after="0" w:line="200" w:lineRule="exact"/>
        <w:rPr>
          <w:sz w:val="20"/>
          <w:szCs w:val="20"/>
          <w:color w:val="auto"/>
        </w:rPr>
      </w:pP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322"/>
        </w:trPr>
        <w:tc>
          <w:tcPr>
            <w:tcW w:w="4360" w:type="dxa"/>
            <w:vAlign w:val="bottom"/>
            <w:gridSpan w:val="2"/>
          </w:tcPr>
          <w:p>
            <w:pPr>
              <w:spacing w:after="0"/>
              <w:rPr>
                <w:sz w:val="20"/>
                <w:szCs w:val="20"/>
                <w:color w:val="auto"/>
              </w:rPr>
            </w:pPr>
            <w:r>
              <w:rPr>
                <w:rFonts w:ascii="Arial" w:cs="Arial" w:eastAsia="Arial" w:hAnsi="Arial"/>
                <w:sz w:val="28"/>
                <w:szCs w:val="28"/>
                <w:color w:val="28B5DE"/>
              </w:rPr>
              <w:t>What We Heard</w:t>
            </w:r>
          </w:p>
        </w:tc>
        <w:tc>
          <w:tcPr>
            <w:tcW w:w="4380" w:type="dxa"/>
            <w:vAlign w:val="bottom"/>
            <w:gridSpan w:val="2"/>
          </w:tcPr>
          <w:p>
            <w:pPr>
              <w:ind w:left="100"/>
              <w:spacing w:after="0"/>
              <w:rPr>
                <w:sz w:val="20"/>
                <w:szCs w:val="20"/>
                <w:color w:val="auto"/>
              </w:rPr>
            </w:pPr>
            <w:r>
              <w:rPr>
                <w:rFonts w:ascii="Arial" w:cs="Arial" w:eastAsia="Arial" w:hAnsi="Arial"/>
                <w:sz w:val="28"/>
                <w:szCs w:val="28"/>
                <w:color w:val="28B5DE"/>
              </w:rPr>
              <w:t>What We Do</w:t>
            </w:r>
          </w:p>
        </w:tc>
      </w:tr>
      <w:tr>
        <w:trPr>
          <w:trHeight w:val="247"/>
        </w:trPr>
        <w:tc>
          <w:tcPr>
            <w:tcW w:w="4360" w:type="dxa"/>
            <w:vAlign w:val="bottom"/>
            <w:gridSpan w:val="2"/>
          </w:tcPr>
          <w:p>
            <w:pPr>
              <w:spacing w:after="0"/>
              <w:rPr>
                <w:sz w:val="20"/>
                <w:szCs w:val="20"/>
                <w:color w:val="auto"/>
              </w:rPr>
            </w:pPr>
            <w:r>
              <w:rPr>
                <w:rFonts w:ascii="Arial" w:cs="Arial" w:eastAsia="Arial" w:hAnsi="Arial"/>
                <w:sz w:val="21"/>
                <w:szCs w:val="21"/>
                <w:color w:val="auto"/>
              </w:rPr>
              <w:t>Continue oversight and disclosure related to</w:t>
            </w: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Robust and transparent disclosure in our</w:t>
            </w:r>
          </w:p>
        </w:tc>
      </w:tr>
      <w:tr>
        <w:trPr>
          <w:trHeight w:val="260"/>
        </w:trPr>
        <w:tc>
          <w:tcPr>
            <w:tcW w:w="4360" w:type="dxa"/>
            <w:vAlign w:val="bottom"/>
            <w:gridSpan w:val="2"/>
          </w:tcPr>
          <w:p>
            <w:pPr>
              <w:spacing w:after="0"/>
              <w:rPr>
                <w:sz w:val="20"/>
                <w:szCs w:val="20"/>
                <w:color w:val="auto"/>
              </w:rPr>
            </w:pPr>
            <w:r>
              <w:rPr>
                <w:rFonts w:ascii="Arial" w:cs="Arial" w:eastAsia="Arial" w:hAnsi="Arial"/>
                <w:sz w:val="21"/>
                <w:szCs w:val="21"/>
                <w:color w:val="auto"/>
              </w:rPr>
              <w:t>ethylene oxide (“EO”) risks and litigation</w:t>
            </w: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investor communications of EO risks and</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developments; website dedicated to EO</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4"/>
              </w:rPr>
              <w:t>education and updates; regular investor updates</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4"/>
              </w:rPr>
              <w:t>on EO developments; and comprehensive Board</w:t>
            </w:r>
          </w:p>
        </w:tc>
      </w:tr>
      <w:tr>
        <w:trPr>
          <w:trHeight w:val="260"/>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oversight of EO risks and litigation</w:t>
            </w:r>
          </w:p>
        </w:tc>
      </w:tr>
      <w:tr>
        <w:trPr>
          <w:trHeight w:val="226"/>
        </w:trPr>
        <w:tc>
          <w:tcPr>
            <w:tcW w:w="20" w:type="dxa"/>
            <w:vAlign w:val="bottom"/>
          </w:tcPr>
          <w:p>
            <w:pPr>
              <w:spacing w:after="0"/>
              <w:rPr>
                <w:sz w:val="19"/>
                <w:szCs w:val="19"/>
                <w:color w:val="auto"/>
              </w:rPr>
            </w:pPr>
          </w:p>
        </w:tc>
        <w:tc>
          <w:tcPr>
            <w:tcW w:w="4340" w:type="dxa"/>
            <w:vAlign w:val="bottom"/>
            <w:tcBorders>
              <w:top w:val="single" w:sz="8" w:color="CCCCCC"/>
            </w:tcBorders>
          </w:tcPr>
          <w:p>
            <w:pPr>
              <w:spacing w:after="0" w:line="226" w:lineRule="exact"/>
              <w:rPr>
                <w:sz w:val="20"/>
                <w:szCs w:val="20"/>
                <w:color w:val="auto"/>
              </w:rPr>
            </w:pPr>
            <w:r>
              <w:rPr>
                <w:rFonts w:ascii="Arial" w:cs="Arial" w:eastAsia="Arial" w:hAnsi="Arial"/>
                <w:sz w:val="21"/>
                <w:szCs w:val="21"/>
                <w:color w:val="auto"/>
                <w:w w:val="95"/>
              </w:rPr>
              <w:t>Appropriate Board and management oversight of</w:t>
            </w:r>
          </w:p>
        </w:tc>
        <w:tc>
          <w:tcPr>
            <w:tcW w:w="4360" w:type="dxa"/>
            <w:vAlign w:val="bottom"/>
            <w:tcBorders>
              <w:top w:val="single" w:sz="8" w:color="CCCCCC"/>
            </w:tcBorders>
          </w:tcPr>
          <w:p>
            <w:pPr>
              <w:ind w:left="100"/>
              <w:spacing w:after="0" w:line="226" w:lineRule="exact"/>
              <w:rPr>
                <w:sz w:val="20"/>
                <w:szCs w:val="20"/>
                <w:color w:val="auto"/>
              </w:rPr>
            </w:pPr>
            <w:r>
              <w:rPr>
                <w:rFonts w:ascii="Arial" w:cs="Arial" w:eastAsia="Arial" w:hAnsi="Arial"/>
                <w:sz w:val="21"/>
                <w:szCs w:val="21"/>
                <w:color w:val="auto"/>
                <w:w w:val="93"/>
              </w:rPr>
              <w:t>Board annually reviews our strategic plans; Audit</w:t>
            </w:r>
          </w:p>
        </w:tc>
        <w:tc>
          <w:tcPr>
            <w:tcW w:w="20" w:type="dxa"/>
            <w:vAlign w:val="bottom"/>
          </w:tcPr>
          <w:p>
            <w:pPr>
              <w:spacing w:after="0"/>
              <w:rPr>
                <w:sz w:val="19"/>
                <w:szCs w:val="19"/>
                <w:color w:val="auto"/>
              </w:rPr>
            </w:pPr>
          </w:p>
        </w:tc>
      </w:tr>
      <w:tr>
        <w:trPr>
          <w:trHeight w:val="260"/>
        </w:trPr>
        <w:tc>
          <w:tcPr>
            <w:tcW w:w="4360" w:type="dxa"/>
            <w:vAlign w:val="bottom"/>
            <w:gridSpan w:val="2"/>
          </w:tcPr>
          <w:p>
            <w:pPr>
              <w:spacing w:after="0"/>
              <w:rPr>
                <w:sz w:val="20"/>
                <w:szCs w:val="20"/>
                <w:color w:val="auto"/>
              </w:rPr>
            </w:pPr>
            <w:r>
              <w:rPr>
                <w:rFonts w:ascii="Arial" w:cs="Arial" w:eastAsia="Arial" w:hAnsi="Arial"/>
                <w:sz w:val="21"/>
                <w:szCs w:val="21"/>
                <w:color w:val="auto"/>
              </w:rPr>
              <w:t>business risks</w:t>
            </w: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7"/>
              </w:rPr>
              <w:t>Committee annually reviews our enterprise risk</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7"/>
              </w:rPr>
              <w:t>management programs; and established a new</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risk committee comprising a cross-section of</w:t>
            </w:r>
          </w:p>
        </w:tc>
      </w:tr>
      <w:tr>
        <w:trPr>
          <w:trHeight w:val="260"/>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senior executives</w:t>
            </w:r>
          </w:p>
        </w:tc>
      </w:tr>
      <w:tr>
        <w:trPr>
          <w:trHeight w:val="226"/>
        </w:trPr>
        <w:tc>
          <w:tcPr>
            <w:tcW w:w="20" w:type="dxa"/>
            <w:vAlign w:val="bottom"/>
          </w:tcPr>
          <w:p>
            <w:pPr>
              <w:spacing w:after="0"/>
              <w:rPr>
                <w:sz w:val="19"/>
                <w:szCs w:val="19"/>
                <w:color w:val="auto"/>
              </w:rPr>
            </w:pPr>
          </w:p>
        </w:tc>
        <w:tc>
          <w:tcPr>
            <w:tcW w:w="4340" w:type="dxa"/>
            <w:vAlign w:val="bottom"/>
            <w:tcBorders>
              <w:top w:val="single" w:sz="8" w:color="CCCCCC"/>
            </w:tcBorders>
          </w:tcPr>
          <w:p>
            <w:pPr>
              <w:spacing w:after="0" w:line="226" w:lineRule="exact"/>
              <w:rPr>
                <w:sz w:val="20"/>
                <w:szCs w:val="20"/>
                <w:color w:val="auto"/>
              </w:rPr>
            </w:pPr>
            <w:r>
              <w:rPr>
                <w:rFonts w:ascii="Arial" w:cs="Arial" w:eastAsia="Arial" w:hAnsi="Arial"/>
                <w:sz w:val="21"/>
                <w:szCs w:val="21"/>
                <w:color w:val="auto"/>
              </w:rPr>
              <w:t>Enhance executive compensation disclosures</w:t>
            </w:r>
          </w:p>
        </w:tc>
        <w:tc>
          <w:tcPr>
            <w:tcW w:w="4360" w:type="dxa"/>
            <w:vAlign w:val="bottom"/>
            <w:tcBorders>
              <w:top w:val="single" w:sz="8" w:color="CCCCCC"/>
            </w:tcBorders>
          </w:tcPr>
          <w:p>
            <w:pPr>
              <w:ind w:left="100"/>
              <w:spacing w:after="0" w:line="226" w:lineRule="exact"/>
              <w:rPr>
                <w:sz w:val="20"/>
                <w:szCs w:val="20"/>
                <w:color w:val="auto"/>
              </w:rPr>
            </w:pPr>
            <w:r>
              <w:rPr>
                <w:rFonts w:ascii="Arial" w:cs="Arial" w:eastAsia="Arial" w:hAnsi="Arial"/>
                <w:sz w:val="21"/>
                <w:szCs w:val="21"/>
                <w:color w:val="auto"/>
                <w:w w:val="93"/>
              </w:rPr>
              <w:t>Expanded disclosures on compensation topics in</w:t>
            </w:r>
          </w:p>
        </w:tc>
        <w:tc>
          <w:tcPr>
            <w:tcW w:w="2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our proxy statement, including proactive</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6"/>
              </w:rPr>
              <w:t>discussion of 2025 changes to equity awards to</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enhance the linkage between pay and</w:t>
            </w:r>
          </w:p>
        </w:tc>
      </w:tr>
      <w:tr>
        <w:trPr>
          <w:trHeight w:val="260"/>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performance</w:t>
            </w:r>
          </w:p>
        </w:tc>
      </w:tr>
      <w:tr>
        <w:trPr>
          <w:trHeight w:val="226"/>
        </w:trPr>
        <w:tc>
          <w:tcPr>
            <w:tcW w:w="20" w:type="dxa"/>
            <w:vAlign w:val="bottom"/>
          </w:tcPr>
          <w:p>
            <w:pPr>
              <w:spacing w:after="0"/>
              <w:rPr>
                <w:sz w:val="19"/>
                <w:szCs w:val="19"/>
                <w:color w:val="auto"/>
              </w:rPr>
            </w:pPr>
          </w:p>
        </w:tc>
        <w:tc>
          <w:tcPr>
            <w:tcW w:w="4340" w:type="dxa"/>
            <w:vAlign w:val="bottom"/>
            <w:tcBorders>
              <w:top w:val="single" w:sz="8" w:color="CCCCCC"/>
            </w:tcBorders>
          </w:tcPr>
          <w:p>
            <w:pPr>
              <w:spacing w:after="0" w:line="226" w:lineRule="exact"/>
              <w:rPr>
                <w:sz w:val="20"/>
                <w:szCs w:val="20"/>
                <w:color w:val="auto"/>
              </w:rPr>
            </w:pPr>
            <w:r>
              <w:rPr>
                <w:rFonts w:ascii="Arial" w:cs="Arial" w:eastAsia="Arial" w:hAnsi="Arial"/>
                <w:sz w:val="21"/>
                <w:szCs w:val="21"/>
                <w:color w:val="auto"/>
              </w:rPr>
              <w:t>Transition our compensation programs toward</w:t>
            </w:r>
          </w:p>
        </w:tc>
        <w:tc>
          <w:tcPr>
            <w:tcW w:w="4360" w:type="dxa"/>
            <w:vAlign w:val="bottom"/>
            <w:tcBorders>
              <w:top w:val="single" w:sz="8" w:color="CCCCCC"/>
            </w:tcBorders>
          </w:tcPr>
          <w:p>
            <w:pPr>
              <w:ind w:left="100"/>
              <w:spacing w:after="0" w:line="226" w:lineRule="exact"/>
              <w:rPr>
                <w:sz w:val="20"/>
                <w:szCs w:val="20"/>
                <w:color w:val="auto"/>
              </w:rPr>
            </w:pPr>
            <w:r>
              <w:rPr>
                <w:rFonts w:ascii="Arial" w:cs="Arial" w:eastAsia="Arial" w:hAnsi="Arial"/>
                <w:sz w:val="21"/>
                <w:szCs w:val="21"/>
                <w:color w:val="auto"/>
                <w:w w:val="98"/>
              </w:rPr>
              <w:t>Please see the Compensation Discussion and</w:t>
            </w:r>
          </w:p>
        </w:tc>
        <w:tc>
          <w:tcPr>
            <w:tcW w:w="20" w:type="dxa"/>
            <w:vAlign w:val="bottom"/>
          </w:tcPr>
          <w:p>
            <w:pPr>
              <w:spacing w:after="0"/>
              <w:rPr>
                <w:sz w:val="19"/>
                <w:szCs w:val="19"/>
                <w:color w:val="auto"/>
              </w:rPr>
            </w:pPr>
          </w:p>
        </w:tc>
      </w:tr>
      <w:tr>
        <w:trPr>
          <w:trHeight w:val="260"/>
        </w:trPr>
        <w:tc>
          <w:tcPr>
            <w:tcW w:w="4360" w:type="dxa"/>
            <w:vAlign w:val="bottom"/>
            <w:gridSpan w:val="2"/>
          </w:tcPr>
          <w:p>
            <w:pPr>
              <w:spacing w:after="0"/>
              <w:rPr>
                <w:sz w:val="20"/>
                <w:szCs w:val="20"/>
                <w:color w:val="auto"/>
              </w:rPr>
            </w:pPr>
            <w:r>
              <w:rPr>
                <w:rFonts w:ascii="Arial" w:cs="Arial" w:eastAsia="Arial" w:hAnsi="Arial"/>
                <w:sz w:val="21"/>
                <w:szCs w:val="21"/>
                <w:color w:val="auto"/>
              </w:rPr>
              <w:t>more performance-based metrics</w:t>
            </w: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4"/>
              </w:rPr>
              <w:t>Analysis, beginning on page 32, for a discussion</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of how we are responding to shareholder</w:t>
            </w:r>
          </w:p>
        </w:tc>
      </w:tr>
      <w:tr>
        <w:trPr>
          <w:trHeight w:val="260"/>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feedback on our compensation programs</w:t>
            </w:r>
          </w:p>
        </w:tc>
      </w:tr>
      <w:tr>
        <w:trPr>
          <w:trHeight w:val="226"/>
        </w:trPr>
        <w:tc>
          <w:tcPr>
            <w:tcW w:w="20" w:type="dxa"/>
            <w:vAlign w:val="bottom"/>
          </w:tcPr>
          <w:p>
            <w:pPr>
              <w:spacing w:after="0"/>
              <w:rPr>
                <w:sz w:val="19"/>
                <w:szCs w:val="19"/>
                <w:color w:val="auto"/>
              </w:rPr>
            </w:pPr>
          </w:p>
        </w:tc>
        <w:tc>
          <w:tcPr>
            <w:tcW w:w="4340" w:type="dxa"/>
            <w:vAlign w:val="bottom"/>
            <w:tcBorders>
              <w:top w:val="single" w:sz="8" w:color="CCCCCC"/>
            </w:tcBorders>
          </w:tcPr>
          <w:p>
            <w:pPr>
              <w:spacing w:after="0" w:line="226" w:lineRule="exact"/>
              <w:rPr>
                <w:sz w:val="20"/>
                <w:szCs w:val="20"/>
                <w:color w:val="auto"/>
              </w:rPr>
            </w:pPr>
            <w:r>
              <w:rPr>
                <w:rFonts w:ascii="Arial" w:cs="Arial" w:eastAsia="Arial" w:hAnsi="Arial"/>
                <w:sz w:val="21"/>
                <w:szCs w:val="21"/>
                <w:color w:val="auto"/>
              </w:rPr>
              <w:t>Enhance disclosures around corporate</w:t>
            </w:r>
          </w:p>
        </w:tc>
        <w:tc>
          <w:tcPr>
            <w:tcW w:w="4360" w:type="dxa"/>
            <w:vAlign w:val="bottom"/>
            <w:tcBorders>
              <w:top w:val="single" w:sz="8" w:color="CCCCCC"/>
            </w:tcBorders>
          </w:tcPr>
          <w:p>
            <w:pPr>
              <w:ind w:left="100"/>
              <w:spacing w:after="0" w:line="226" w:lineRule="exact"/>
              <w:rPr>
                <w:sz w:val="20"/>
                <w:szCs w:val="20"/>
                <w:color w:val="auto"/>
              </w:rPr>
            </w:pPr>
            <w:r>
              <w:rPr>
                <w:rFonts w:ascii="Arial" w:cs="Arial" w:eastAsia="Arial" w:hAnsi="Arial"/>
                <w:sz w:val="21"/>
                <w:szCs w:val="21"/>
                <w:color w:val="auto"/>
                <w:w w:val="95"/>
              </w:rPr>
              <w:t>Expanded disclosures on corporate governance</w:t>
            </w:r>
          </w:p>
        </w:tc>
        <w:tc>
          <w:tcPr>
            <w:tcW w:w="20" w:type="dxa"/>
            <w:vAlign w:val="bottom"/>
          </w:tcPr>
          <w:p>
            <w:pPr>
              <w:spacing w:after="0"/>
              <w:rPr>
                <w:sz w:val="19"/>
                <w:szCs w:val="19"/>
                <w:color w:val="auto"/>
              </w:rPr>
            </w:pPr>
          </w:p>
        </w:tc>
      </w:tr>
      <w:tr>
        <w:trPr>
          <w:trHeight w:val="260"/>
        </w:trPr>
        <w:tc>
          <w:tcPr>
            <w:tcW w:w="4360" w:type="dxa"/>
            <w:vAlign w:val="bottom"/>
            <w:gridSpan w:val="2"/>
          </w:tcPr>
          <w:p>
            <w:pPr>
              <w:spacing w:after="0"/>
              <w:rPr>
                <w:sz w:val="20"/>
                <w:szCs w:val="20"/>
                <w:color w:val="auto"/>
              </w:rPr>
            </w:pPr>
            <w:r>
              <w:rPr>
                <w:rFonts w:ascii="Arial" w:cs="Arial" w:eastAsia="Arial" w:hAnsi="Arial"/>
                <w:sz w:val="21"/>
                <w:szCs w:val="21"/>
                <w:color w:val="auto"/>
                <w:w w:val="96"/>
              </w:rPr>
              <w:t>governance structures that we believe best meet</w:t>
            </w: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developments in our proxy statements</w:t>
            </w:r>
          </w:p>
        </w:tc>
      </w:tr>
      <w:tr>
        <w:trPr>
          <w:trHeight w:val="260"/>
        </w:trPr>
        <w:tc>
          <w:tcPr>
            <w:tcW w:w="4360" w:type="dxa"/>
            <w:vAlign w:val="bottom"/>
            <w:tcBorders>
              <w:bottom w:val="single" w:sz="8" w:color="CCCCCC"/>
            </w:tcBorders>
            <w:gridSpan w:val="2"/>
          </w:tcPr>
          <w:p>
            <w:pPr>
              <w:spacing w:after="0"/>
              <w:rPr>
                <w:sz w:val="20"/>
                <w:szCs w:val="20"/>
                <w:color w:val="auto"/>
              </w:rPr>
            </w:pPr>
            <w:r>
              <w:rPr>
                <w:rFonts w:ascii="Arial" w:cs="Arial" w:eastAsia="Arial" w:hAnsi="Arial"/>
                <w:sz w:val="21"/>
                <w:szCs w:val="21"/>
                <w:color w:val="auto"/>
              </w:rPr>
              <w:t>our governance needs</w:t>
            </w:r>
          </w:p>
        </w:tc>
        <w:tc>
          <w:tcPr>
            <w:tcW w:w="4360" w:type="dxa"/>
            <w:vAlign w:val="bottom"/>
            <w:tcBorders>
              <w:bottom w:val="single" w:sz="8" w:color="CCCCCC"/>
            </w:tcBorders>
          </w:tcPr>
          <w:p>
            <w:pPr>
              <w:spacing w:after="0"/>
              <w:rPr>
                <w:sz w:val="22"/>
                <w:szCs w:val="22"/>
                <w:color w:val="auto"/>
              </w:rPr>
            </w:pPr>
          </w:p>
        </w:tc>
        <w:tc>
          <w:tcPr>
            <w:tcW w:w="20" w:type="dxa"/>
            <w:vAlign w:val="bottom"/>
          </w:tcPr>
          <w:p>
            <w:pPr>
              <w:spacing w:after="0"/>
              <w:rPr>
                <w:sz w:val="22"/>
                <w:szCs w:val="22"/>
                <w:color w:val="auto"/>
              </w:rPr>
            </w:pPr>
          </w:p>
        </w:tc>
      </w:tr>
      <w:tr>
        <w:trPr>
          <w:trHeight w:val="226"/>
        </w:trPr>
        <w:tc>
          <w:tcPr>
            <w:tcW w:w="4360" w:type="dxa"/>
            <w:vAlign w:val="bottom"/>
            <w:gridSpan w:val="2"/>
          </w:tcPr>
          <w:p>
            <w:pPr>
              <w:spacing w:after="0" w:line="226" w:lineRule="exact"/>
              <w:rPr>
                <w:sz w:val="20"/>
                <w:szCs w:val="20"/>
                <w:color w:val="auto"/>
              </w:rPr>
            </w:pPr>
            <w:r>
              <w:rPr>
                <w:rFonts w:ascii="Arial" w:cs="Arial" w:eastAsia="Arial" w:hAnsi="Arial"/>
                <w:sz w:val="21"/>
                <w:szCs w:val="21"/>
                <w:color w:val="auto"/>
                <w:w w:val="96"/>
              </w:rPr>
              <w:t>Disclosure of more information around corporate</w:t>
            </w:r>
          </w:p>
        </w:tc>
        <w:tc>
          <w:tcPr>
            <w:tcW w:w="4360" w:type="dxa"/>
            <w:vAlign w:val="bottom"/>
          </w:tcPr>
          <w:p>
            <w:pPr>
              <w:ind w:left="100"/>
              <w:spacing w:after="0" w:line="226" w:lineRule="exact"/>
              <w:rPr>
                <w:sz w:val="20"/>
                <w:szCs w:val="20"/>
                <w:color w:val="auto"/>
              </w:rPr>
            </w:pPr>
            <w:r>
              <w:rPr>
                <w:rFonts w:ascii="Arial" w:cs="Arial" w:eastAsia="Arial" w:hAnsi="Arial"/>
                <w:sz w:val="21"/>
                <w:szCs w:val="21"/>
                <w:color w:val="auto"/>
              </w:rPr>
              <w:t>Published our third Corporate Responsibility</w:t>
            </w:r>
          </w:p>
        </w:tc>
        <w:tc>
          <w:tcPr>
            <w:tcW w:w="20" w:type="dxa"/>
            <w:vAlign w:val="bottom"/>
          </w:tcPr>
          <w:p>
            <w:pPr>
              <w:spacing w:after="0"/>
              <w:rPr>
                <w:sz w:val="19"/>
                <w:szCs w:val="19"/>
                <w:color w:val="auto"/>
              </w:rPr>
            </w:pPr>
          </w:p>
        </w:tc>
      </w:tr>
      <w:tr>
        <w:trPr>
          <w:trHeight w:val="260"/>
        </w:trPr>
        <w:tc>
          <w:tcPr>
            <w:tcW w:w="4360" w:type="dxa"/>
            <w:vAlign w:val="bottom"/>
            <w:gridSpan w:val="2"/>
          </w:tcPr>
          <w:p>
            <w:pPr>
              <w:spacing w:after="0"/>
              <w:rPr>
                <w:sz w:val="20"/>
                <w:szCs w:val="20"/>
                <w:color w:val="auto"/>
              </w:rPr>
            </w:pPr>
            <w:r>
              <w:rPr>
                <w:rFonts w:ascii="Arial" w:cs="Arial" w:eastAsia="Arial" w:hAnsi="Arial"/>
                <w:sz w:val="21"/>
                <w:szCs w:val="21"/>
                <w:color w:val="auto"/>
              </w:rPr>
              <w:t>responsibility goals and metrics</w:t>
            </w: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w w:val="94"/>
              </w:rPr>
              <w:t>Report in 2024; we strive to enhance our metrics</w:t>
            </w:r>
          </w:p>
        </w:tc>
      </w:tr>
      <w:tr>
        <w:trPr>
          <w:trHeight w:val="247"/>
        </w:trPr>
        <w:tc>
          <w:tcPr>
            <w:tcW w:w="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380" w:type="dxa"/>
            <w:vAlign w:val="bottom"/>
            <w:gridSpan w:val="2"/>
          </w:tcPr>
          <w:p>
            <w:pPr>
              <w:ind w:left="100"/>
              <w:spacing w:after="0"/>
              <w:rPr>
                <w:sz w:val="20"/>
                <w:szCs w:val="20"/>
                <w:color w:val="auto"/>
              </w:rPr>
            </w:pPr>
            <w:r>
              <w:rPr>
                <w:rFonts w:ascii="Arial" w:cs="Arial" w:eastAsia="Arial" w:hAnsi="Arial"/>
                <w:sz w:val="21"/>
                <w:szCs w:val="21"/>
                <w:color w:val="auto"/>
              </w:rPr>
              <w:t>with ongoing refinements for future goals and</w:t>
            </w:r>
          </w:p>
        </w:tc>
      </w:tr>
      <w:tr>
        <w:trPr>
          <w:trHeight w:val="260"/>
        </w:trPr>
        <w:tc>
          <w:tcPr>
            <w:tcW w:w="20" w:type="dxa"/>
            <w:vAlign w:val="bottom"/>
          </w:tcPr>
          <w:p>
            <w:pPr>
              <w:spacing w:after="0"/>
              <w:rPr>
                <w:sz w:val="22"/>
                <w:szCs w:val="22"/>
                <w:color w:val="auto"/>
              </w:rPr>
            </w:pPr>
          </w:p>
        </w:tc>
        <w:tc>
          <w:tcPr>
            <w:tcW w:w="4340" w:type="dxa"/>
            <w:vAlign w:val="bottom"/>
            <w:tcBorders>
              <w:bottom w:val="single" w:sz="8" w:color="CCCCCC"/>
            </w:tcBorders>
          </w:tcPr>
          <w:p>
            <w:pPr>
              <w:spacing w:after="0"/>
              <w:rPr>
                <w:sz w:val="22"/>
                <w:szCs w:val="22"/>
                <w:color w:val="auto"/>
              </w:rPr>
            </w:pPr>
          </w:p>
        </w:tc>
        <w:tc>
          <w:tcPr>
            <w:tcW w:w="4360" w:type="dxa"/>
            <w:vAlign w:val="bottom"/>
            <w:tcBorders>
              <w:bottom w:val="single" w:sz="8" w:color="CCCCCC"/>
            </w:tcBorders>
          </w:tcPr>
          <w:p>
            <w:pPr>
              <w:ind w:left="100"/>
              <w:spacing w:after="0"/>
              <w:rPr>
                <w:sz w:val="20"/>
                <w:szCs w:val="20"/>
                <w:color w:val="auto"/>
              </w:rPr>
            </w:pPr>
            <w:r>
              <w:rPr>
                <w:rFonts w:ascii="Arial" w:cs="Arial" w:eastAsia="Arial" w:hAnsi="Arial"/>
                <w:sz w:val="21"/>
                <w:szCs w:val="21"/>
                <w:color w:val="auto"/>
              </w:rPr>
              <w:t>metrics</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2249805</wp:posOffset>
            </wp:positionV>
            <wp:extent cx="55384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6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40" w:type="dxa"/>
            <w:vAlign w:val="bottom"/>
          </w:tcPr>
          <w:p>
            <w:pPr>
              <w:jc w:val="right"/>
              <w:ind w:right="5013"/>
              <w:spacing w:after="0"/>
              <w:rPr>
                <w:sz w:val="20"/>
                <w:szCs w:val="20"/>
                <w:color w:val="auto"/>
              </w:rPr>
            </w:pPr>
            <w:r>
              <w:rPr>
                <w:rFonts w:ascii="Arial" w:cs="Arial" w:eastAsia="Arial" w:hAnsi="Arial"/>
                <w:sz w:val="17"/>
                <w:szCs w:val="17"/>
                <w:color w:val="auto"/>
              </w:rPr>
              <w:t>6</w:t>
            </w:r>
          </w:p>
        </w:tc>
      </w:tr>
      <w:tr>
        <w:trPr>
          <w:trHeight w:val="106"/>
        </w:trPr>
        <w:tc>
          <w:tcPr>
            <w:tcW w:w="4160" w:type="dxa"/>
            <w:vAlign w:val="bottom"/>
            <w:tcBorders>
              <w:bottom w:val="single" w:sz="8" w:color="9A9A9A"/>
            </w:tcBorders>
          </w:tcPr>
          <w:p>
            <w:pPr>
              <w:spacing w:after="0"/>
              <w:rPr>
                <w:sz w:val="9"/>
                <w:szCs w:val="9"/>
                <w:color w:val="auto"/>
              </w:rPr>
            </w:pPr>
          </w:p>
        </w:tc>
        <w:tc>
          <w:tcPr>
            <w:tcW w:w="6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Board Composition, Nominations Process and Director Qualifications</w:t>
      </w:r>
    </w:p>
    <w:p>
      <w:pPr>
        <w:spacing w:after="0" w:line="59" w:lineRule="exact"/>
        <w:rPr>
          <w:sz w:val="20"/>
          <w:szCs w:val="20"/>
          <w:color w:val="auto"/>
        </w:rPr>
      </w:pPr>
    </w:p>
    <w:p>
      <w:pPr>
        <w:ind w:left="8260"/>
        <w:spacing w:after="0"/>
        <w:rPr>
          <w:sz w:val="20"/>
          <w:szCs w:val="20"/>
          <w:color w:val="auto"/>
        </w:rPr>
      </w:pPr>
      <w:r>
        <w:rPr>
          <w:rFonts w:ascii="Arial" w:cs="Arial" w:eastAsia="Arial" w:hAnsi="Arial"/>
          <w:sz w:val="13"/>
          <w:szCs w:val="13"/>
          <w:b w:val="1"/>
          <w:bCs w:val="1"/>
          <w:color w:val="auto"/>
        </w:rPr>
        <w:t>Board Composition</w:t>
      </w:r>
    </w:p>
    <w:p>
      <w:pPr>
        <w:spacing w:after="0" w:line="221" w:lineRule="exact"/>
        <w:rPr>
          <w:sz w:val="20"/>
          <w:szCs w:val="20"/>
          <w:color w:val="auto"/>
        </w:rPr>
      </w:pPr>
    </w:p>
    <w:p>
      <w:pPr>
        <w:ind w:left="780" w:right="219"/>
        <w:spacing w:after="0" w:line="281" w:lineRule="auto"/>
        <w:rPr>
          <w:sz w:val="20"/>
          <w:szCs w:val="20"/>
          <w:color w:val="auto"/>
        </w:rPr>
      </w:pPr>
      <w:r>
        <w:rPr>
          <w:rFonts w:ascii="Arial" w:cs="Arial" w:eastAsia="Arial" w:hAnsi="Arial"/>
          <w:sz w:val="40"/>
          <w:szCs w:val="40"/>
          <w:b w:val="1"/>
          <w:bCs w:val="1"/>
          <w:color w:val="28B5DE"/>
        </w:rPr>
        <w:t>BOARD COMPOSITION, NOMINATIONS PROCESS AND DIRECTOR QUALIFICATIONS</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Board Composition</w:t>
      </w:r>
    </w:p>
    <w:p>
      <w:pPr>
        <w:spacing w:after="0" w:line="202" w:lineRule="exact"/>
        <w:rPr>
          <w:sz w:val="20"/>
          <w:szCs w:val="20"/>
          <w:color w:val="auto"/>
        </w:rPr>
      </w:pPr>
    </w:p>
    <w:p>
      <w:pPr>
        <w:ind w:left="780" w:right="219"/>
        <w:spacing w:after="0" w:line="256" w:lineRule="auto"/>
        <w:rPr>
          <w:sz w:val="20"/>
          <w:szCs w:val="20"/>
          <w:color w:val="auto"/>
        </w:rPr>
      </w:pPr>
      <w:r>
        <w:rPr>
          <w:rFonts w:ascii="Arial" w:cs="Arial" w:eastAsia="Arial" w:hAnsi="Arial"/>
          <w:sz w:val="20"/>
          <w:szCs w:val="20"/>
          <w:color w:val="auto"/>
        </w:rPr>
        <w:t>Our Board represents the interests of our shareholders and oversees our business and affairs. Our Board currently consists of eleven members, five of whom were members of the board of managers (“Board of Managers”) of our predecessor company, Sotera Health Topco Parent, L.P. (“Topco Parent”). In connection with our initial public offering (“IPO”) in November 2020, Topco Parent distributed shares of Sotera Health common stock to its partners, including investment funds and entities affiliated with Warburg Pincus LLC (“Warburg Pincus”) and GTCR, LLC (“GTCR” and, together with Warburg Pincus, the “Sponsors”). The Company, our Sponsors and certain holders of our common stock also entered into a stockholders agreement (the “Stockholders Agreement”) pursuant to which our Sponsors are entitled to designate certain numbers of our directors, who are reviewed by the NCG Committee, until such time as the Sponsors’ holdings of our common stock is reduced below particular thresholds. Five of our eleven directors were designated by our Sponsors. Warburg Pincus designated Mr. Chen, Mr. Knauss and Mr. Neary and is currently entitled to designate one additional director for election to our Board. GTCR designated Mr. Cunningham and Mr. Mihas.</w:t>
      </w:r>
    </w:p>
    <w:p>
      <w:pPr>
        <w:spacing w:after="0" w:line="109" w:lineRule="exact"/>
        <w:rPr>
          <w:sz w:val="20"/>
          <w:szCs w:val="20"/>
          <w:color w:val="auto"/>
        </w:rPr>
      </w:pPr>
    </w:p>
    <w:p>
      <w:pPr>
        <w:ind w:left="780" w:right="159"/>
        <w:spacing w:after="0" w:line="246" w:lineRule="auto"/>
        <w:rPr>
          <w:sz w:val="20"/>
          <w:szCs w:val="20"/>
          <w:color w:val="auto"/>
        </w:rPr>
      </w:pPr>
      <w:r>
        <w:rPr>
          <w:rFonts w:ascii="Arial" w:cs="Arial" w:eastAsia="Arial" w:hAnsi="Arial"/>
          <w:sz w:val="21"/>
          <w:szCs w:val="21"/>
          <w:color w:val="auto"/>
        </w:rPr>
        <w:t>The three current members of Class II will stand for election at our Annual Meeting. Our directors hold office until their successors have been elected and qualified or until the earlier of their resignation or removal. The following table provides summary information, as of March 28, 2025, about the three nominees for election at our Annual Meeting and our other directors. Additional information about each director’s background and experience can be found in the sections “Board Skills, Experience and Attributes,” “Board Composition” and “Proposal 1 — Election of Three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2988310</wp:posOffset>
            </wp:positionV>
            <wp:extent cx="494665" cy="165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2856230</wp:posOffset>
            </wp:positionV>
            <wp:extent cx="55384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Board Composition</w:t>
      </w:r>
    </w:p>
    <w:p>
      <w:pPr>
        <w:spacing w:after="0" w:line="289"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435F86"/>
        </w:rPr>
        <w:t>Members of the Board and Standing Committees</w:t>
      </w:r>
      <w:r>
        <w:rPr>
          <w:rFonts w:ascii="Arial" w:cs="Arial" w:eastAsia="Arial" w:hAnsi="Arial"/>
          <w:sz w:val="15"/>
          <w:szCs w:val="15"/>
          <w:b w:val="1"/>
          <w:bCs w:val="1"/>
          <w:color w:val="435F86"/>
        </w:rPr>
        <w:t>​</w:t>
      </w:r>
    </w:p>
    <w:p>
      <w:pPr>
        <w:spacing w:after="0" w:line="42" w:lineRule="exact"/>
        <w:rPr>
          <w:sz w:val="20"/>
          <w:szCs w:val="20"/>
          <w:color w:val="auto"/>
        </w:rPr>
      </w:pPr>
    </w:p>
    <w:tbl>
      <w:tblPr>
        <w:tblLayout w:type="fixed"/>
        <w:tblInd w:w="780" w:type="dxa"/>
        <w:tblCellMar>
          <w:top w:w="0" w:type="dxa"/>
          <w:left w:w="0" w:type="dxa"/>
          <w:bottom w:w="0" w:type="dxa"/>
          <w:right w:w="0" w:type="dxa"/>
        </w:tblCellMar>
      </w:tblPr>
      <w:tr>
        <w:trPr>
          <w:trHeight w:val="175"/>
        </w:trPr>
        <w:tc>
          <w:tcPr>
            <w:tcW w:w="1840" w:type="dxa"/>
            <w:vAlign w:val="bottom"/>
            <w:tcBorders>
              <w:top w:val="single" w:sz="8" w:color="435F86"/>
            </w:tcBorders>
          </w:tcPr>
          <w:p>
            <w:pPr>
              <w:spacing w:after="0"/>
              <w:rPr>
                <w:sz w:val="15"/>
                <w:szCs w:val="15"/>
                <w:color w:val="auto"/>
              </w:rPr>
            </w:pPr>
          </w:p>
        </w:tc>
        <w:tc>
          <w:tcPr>
            <w:tcW w:w="480" w:type="dxa"/>
            <w:vAlign w:val="bottom"/>
            <w:tcBorders>
              <w:top w:val="single" w:sz="8" w:color="435F86"/>
            </w:tcBorders>
          </w:tcPr>
          <w:p>
            <w:pPr>
              <w:spacing w:after="0"/>
              <w:rPr>
                <w:sz w:val="15"/>
                <w:szCs w:val="15"/>
                <w:color w:val="auto"/>
              </w:rPr>
            </w:pPr>
          </w:p>
        </w:tc>
        <w:tc>
          <w:tcPr>
            <w:tcW w:w="1320" w:type="dxa"/>
            <w:vAlign w:val="bottom"/>
            <w:tcBorders>
              <w:top w:val="single" w:sz="8" w:color="435F86"/>
            </w:tcBorders>
          </w:tcPr>
          <w:p>
            <w:pPr>
              <w:jc w:val="center"/>
              <w:spacing w:after="0" w:line="175" w:lineRule="exact"/>
              <w:rPr>
                <w:sz w:val="20"/>
                <w:szCs w:val="20"/>
                <w:color w:val="auto"/>
              </w:rPr>
            </w:pPr>
            <w:r>
              <w:rPr>
                <w:rFonts w:ascii="Arial" w:cs="Arial" w:eastAsia="Arial" w:hAnsi="Arial"/>
                <w:sz w:val="16"/>
                <w:szCs w:val="16"/>
                <w:b w:val="1"/>
                <w:bCs w:val="1"/>
                <w:color w:val="435F86"/>
                <w:w w:val="95"/>
              </w:rPr>
              <w:t>Class and</w:t>
            </w:r>
          </w:p>
        </w:tc>
        <w:tc>
          <w:tcPr>
            <w:tcW w:w="700" w:type="dxa"/>
            <w:vAlign w:val="bottom"/>
            <w:tcBorders>
              <w:top w:val="single" w:sz="8" w:color="435F86"/>
            </w:tcBorders>
          </w:tcPr>
          <w:p>
            <w:pPr>
              <w:spacing w:after="0"/>
              <w:rPr>
                <w:sz w:val="15"/>
                <w:szCs w:val="15"/>
                <w:color w:val="auto"/>
              </w:rPr>
            </w:pPr>
          </w:p>
        </w:tc>
        <w:tc>
          <w:tcPr>
            <w:tcW w:w="1060" w:type="dxa"/>
            <w:vAlign w:val="bottom"/>
            <w:tcBorders>
              <w:top w:val="single" w:sz="8" w:color="435F86"/>
            </w:tcBorders>
          </w:tcPr>
          <w:p>
            <w:pPr>
              <w:spacing w:after="0"/>
              <w:rPr>
                <w:sz w:val="15"/>
                <w:szCs w:val="15"/>
                <w:color w:val="auto"/>
              </w:rPr>
            </w:pPr>
          </w:p>
        </w:tc>
        <w:tc>
          <w:tcPr>
            <w:tcW w:w="940" w:type="dxa"/>
            <w:vAlign w:val="bottom"/>
            <w:tcBorders>
              <w:top w:val="single" w:sz="8" w:color="435F86"/>
            </w:tcBorders>
          </w:tcPr>
          <w:p>
            <w:pPr>
              <w:spacing w:after="0"/>
              <w:rPr>
                <w:sz w:val="15"/>
                <w:szCs w:val="15"/>
                <w:color w:val="auto"/>
              </w:rPr>
            </w:pPr>
          </w:p>
        </w:tc>
        <w:tc>
          <w:tcPr>
            <w:tcW w:w="1240" w:type="dxa"/>
            <w:vAlign w:val="bottom"/>
            <w:tcBorders>
              <w:top w:val="single" w:sz="8" w:color="435F86"/>
            </w:tcBorders>
          </w:tcPr>
          <w:p>
            <w:pPr>
              <w:spacing w:after="0"/>
              <w:rPr>
                <w:sz w:val="15"/>
                <w:szCs w:val="15"/>
                <w:color w:val="auto"/>
              </w:rPr>
            </w:pPr>
          </w:p>
        </w:tc>
        <w:tc>
          <w:tcPr>
            <w:tcW w:w="1140" w:type="dxa"/>
            <w:vAlign w:val="bottom"/>
            <w:tcBorders>
              <w:top w:val="single" w:sz="8" w:color="435F86"/>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89"/>
              </w:rPr>
              <w:t>Year in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3"/>
              </w:rPr>
              <w:t>Leadership</w:t>
            </w:r>
          </w:p>
        </w:tc>
        <w:tc>
          <w:tcPr>
            <w:tcW w:w="11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4"/>
              </w:rPr>
              <w:t>Nominating &amp;</w:t>
            </w: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jc w:val="center"/>
              <w:spacing w:after="0" w:line="170" w:lineRule="exact"/>
              <w:rPr>
                <w:sz w:val="20"/>
                <w:szCs w:val="20"/>
                <w:color w:val="auto"/>
              </w:rPr>
            </w:pPr>
            <w:r>
              <w:rPr>
                <w:rFonts w:ascii="Arial" w:cs="Arial" w:eastAsia="Arial" w:hAnsi="Arial"/>
                <w:sz w:val="16"/>
                <w:szCs w:val="16"/>
                <w:b w:val="1"/>
                <w:bCs w:val="1"/>
                <w:color w:val="435F86"/>
                <w:w w:val="94"/>
              </w:rPr>
              <w:t>Which Current</w:t>
            </w:r>
          </w:p>
        </w:tc>
        <w:tc>
          <w:tcPr>
            <w:tcW w:w="700" w:type="dxa"/>
            <w:vAlign w:val="bottom"/>
            <w:vMerge w:val="restart"/>
          </w:tcPr>
          <w:p>
            <w:pPr>
              <w:jc w:val="center"/>
              <w:spacing w:after="0"/>
              <w:rPr>
                <w:sz w:val="20"/>
                <w:szCs w:val="20"/>
                <w:color w:val="auto"/>
              </w:rPr>
            </w:pPr>
            <w:r>
              <w:rPr>
                <w:rFonts w:ascii="Arial" w:cs="Arial" w:eastAsia="Arial" w:hAnsi="Arial"/>
                <w:sz w:val="16"/>
                <w:szCs w:val="16"/>
                <w:b w:val="1"/>
                <w:bCs w:val="1"/>
                <w:color w:val="435F86"/>
                <w:w w:val="94"/>
              </w:rPr>
              <w:t>Director</w:t>
            </w:r>
          </w:p>
        </w:tc>
        <w:tc>
          <w:tcPr>
            <w:tcW w:w="106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435F86"/>
                <w:w w:val="97"/>
              </w:rPr>
              <w:t>Audit</w:t>
            </w:r>
          </w:p>
        </w:tc>
        <w:tc>
          <w:tcPr>
            <w:tcW w:w="1240" w:type="dxa"/>
            <w:vAlign w:val="bottom"/>
          </w:tcPr>
          <w:p>
            <w:pPr>
              <w:jc w:val="center"/>
              <w:spacing w:after="0" w:line="170" w:lineRule="exact"/>
              <w:rPr>
                <w:sz w:val="20"/>
                <w:szCs w:val="20"/>
                <w:color w:val="auto"/>
              </w:rPr>
            </w:pPr>
            <w:r>
              <w:rPr>
                <w:rFonts w:ascii="Arial" w:cs="Arial" w:eastAsia="Arial" w:hAnsi="Arial"/>
                <w:sz w:val="16"/>
                <w:szCs w:val="16"/>
                <w:b w:val="1"/>
                <w:bCs w:val="1"/>
                <w:color w:val="435F86"/>
                <w:w w:val="94"/>
              </w:rPr>
              <w:t>Development &amp;</w:t>
            </w:r>
          </w:p>
        </w:tc>
        <w:tc>
          <w:tcPr>
            <w:tcW w:w="1140" w:type="dxa"/>
            <w:vAlign w:val="bottom"/>
          </w:tcPr>
          <w:p>
            <w:pPr>
              <w:jc w:val="center"/>
              <w:spacing w:after="0" w:line="170" w:lineRule="exact"/>
              <w:rPr>
                <w:sz w:val="20"/>
                <w:szCs w:val="20"/>
                <w:color w:val="auto"/>
              </w:rPr>
            </w:pPr>
            <w:r>
              <w:rPr>
                <w:rFonts w:ascii="Arial" w:cs="Arial" w:eastAsia="Arial" w:hAnsi="Arial"/>
                <w:sz w:val="16"/>
                <w:szCs w:val="16"/>
                <w:b w:val="1"/>
                <w:bCs w:val="1"/>
                <w:color w:val="435F86"/>
                <w:w w:val="94"/>
              </w:rPr>
              <w:t>Corporate</w:t>
            </w:r>
          </w:p>
        </w:tc>
        <w:tc>
          <w:tcPr>
            <w:tcW w:w="0" w:type="dxa"/>
            <w:vAlign w:val="bottom"/>
          </w:tcPr>
          <w:p>
            <w:pPr>
              <w:spacing w:after="0"/>
              <w:rPr>
                <w:sz w:val="1"/>
                <w:szCs w:val="1"/>
                <w:color w:val="auto"/>
              </w:rPr>
            </w:pPr>
          </w:p>
        </w:tc>
      </w:tr>
      <w:tr>
        <w:trPr>
          <w:trHeight w:val="178"/>
        </w:trPr>
        <w:tc>
          <w:tcPr>
            <w:tcW w:w="1840" w:type="dxa"/>
            <w:vAlign w:val="bottom"/>
            <w:vMerge w:val="restart"/>
          </w:tcPr>
          <w:p>
            <w:pPr>
              <w:ind w:left="100"/>
              <w:spacing w:after="0"/>
              <w:rPr>
                <w:sz w:val="20"/>
                <w:szCs w:val="20"/>
                <w:color w:val="auto"/>
              </w:rPr>
            </w:pPr>
            <w:r>
              <w:rPr>
                <w:rFonts w:ascii="Arial" w:cs="Arial" w:eastAsia="Arial" w:hAnsi="Arial"/>
                <w:sz w:val="16"/>
                <w:szCs w:val="16"/>
                <w:b w:val="1"/>
                <w:bCs w:val="1"/>
                <w:color w:val="435F86"/>
              </w:rPr>
              <w:t>Name</w:t>
            </w:r>
          </w:p>
        </w:tc>
        <w:tc>
          <w:tcPr>
            <w:tcW w:w="480" w:type="dxa"/>
            <w:vAlign w:val="bottom"/>
            <w:vMerge w:val="restart"/>
          </w:tcPr>
          <w:p>
            <w:pPr>
              <w:jc w:val="center"/>
              <w:spacing w:after="0"/>
              <w:rPr>
                <w:sz w:val="20"/>
                <w:szCs w:val="20"/>
                <w:color w:val="auto"/>
              </w:rPr>
            </w:pPr>
            <w:r>
              <w:rPr>
                <w:rFonts w:ascii="Arial" w:cs="Arial" w:eastAsia="Arial" w:hAnsi="Arial"/>
                <w:sz w:val="16"/>
                <w:szCs w:val="16"/>
                <w:b w:val="1"/>
                <w:bCs w:val="1"/>
                <w:color w:val="435F86"/>
                <w:w w:val="92"/>
              </w:rPr>
              <w:t>Age</w:t>
            </w:r>
          </w:p>
        </w:tc>
        <w:tc>
          <w:tcPr>
            <w:tcW w:w="1320" w:type="dxa"/>
            <w:vAlign w:val="bottom"/>
          </w:tcPr>
          <w:p>
            <w:pPr>
              <w:jc w:val="center"/>
              <w:spacing w:after="0" w:line="178" w:lineRule="exact"/>
              <w:rPr>
                <w:sz w:val="20"/>
                <w:szCs w:val="20"/>
                <w:color w:val="auto"/>
              </w:rPr>
            </w:pPr>
            <w:r>
              <w:rPr>
                <w:rFonts w:ascii="Arial" w:cs="Arial" w:eastAsia="Arial" w:hAnsi="Arial"/>
                <w:sz w:val="16"/>
                <w:szCs w:val="16"/>
                <w:b w:val="1"/>
                <w:bCs w:val="1"/>
                <w:color w:val="435F86"/>
                <w:w w:val="91"/>
              </w:rPr>
              <w:t>Term Will</w:t>
            </w:r>
          </w:p>
        </w:tc>
        <w:tc>
          <w:tcPr>
            <w:tcW w:w="700" w:type="dxa"/>
            <w:vAlign w:val="bottom"/>
            <w:vMerge w:val="continue"/>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6"/>
                <w:szCs w:val="16"/>
                <w:b w:val="1"/>
                <w:bCs w:val="1"/>
                <w:color w:val="435F86"/>
                <w:w w:val="92"/>
              </w:rPr>
              <w:t>Independent</w:t>
            </w:r>
          </w:p>
        </w:tc>
        <w:tc>
          <w:tcPr>
            <w:tcW w:w="940" w:type="dxa"/>
            <w:vAlign w:val="bottom"/>
            <w:vMerge w:val="continue"/>
          </w:tcPr>
          <w:p>
            <w:pPr>
              <w:spacing w:after="0"/>
              <w:rPr>
                <w:sz w:val="15"/>
                <w:szCs w:val="15"/>
                <w:color w:val="auto"/>
              </w:rPr>
            </w:pPr>
          </w:p>
        </w:tc>
        <w:tc>
          <w:tcPr>
            <w:tcW w:w="1240" w:type="dxa"/>
            <w:vAlign w:val="bottom"/>
          </w:tcPr>
          <w:p>
            <w:pPr>
              <w:jc w:val="center"/>
              <w:spacing w:after="0" w:line="178" w:lineRule="exact"/>
              <w:rPr>
                <w:sz w:val="20"/>
                <w:szCs w:val="20"/>
                <w:color w:val="auto"/>
              </w:rPr>
            </w:pPr>
            <w:r>
              <w:rPr>
                <w:rFonts w:ascii="Arial" w:cs="Arial" w:eastAsia="Arial" w:hAnsi="Arial"/>
                <w:sz w:val="16"/>
                <w:szCs w:val="16"/>
                <w:b w:val="1"/>
                <w:bCs w:val="1"/>
                <w:color w:val="435F86"/>
                <w:w w:val="95"/>
              </w:rPr>
              <w:t>Compensation</w:t>
            </w:r>
          </w:p>
        </w:tc>
        <w:tc>
          <w:tcPr>
            <w:tcW w:w="1140" w:type="dxa"/>
            <w:vAlign w:val="bottom"/>
          </w:tcPr>
          <w:p>
            <w:pPr>
              <w:jc w:val="center"/>
              <w:spacing w:after="0" w:line="178" w:lineRule="exact"/>
              <w:rPr>
                <w:sz w:val="20"/>
                <w:szCs w:val="20"/>
                <w:color w:val="auto"/>
              </w:rPr>
            </w:pPr>
            <w:r>
              <w:rPr>
                <w:rFonts w:ascii="Arial" w:cs="Arial" w:eastAsia="Arial" w:hAnsi="Arial"/>
                <w:sz w:val="16"/>
                <w:szCs w:val="16"/>
                <w:b w:val="1"/>
                <w:bCs w:val="1"/>
                <w:color w:val="435F86"/>
                <w:w w:val="92"/>
              </w:rPr>
              <w:t>Governance</w:t>
            </w:r>
          </w:p>
        </w:tc>
        <w:tc>
          <w:tcPr>
            <w:tcW w:w="0" w:type="dxa"/>
            <w:vAlign w:val="bottom"/>
          </w:tcPr>
          <w:p>
            <w:pPr>
              <w:spacing w:after="0"/>
              <w:rPr>
                <w:sz w:val="1"/>
                <w:szCs w:val="1"/>
                <w:color w:val="auto"/>
              </w:rPr>
            </w:pPr>
          </w:p>
        </w:tc>
      </w:tr>
      <w:tr>
        <w:trPr>
          <w:trHeight w:val="224"/>
        </w:trPr>
        <w:tc>
          <w:tcPr>
            <w:tcW w:w="1840" w:type="dxa"/>
            <w:vAlign w:val="bottom"/>
            <w:tcBorders>
              <w:bottom w:val="single" w:sz="8" w:color="435F86"/>
            </w:tcBorders>
            <w:vMerge w:val="continue"/>
          </w:tcPr>
          <w:p>
            <w:pPr>
              <w:spacing w:after="0"/>
              <w:rPr>
                <w:sz w:val="19"/>
                <w:szCs w:val="19"/>
                <w:color w:val="auto"/>
              </w:rPr>
            </w:pPr>
          </w:p>
        </w:tc>
        <w:tc>
          <w:tcPr>
            <w:tcW w:w="480" w:type="dxa"/>
            <w:vAlign w:val="bottom"/>
            <w:tcBorders>
              <w:bottom w:val="single" w:sz="8" w:color="435F86"/>
            </w:tcBorders>
            <w:vMerge w:val="continue"/>
          </w:tcPr>
          <w:p>
            <w:pPr>
              <w:spacing w:after="0"/>
              <w:rPr>
                <w:sz w:val="19"/>
                <w:szCs w:val="19"/>
                <w:color w:val="auto"/>
              </w:rPr>
            </w:pPr>
          </w:p>
        </w:tc>
        <w:tc>
          <w:tcPr>
            <w:tcW w:w="132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3"/>
              </w:rPr>
              <w:t>Expire</w:t>
            </w:r>
          </w:p>
        </w:tc>
        <w:tc>
          <w:tcPr>
            <w:tcW w:w="70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86"/>
              </w:rPr>
              <w:t xml:space="preserve">Since </w:t>
            </w:r>
            <w:r>
              <w:rPr>
                <w:rFonts w:ascii="Arial" w:cs="Arial" w:eastAsia="Arial" w:hAnsi="Arial"/>
                <w:sz w:val="19"/>
                <w:szCs w:val="19"/>
                <w:b w:val="1"/>
                <w:bCs w:val="1"/>
                <w:color w:val="435F86"/>
                <w:w w:val="86"/>
                <w:vertAlign w:val="superscript"/>
              </w:rPr>
              <w:t>(1)</w:t>
            </w:r>
          </w:p>
        </w:tc>
        <w:tc>
          <w:tcPr>
            <w:tcW w:w="1060" w:type="dxa"/>
            <w:vAlign w:val="bottom"/>
            <w:tcBorders>
              <w:bottom w:val="single" w:sz="8" w:color="435F86"/>
            </w:tcBorders>
            <w:vMerge w:val="continue"/>
          </w:tcPr>
          <w:p>
            <w:pPr>
              <w:spacing w:after="0"/>
              <w:rPr>
                <w:sz w:val="19"/>
                <w:szCs w:val="19"/>
                <w:color w:val="auto"/>
              </w:rPr>
            </w:pPr>
          </w:p>
        </w:tc>
        <w:tc>
          <w:tcPr>
            <w:tcW w:w="94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4"/>
              </w:rPr>
              <w:t>Committee</w:t>
            </w:r>
          </w:p>
        </w:tc>
        <w:tc>
          <w:tcPr>
            <w:tcW w:w="124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4"/>
              </w:rPr>
              <w:t>Committee</w:t>
            </w:r>
          </w:p>
        </w:tc>
        <w:tc>
          <w:tcPr>
            <w:tcW w:w="114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4"/>
              </w:rPr>
              <w:t>Committee</w:t>
            </w:r>
          </w:p>
        </w:tc>
        <w:tc>
          <w:tcPr>
            <w:tcW w:w="0" w:type="dxa"/>
            <w:vAlign w:val="bottom"/>
          </w:tcPr>
          <w:p>
            <w:pPr>
              <w:spacing w:after="0"/>
              <w:rPr>
                <w:sz w:val="1"/>
                <w:szCs w:val="1"/>
                <w:color w:val="auto"/>
              </w:rPr>
            </w:pPr>
          </w:p>
        </w:tc>
      </w:tr>
      <w:tr>
        <w:trPr>
          <w:trHeight w:val="234"/>
        </w:trPr>
        <w:tc>
          <w:tcPr>
            <w:tcW w:w="1840" w:type="dxa"/>
            <w:vAlign w:val="bottom"/>
          </w:tcPr>
          <w:p>
            <w:pPr>
              <w:ind w:left="100"/>
              <w:spacing w:after="0"/>
              <w:rPr>
                <w:sz w:val="20"/>
                <w:szCs w:val="20"/>
                <w:color w:val="auto"/>
              </w:rPr>
            </w:pPr>
            <w:r>
              <w:rPr>
                <w:rFonts w:ascii="Arial" w:cs="Arial" w:eastAsia="Arial" w:hAnsi="Arial"/>
                <w:sz w:val="17"/>
                <w:szCs w:val="17"/>
                <w:b w:val="1"/>
                <w:bCs w:val="1"/>
                <w:color w:val="auto"/>
              </w:rPr>
              <w:t>Director Nominees</w:t>
            </w: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b w:val="1"/>
                <w:bCs w:val="1"/>
                <w:color w:val="auto"/>
              </w:rPr>
              <w:t>for Election</w:t>
            </w:r>
          </w:p>
        </w:tc>
        <w:tc>
          <w:tcPr>
            <w:tcW w:w="480" w:type="dxa"/>
            <w:vAlign w:val="bottom"/>
            <w:tcBorders>
              <w:bottom w:val="single" w:sz="8" w:color="A1AFC2"/>
            </w:tcBorders>
          </w:tcPr>
          <w:p>
            <w:pPr>
              <w:spacing w:after="0"/>
              <w:rPr>
                <w:sz w:val="20"/>
                <w:szCs w:val="20"/>
                <w:color w:val="auto"/>
              </w:rPr>
            </w:pPr>
          </w:p>
        </w:tc>
        <w:tc>
          <w:tcPr>
            <w:tcW w:w="1320" w:type="dxa"/>
            <w:vAlign w:val="bottom"/>
            <w:tcBorders>
              <w:bottom w:val="single" w:sz="8" w:color="A1AFC2"/>
            </w:tcBorders>
          </w:tcPr>
          <w:p>
            <w:pPr>
              <w:spacing w:after="0"/>
              <w:rPr>
                <w:sz w:val="20"/>
                <w:szCs w:val="20"/>
                <w:color w:val="auto"/>
              </w:rPr>
            </w:pPr>
          </w:p>
        </w:tc>
        <w:tc>
          <w:tcPr>
            <w:tcW w:w="700" w:type="dxa"/>
            <w:vAlign w:val="bottom"/>
            <w:tcBorders>
              <w:bottom w:val="single" w:sz="8" w:color="A1AFC2"/>
            </w:tcBorders>
          </w:tcPr>
          <w:p>
            <w:pPr>
              <w:spacing w:after="0"/>
              <w:rPr>
                <w:sz w:val="20"/>
                <w:szCs w:val="20"/>
                <w:color w:val="auto"/>
              </w:rPr>
            </w:pPr>
          </w:p>
        </w:tc>
        <w:tc>
          <w:tcPr>
            <w:tcW w:w="1060" w:type="dxa"/>
            <w:vAlign w:val="bottom"/>
            <w:tcBorders>
              <w:bottom w:val="single" w:sz="8" w:color="A1AFC2"/>
            </w:tcBorders>
          </w:tcPr>
          <w:p>
            <w:pPr>
              <w:spacing w:after="0"/>
              <w:rPr>
                <w:sz w:val="20"/>
                <w:szCs w:val="20"/>
                <w:color w:val="auto"/>
              </w:rPr>
            </w:pPr>
          </w:p>
        </w:tc>
        <w:tc>
          <w:tcPr>
            <w:tcW w:w="940" w:type="dxa"/>
            <w:vAlign w:val="bottom"/>
            <w:tcBorders>
              <w:bottom w:val="single" w:sz="8" w:color="A1AFC2"/>
            </w:tcBorders>
          </w:tcPr>
          <w:p>
            <w:pPr>
              <w:spacing w:after="0"/>
              <w:rPr>
                <w:sz w:val="20"/>
                <w:szCs w:val="20"/>
                <w:color w:val="auto"/>
              </w:rPr>
            </w:pPr>
          </w:p>
        </w:tc>
        <w:tc>
          <w:tcPr>
            <w:tcW w:w="1240" w:type="dxa"/>
            <w:vAlign w:val="bottom"/>
            <w:tcBorders>
              <w:bottom w:val="single" w:sz="8" w:color="A1AFC2"/>
            </w:tcBorders>
          </w:tcPr>
          <w:p>
            <w:pPr>
              <w:spacing w:after="0"/>
              <w:rPr>
                <w:sz w:val="20"/>
                <w:szCs w:val="20"/>
                <w:color w:val="auto"/>
              </w:rPr>
            </w:pPr>
          </w:p>
        </w:tc>
        <w:tc>
          <w:tcPr>
            <w:tcW w:w="1140" w:type="dxa"/>
            <w:vAlign w:val="bottom"/>
            <w:tcBorders>
              <w:bottom w:val="single" w:sz="8" w:color="A1AFC2"/>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rPr>
              <w:t>Ruoxi Chen</w:t>
            </w:r>
          </w:p>
        </w:tc>
        <w:tc>
          <w:tcPr>
            <w:tcW w:w="48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4"/>
              </w:rPr>
              <w:t>41</w:t>
            </w:r>
          </w:p>
        </w:tc>
        <w:tc>
          <w:tcPr>
            <w:tcW w:w="132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6"/>
              </w:rPr>
              <w:t>Class II — 2025</w:t>
            </w:r>
          </w:p>
        </w:tc>
        <w:tc>
          <w:tcPr>
            <w:tcW w:w="70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2020</w:t>
            </w:r>
          </w:p>
        </w:tc>
        <w:tc>
          <w:tcPr>
            <w:tcW w:w="106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A1AFC2"/>
            </w:tcBorders>
          </w:tcPr>
          <w:p>
            <w:pPr>
              <w:spacing w:after="0"/>
              <w:rPr>
                <w:sz w:val="23"/>
                <w:szCs w:val="23"/>
                <w:color w:val="auto"/>
              </w:rPr>
            </w:pPr>
          </w:p>
        </w:tc>
        <w:tc>
          <w:tcPr>
            <w:tcW w:w="1240" w:type="dxa"/>
            <w:vAlign w:val="bottom"/>
            <w:tcBorders>
              <w:bottom w:val="single" w:sz="8" w:color="A1AFC2"/>
            </w:tcBorders>
          </w:tcPr>
          <w:p>
            <w:pPr>
              <w:spacing w:after="0"/>
              <w:rPr>
                <w:sz w:val="23"/>
                <w:szCs w:val="23"/>
                <w:color w:val="auto"/>
              </w:rPr>
            </w:pPr>
          </w:p>
        </w:tc>
        <w:tc>
          <w:tcPr>
            <w:tcW w:w="1140" w:type="dxa"/>
            <w:vAlign w:val="bottom"/>
            <w:tcBorders>
              <w:bottom w:val="single" w:sz="8" w:color="A1AFC2"/>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66"/>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rPr>
              <w:t>Karen A. Flynn</w:t>
            </w:r>
          </w:p>
        </w:tc>
        <w:tc>
          <w:tcPr>
            <w:tcW w:w="48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4"/>
              </w:rPr>
              <w:t>62</w:t>
            </w:r>
          </w:p>
        </w:tc>
        <w:tc>
          <w:tcPr>
            <w:tcW w:w="132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6"/>
              </w:rPr>
              <w:t>Class II — 2025</w:t>
            </w:r>
          </w:p>
        </w:tc>
        <w:tc>
          <w:tcPr>
            <w:tcW w:w="70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2023</w:t>
            </w:r>
          </w:p>
        </w:tc>
        <w:tc>
          <w:tcPr>
            <w:tcW w:w="106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A1AFC2"/>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Borders>
              <w:bottom w:val="single" w:sz="8" w:color="A1AFC2"/>
            </w:tcBorders>
          </w:tcPr>
          <w:p>
            <w:pPr>
              <w:spacing w:after="0"/>
              <w:rPr>
                <w:sz w:val="23"/>
                <w:szCs w:val="23"/>
                <w:color w:val="auto"/>
              </w:rPr>
            </w:pPr>
          </w:p>
        </w:tc>
        <w:tc>
          <w:tcPr>
            <w:tcW w:w="1140" w:type="dxa"/>
            <w:vAlign w:val="bottom"/>
            <w:tcBorders>
              <w:bottom w:val="single" w:sz="8" w:color="A1AFC2"/>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rPr>
              <w:t>Ann R. Klee</w:t>
            </w:r>
          </w:p>
        </w:tc>
        <w:tc>
          <w:tcPr>
            <w:tcW w:w="48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4"/>
              </w:rPr>
              <w:t>63</w:t>
            </w:r>
          </w:p>
        </w:tc>
        <w:tc>
          <w:tcPr>
            <w:tcW w:w="132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6"/>
              </w:rPr>
              <w:t>Class II — 2025</w:t>
            </w:r>
          </w:p>
        </w:tc>
        <w:tc>
          <w:tcPr>
            <w:tcW w:w="70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2020</w:t>
            </w:r>
          </w:p>
        </w:tc>
        <w:tc>
          <w:tcPr>
            <w:tcW w:w="106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A1AFC2"/>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Borders>
              <w:bottom w:val="single" w:sz="8" w:color="A1AFC2"/>
            </w:tcBorders>
          </w:tcPr>
          <w:p>
            <w:pPr>
              <w:spacing w:after="0"/>
              <w:rPr>
                <w:sz w:val="23"/>
                <w:szCs w:val="23"/>
                <w:color w:val="auto"/>
              </w:rPr>
            </w:pPr>
          </w:p>
        </w:tc>
        <w:tc>
          <w:tcPr>
            <w:tcW w:w="114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C</w:t>
            </w:r>
          </w:p>
        </w:tc>
        <w:tc>
          <w:tcPr>
            <w:tcW w:w="0" w:type="dxa"/>
            <w:vAlign w:val="bottom"/>
          </w:tcPr>
          <w:p>
            <w:pPr>
              <w:spacing w:after="0"/>
              <w:rPr>
                <w:sz w:val="1"/>
                <w:szCs w:val="1"/>
                <w:color w:val="auto"/>
              </w:rPr>
            </w:pPr>
          </w:p>
        </w:tc>
      </w:tr>
      <w:tr>
        <w:trPr>
          <w:trHeight w:val="259"/>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b w:val="1"/>
                <w:bCs w:val="1"/>
                <w:color w:val="auto"/>
              </w:rPr>
              <w:t>Continuing Directors</w:t>
            </w:r>
          </w:p>
        </w:tc>
        <w:tc>
          <w:tcPr>
            <w:tcW w:w="480" w:type="dxa"/>
            <w:vAlign w:val="bottom"/>
            <w:tcBorders>
              <w:bottom w:val="single" w:sz="8" w:color="A1AFC2"/>
            </w:tcBorders>
          </w:tcPr>
          <w:p>
            <w:pPr>
              <w:spacing w:after="0"/>
              <w:rPr>
                <w:sz w:val="22"/>
                <w:szCs w:val="22"/>
                <w:color w:val="auto"/>
              </w:rPr>
            </w:pPr>
          </w:p>
        </w:tc>
        <w:tc>
          <w:tcPr>
            <w:tcW w:w="1320" w:type="dxa"/>
            <w:vAlign w:val="bottom"/>
            <w:tcBorders>
              <w:bottom w:val="single" w:sz="8" w:color="A1AFC2"/>
            </w:tcBorders>
          </w:tcPr>
          <w:p>
            <w:pPr>
              <w:spacing w:after="0"/>
              <w:rPr>
                <w:sz w:val="22"/>
                <w:szCs w:val="22"/>
                <w:color w:val="auto"/>
              </w:rPr>
            </w:pPr>
          </w:p>
        </w:tc>
        <w:tc>
          <w:tcPr>
            <w:tcW w:w="700" w:type="dxa"/>
            <w:vAlign w:val="bottom"/>
            <w:tcBorders>
              <w:bottom w:val="single" w:sz="8" w:color="A1AFC2"/>
            </w:tcBorders>
          </w:tcPr>
          <w:p>
            <w:pPr>
              <w:spacing w:after="0"/>
              <w:rPr>
                <w:sz w:val="22"/>
                <w:szCs w:val="22"/>
                <w:color w:val="auto"/>
              </w:rPr>
            </w:pPr>
          </w:p>
        </w:tc>
        <w:tc>
          <w:tcPr>
            <w:tcW w:w="1060" w:type="dxa"/>
            <w:vAlign w:val="bottom"/>
            <w:tcBorders>
              <w:bottom w:val="single" w:sz="8" w:color="A1AFC2"/>
            </w:tcBorders>
          </w:tcPr>
          <w:p>
            <w:pPr>
              <w:spacing w:after="0"/>
              <w:rPr>
                <w:sz w:val="22"/>
                <w:szCs w:val="22"/>
                <w:color w:val="auto"/>
              </w:rPr>
            </w:pPr>
          </w:p>
        </w:tc>
        <w:tc>
          <w:tcPr>
            <w:tcW w:w="940" w:type="dxa"/>
            <w:vAlign w:val="bottom"/>
            <w:tcBorders>
              <w:bottom w:val="single" w:sz="8" w:color="A1AFC2"/>
            </w:tcBorders>
          </w:tcPr>
          <w:p>
            <w:pPr>
              <w:spacing w:after="0"/>
              <w:rPr>
                <w:sz w:val="22"/>
                <w:szCs w:val="22"/>
                <w:color w:val="auto"/>
              </w:rPr>
            </w:pPr>
          </w:p>
        </w:tc>
        <w:tc>
          <w:tcPr>
            <w:tcW w:w="1240" w:type="dxa"/>
            <w:vAlign w:val="bottom"/>
            <w:tcBorders>
              <w:bottom w:val="single" w:sz="8" w:color="A1AFC2"/>
            </w:tcBorders>
          </w:tcPr>
          <w:p>
            <w:pPr>
              <w:spacing w:after="0"/>
              <w:rPr>
                <w:sz w:val="22"/>
                <w:szCs w:val="22"/>
                <w:color w:val="auto"/>
              </w:rPr>
            </w:pPr>
          </w:p>
        </w:tc>
        <w:tc>
          <w:tcPr>
            <w:tcW w:w="1140" w:type="dxa"/>
            <w:vAlign w:val="bottom"/>
            <w:tcBorders>
              <w:bottom w:val="single" w:sz="8" w:color="A1AFC2"/>
            </w:tcBorders>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rPr>
              <w:t>Sean L. Cunningham</w:t>
            </w:r>
          </w:p>
        </w:tc>
        <w:tc>
          <w:tcPr>
            <w:tcW w:w="48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4"/>
              </w:rPr>
              <w:t>49</w:t>
            </w:r>
          </w:p>
        </w:tc>
        <w:tc>
          <w:tcPr>
            <w:tcW w:w="132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7"/>
              </w:rPr>
              <w:t>Class III — 2026</w:t>
            </w:r>
          </w:p>
        </w:tc>
        <w:tc>
          <w:tcPr>
            <w:tcW w:w="70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2015</w:t>
            </w:r>
          </w:p>
        </w:tc>
        <w:tc>
          <w:tcPr>
            <w:tcW w:w="106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A1AFC2"/>
            </w:tcBorders>
          </w:tcPr>
          <w:p>
            <w:pPr>
              <w:spacing w:after="0"/>
              <w:rPr>
                <w:sz w:val="23"/>
                <w:szCs w:val="23"/>
                <w:color w:val="auto"/>
              </w:rPr>
            </w:pPr>
          </w:p>
        </w:tc>
        <w:tc>
          <w:tcPr>
            <w:tcW w:w="1240" w:type="dxa"/>
            <w:vAlign w:val="bottom"/>
            <w:tcBorders>
              <w:bottom w:val="single" w:sz="8" w:color="A1AFC2"/>
            </w:tcBorders>
          </w:tcPr>
          <w:p>
            <w:pPr>
              <w:spacing w:after="0"/>
              <w:rPr>
                <w:sz w:val="23"/>
                <w:szCs w:val="23"/>
                <w:color w:val="auto"/>
              </w:rPr>
            </w:pPr>
          </w:p>
        </w:tc>
        <w:tc>
          <w:tcPr>
            <w:tcW w:w="1140" w:type="dxa"/>
            <w:vAlign w:val="bottom"/>
            <w:tcBorders>
              <w:bottom w:val="single" w:sz="8" w:color="A1AFC2"/>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44"/>
        </w:trPr>
        <w:tc>
          <w:tcPr>
            <w:tcW w:w="1840" w:type="dxa"/>
            <w:vAlign w:val="bottom"/>
          </w:tcPr>
          <w:p>
            <w:pPr>
              <w:ind w:left="100"/>
              <w:spacing w:after="0"/>
              <w:rPr>
                <w:sz w:val="20"/>
                <w:szCs w:val="20"/>
                <w:color w:val="auto"/>
              </w:rPr>
            </w:pPr>
            <w:r>
              <w:rPr>
                <w:rFonts w:ascii="Arial" w:cs="Arial" w:eastAsia="Arial" w:hAnsi="Arial"/>
                <w:sz w:val="17"/>
                <w:szCs w:val="17"/>
                <w:color w:val="auto"/>
              </w:rPr>
              <w:t>Robert B. Knauss</w:t>
            </w: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71</w:t>
            </w:r>
          </w:p>
        </w:tc>
        <w:tc>
          <w:tcPr>
            <w:tcW w:w="1320" w:type="dxa"/>
            <w:vAlign w:val="bottom"/>
          </w:tcPr>
          <w:p>
            <w:pPr>
              <w:jc w:val="center"/>
              <w:spacing w:after="0"/>
              <w:rPr>
                <w:sz w:val="20"/>
                <w:szCs w:val="20"/>
                <w:color w:val="auto"/>
              </w:rPr>
            </w:pPr>
            <w:r>
              <w:rPr>
                <w:rFonts w:ascii="Arial" w:cs="Arial" w:eastAsia="Arial" w:hAnsi="Arial"/>
                <w:sz w:val="17"/>
                <w:szCs w:val="17"/>
                <w:color w:val="auto"/>
                <w:w w:val="97"/>
              </w:rPr>
              <w:t>Class III — 2026</w:t>
            </w:r>
          </w:p>
        </w:tc>
        <w:tc>
          <w:tcPr>
            <w:tcW w:w="700" w:type="dxa"/>
            <w:vAlign w:val="bottom"/>
          </w:tcPr>
          <w:p>
            <w:pPr>
              <w:jc w:val="center"/>
              <w:spacing w:after="0"/>
              <w:rPr>
                <w:sz w:val="20"/>
                <w:szCs w:val="20"/>
                <w:color w:val="auto"/>
              </w:rPr>
            </w:pPr>
            <w:r>
              <w:rPr>
                <w:rFonts w:ascii="Arial" w:cs="Arial" w:eastAsia="Arial" w:hAnsi="Arial"/>
                <w:sz w:val="17"/>
                <w:szCs w:val="17"/>
                <w:color w:val="auto"/>
              </w:rPr>
              <w:t>2022</w:t>
            </w:r>
          </w:p>
        </w:tc>
        <w:tc>
          <w:tcPr>
            <w:tcW w:w="10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1AFC2"/>
            </w:tcBorders>
          </w:tcPr>
          <w:p>
            <w:pPr>
              <w:spacing w:after="0" w:line="20" w:lineRule="exact"/>
              <w:rPr>
                <w:sz w:val="1"/>
                <w:szCs w:val="1"/>
                <w:color w:val="auto"/>
              </w:rPr>
            </w:pPr>
          </w:p>
        </w:tc>
        <w:tc>
          <w:tcPr>
            <w:tcW w:w="480" w:type="dxa"/>
            <w:vAlign w:val="bottom"/>
            <w:tcBorders>
              <w:bottom w:val="single" w:sz="8" w:color="A1AFC2"/>
            </w:tcBorders>
          </w:tcPr>
          <w:p>
            <w:pPr>
              <w:spacing w:after="0" w:line="20" w:lineRule="exact"/>
              <w:rPr>
                <w:sz w:val="1"/>
                <w:szCs w:val="1"/>
                <w:color w:val="auto"/>
              </w:rPr>
            </w:pPr>
          </w:p>
        </w:tc>
        <w:tc>
          <w:tcPr>
            <w:tcW w:w="1320" w:type="dxa"/>
            <w:vAlign w:val="bottom"/>
            <w:tcBorders>
              <w:bottom w:val="single" w:sz="8" w:color="A1AFC2"/>
            </w:tcBorders>
          </w:tcPr>
          <w:p>
            <w:pPr>
              <w:spacing w:after="0" w:line="20" w:lineRule="exact"/>
              <w:rPr>
                <w:sz w:val="1"/>
                <w:szCs w:val="1"/>
                <w:color w:val="auto"/>
              </w:rPr>
            </w:pPr>
          </w:p>
        </w:tc>
        <w:tc>
          <w:tcPr>
            <w:tcW w:w="700" w:type="dxa"/>
            <w:vAlign w:val="bottom"/>
            <w:tcBorders>
              <w:bottom w:val="single" w:sz="8" w:color="A1AFC2"/>
            </w:tcBorders>
          </w:tcPr>
          <w:p>
            <w:pPr>
              <w:spacing w:after="0" w:line="20" w:lineRule="exact"/>
              <w:rPr>
                <w:sz w:val="1"/>
                <w:szCs w:val="1"/>
                <w:color w:val="auto"/>
              </w:rPr>
            </w:pPr>
          </w:p>
        </w:tc>
        <w:tc>
          <w:tcPr>
            <w:tcW w:w="1060" w:type="dxa"/>
            <w:vAlign w:val="bottom"/>
            <w:tcBorders>
              <w:bottom w:val="single" w:sz="8" w:color="A1AFC2"/>
            </w:tcBorders>
          </w:tcPr>
          <w:p>
            <w:pPr>
              <w:spacing w:after="0" w:line="20" w:lineRule="exact"/>
              <w:rPr>
                <w:sz w:val="1"/>
                <w:szCs w:val="1"/>
                <w:color w:val="auto"/>
              </w:rPr>
            </w:pPr>
          </w:p>
        </w:tc>
        <w:tc>
          <w:tcPr>
            <w:tcW w:w="940" w:type="dxa"/>
            <w:vAlign w:val="bottom"/>
            <w:tcBorders>
              <w:bottom w:val="single" w:sz="8" w:color="A1AFC2"/>
            </w:tcBorders>
          </w:tcPr>
          <w:p>
            <w:pPr>
              <w:spacing w:after="0" w:line="20" w:lineRule="exact"/>
              <w:rPr>
                <w:sz w:val="1"/>
                <w:szCs w:val="1"/>
                <w:color w:val="auto"/>
              </w:rPr>
            </w:pPr>
          </w:p>
        </w:tc>
        <w:tc>
          <w:tcPr>
            <w:tcW w:w="1240" w:type="dxa"/>
            <w:vAlign w:val="bottom"/>
            <w:tcBorders>
              <w:bottom w:val="single" w:sz="8" w:color="A1AFC2"/>
            </w:tcBorders>
          </w:tcPr>
          <w:p>
            <w:pPr>
              <w:spacing w:after="0" w:line="20" w:lineRule="exact"/>
              <w:rPr>
                <w:sz w:val="1"/>
                <w:szCs w:val="1"/>
                <w:color w:val="auto"/>
              </w:rPr>
            </w:pPr>
          </w:p>
        </w:tc>
        <w:tc>
          <w:tcPr>
            <w:tcW w:w="1140" w:type="dxa"/>
            <w:vAlign w:val="bottom"/>
            <w:tcBorders>
              <w:bottom w:val="single" w:sz="8" w:color="A1AF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100"/>
              <w:spacing w:after="0"/>
              <w:rPr>
                <w:sz w:val="20"/>
                <w:szCs w:val="20"/>
                <w:color w:val="auto"/>
              </w:rPr>
            </w:pPr>
            <w:r>
              <w:rPr>
                <w:rFonts w:ascii="Arial" w:cs="Arial" w:eastAsia="Arial" w:hAnsi="Arial"/>
                <w:sz w:val="17"/>
                <w:szCs w:val="17"/>
                <w:color w:val="auto"/>
              </w:rPr>
              <w:t>Vincent K. Petrella</w:t>
            </w: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840" w:type="dxa"/>
            <w:vAlign w:val="bottom"/>
          </w:tcPr>
          <w:p>
            <w:pPr>
              <w:ind w:left="220"/>
              <w:spacing w:after="0"/>
              <w:rPr>
                <w:sz w:val="20"/>
                <w:szCs w:val="20"/>
                <w:color w:val="auto"/>
              </w:rPr>
            </w:pPr>
            <w:r>
              <w:rPr>
                <w:rFonts w:ascii="Arial" w:cs="Arial" w:eastAsia="Arial" w:hAnsi="Arial"/>
                <w:sz w:val="17"/>
                <w:szCs w:val="17"/>
                <w:i w:val="1"/>
                <w:iCs w:val="1"/>
                <w:color w:val="auto"/>
              </w:rPr>
              <w:t>Lead Independent</w:t>
            </w: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1320" w:type="dxa"/>
            <w:vAlign w:val="bottom"/>
          </w:tcPr>
          <w:p>
            <w:pPr>
              <w:jc w:val="center"/>
              <w:spacing w:after="0"/>
              <w:rPr>
                <w:sz w:val="20"/>
                <w:szCs w:val="20"/>
                <w:color w:val="auto"/>
              </w:rPr>
            </w:pPr>
            <w:r>
              <w:rPr>
                <w:rFonts w:ascii="Arial" w:cs="Arial" w:eastAsia="Arial" w:hAnsi="Arial"/>
                <w:sz w:val="17"/>
                <w:szCs w:val="17"/>
                <w:color w:val="auto"/>
                <w:w w:val="97"/>
              </w:rPr>
              <w:t>Class III — 2026</w:t>
            </w:r>
          </w:p>
        </w:tc>
        <w:tc>
          <w:tcPr>
            <w:tcW w:w="700" w:type="dxa"/>
            <w:vAlign w:val="bottom"/>
          </w:tcPr>
          <w:p>
            <w:pPr>
              <w:jc w:val="center"/>
              <w:spacing w:after="0"/>
              <w:rPr>
                <w:sz w:val="20"/>
                <w:szCs w:val="20"/>
                <w:color w:val="auto"/>
              </w:rPr>
            </w:pPr>
            <w:r>
              <w:rPr>
                <w:rFonts w:ascii="Arial" w:cs="Arial" w:eastAsia="Arial" w:hAnsi="Arial"/>
                <w:sz w:val="17"/>
                <w:szCs w:val="17"/>
                <w:color w:val="auto"/>
              </w:rPr>
              <w:t>2020</w:t>
            </w:r>
          </w:p>
        </w:tc>
        <w:tc>
          <w:tcPr>
            <w:tcW w:w="10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Pr>
          <w:p>
            <w:pPr>
              <w:jc w:val="center"/>
              <w:spacing w:after="0"/>
              <w:rPr>
                <w:sz w:val="20"/>
                <w:szCs w:val="20"/>
                <w:color w:val="auto"/>
              </w:rPr>
            </w:pPr>
            <w:r>
              <w:rPr>
                <w:rFonts w:ascii="Arial" w:cs="Arial" w:eastAsia="Arial" w:hAnsi="Arial"/>
                <w:sz w:val="17"/>
                <w:szCs w:val="17"/>
                <w:color w:val="auto"/>
                <w:w w:val="97"/>
              </w:rPr>
              <w:t>C</w:t>
            </w:r>
          </w:p>
        </w:tc>
        <w:tc>
          <w:tcPr>
            <w:tcW w:w="1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220"/>
              <w:spacing w:after="0"/>
              <w:rPr>
                <w:sz w:val="20"/>
                <w:szCs w:val="20"/>
                <w:color w:val="auto"/>
              </w:rPr>
            </w:pPr>
            <w:r>
              <w:rPr>
                <w:rFonts w:ascii="Arial" w:cs="Arial" w:eastAsia="Arial" w:hAnsi="Arial"/>
                <w:sz w:val="17"/>
                <w:szCs w:val="17"/>
                <w:i w:val="1"/>
                <w:iCs w:val="1"/>
                <w:color w:val="auto"/>
              </w:rPr>
              <w:t>Director</w:t>
            </w: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1AFC2"/>
            </w:tcBorders>
          </w:tcPr>
          <w:p>
            <w:pPr>
              <w:spacing w:after="0" w:line="20" w:lineRule="exact"/>
              <w:rPr>
                <w:sz w:val="1"/>
                <w:szCs w:val="1"/>
                <w:color w:val="auto"/>
              </w:rPr>
            </w:pPr>
          </w:p>
        </w:tc>
        <w:tc>
          <w:tcPr>
            <w:tcW w:w="480" w:type="dxa"/>
            <w:vAlign w:val="bottom"/>
            <w:tcBorders>
              <w:bottom w:val="single" w:sz="8" w:color="A1AFC2"/>
            </w:tcBorders>
          </w:tcPr>
          <w:p>
            <w:pPr>
              <w:spacing w:after="0" w:line="20" w:lineRule="exact"/>
              <w:rPr>
                <w:sz w:val="1"/>
                <w:szCs w:val="1"/>
                <w:color w:val="auto"/>
              </w:rPr>
            </w:pPr>
          </w:p>
        </w:tc>
        <w:tc>
          <w:tcPr>
            <w:tcW w:w="1320" w:type="dxa"/>
            <w:vAlign w:val="bottom"/>
            <w:tcBorders>
              <w:bottom w:val="single" w:sz="8" w:color="A1AFC2"/>
            </w:tcBorders>
          </w:tcPr>
          <w:p>
            <w:pPr>
              <w:spacing w:after="0" w:line="20" w:lineRule="exact"/>
              <w:rPr>
                <w:sz w:val="1"/>
                <w:szCs w:val="1"/>
                <w:color w:val="auto"/>
              </w:rPr>
            </w:pPr>
          </w:p>
        </w:tc>
        <w:tc>
          <w:tcPr>
            <w:tcW w:w="700" w:type="dxa"/>
            <w:vAlign w:val="bottom"/>
            <w:tcBorders>
              <w:bottom w:val="single" w:sz="8" w:color="A1AFC2"/>
            </w:tcBorders>
          </w:tcPr>
          <w:p>
            <w:pPr>
              <w:spacing w:after="0" w:line="20" w:lineRule="exact"/>
              <w:rPr>
                <w:sz w:val="1"/>
                <w:szCs w:val="1"/>
                <w:color w:val="auto"/>
              </w:rPr>
            </w:pPr>
          </w:p>
        </w:tc>
        <w:tc>
          <w:tcPr>
            <w:tcW w:w="1060" w:type="dxa"/>
            <w:vAlign w:val="bottom"/>
            <w:tcBorders>
              <w:bottom w:val="single" w:sz="8" w:color="A1AFC2"/>
            </w:tcBorders>
          </w:tcPr>
          <w:p>
            <w:pPr>
              <w:spacing w:after="0" w:line="20" w:lineRule="exact"/>
              <w:rPr>
                <w:sz w:val="1"/>
                <w:szCs w:val="1"/>
                <w:color w:val="auto"/>
              </w:rPr>
            </w:pPr>
          </w:p>
        </w:tc>
        <w:tc>
          <w:tcPr>
            <w:tcW w:w="940" w:type="dxa"/>
            <w:vAlign w:val="bottom"/>
            <w:tcBorders>
              <w:bottom w:val="single" w:sz="8" w:color="A1AFC2"/>
            </w:tcBorders>
          </w:tcPr>
          <w:p>
            <w:pPr>
              <w:spacing w:after="0" w:line="20" w:lineRule="exact"/>
              <w:rPr>
                <w:sz w:val="1"/>
                <w:szCs w:val="1"/>
                <w:color w:val="auto"/>
              </w:rPr>
            </w:pPr>
          </w:p>
        </w:tc>
        <w:tc>
          <w:tcPr>
            <w:tcW w:w="1240" w:type="dxa"/>
            <w:vAlign w:val="bottom"/>
            <w:tcBorders>
              <w:bottom w:val="single" w:sz="8" w:color="A1AFC2"/>
            </w:tcBorders>
          </w:tcPr>
          <w:p>
            <w:pPr>
              <w:spacing w:after="0" w:line="20" w:lineRule="exact"/>
              <w:rPr>
                <w:sz w:val="1"/>
                <w:szCs w:val="1"/>
                <w:color w:val="auto"/>
              </w:rPr>
            </w:pPr>
          </w:p>
        </w:tc>
        <w:tc>
          <w:tcPr>
            <w:tcW w:w="1140" w:type="dxa"/>
            <w:vAlign w:val="bottom"/>
            <w:tcBorders>
              <w:bottom w:val="single" w:sz="8" w:color="A1AF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rPr>
              <w:t>Christopher A. Simon</w:t>
            </w:r>
          </w:p>
        </w:tc>
        <w:tc>
          <w:tcPr>
            <w:tcW w:w="48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4"/>
              </w:rPr>
              <w:t>61</w:t>
            </w:r>
          </w:p>
        </w:tc>
        <w:tc>
          <w:tcPr>
            <w:tcW w:w="132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7"/>
              </w:rPr>
              <w:t>Class III — 2026</w:t>
            </w:r>
          </w:p>
        </w:tc>
        <w:tc>
          <w:tcPr>
            <w:tcW w:w="70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2024</w:t>
            </w:r>
          </w:p>
        </w:tc>
        <w:tc>
          <w:tcPr>
            <w:tcW w:w="106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A1AFC2"/>
            </w:tcBorders>
          </w:tcPr>
          <w:p>
            <w:pPr>
              <w:spacing w:after="0"/>
              <w:rPr>
                <w:sz w:val="23"/>
                <w:szCs w:val="23"/>
                <w:color w:val="auto"/>
              </w:rPr>
            </w:pPr>
          </w:p>
        </w:tc>
        <w:tc>
          <w:tcPr>
            <w:tcW w:w="1240" w:type="dxa"/>
            <w:vAlign w:val="bottom"/>
            <w:tcBorders>
              <w:bottom w:val="single" w:sz="8" w:color="A1AFC2"/>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tcBorders>
              <w:bottom w:val="single" w:sz="8" w:color="A1AFC2"/>
            </w:tcBorders>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840" w:type="dxa"/>
            <w:vAlign w:val="bottom"/>
            <w:tcBorders>
              <w:bottom w:val="single" w:sz="8" w:color="A1AFC2"/>
            </w:tcBorders>
          </w:tcPr>
          <w:p>
            <w:pPr>
              <w:ind w:left="100"/>
              <w:spacing w:after="0"/>
              <w:rPr>
                <w:sz w:val="20"/>
                <w:szCs w:val="20"/>
                <w:color w:val="auto"/>
              </w:rPr>
            </w:pPr>
            <w:r>
              <w:rPr>
                <w:rFonts w:ascii="Arial" w:cs="Arial" w:eastAsia="Arial" w:hAnsi="Arial"/>
                <w:sz w:val="17"/>
                <w:szCs w:val="17"/>
                <w:color w:val="auto"/>
              </w:rPr>
              <w:t>Constantine S. Mihas</w:t>
            </w:r>
          </w:p>
        </w:tc>
        <w:tc>
          <w:tcPr>
            <w:tcW w:w="48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4"/>
              </w:rPr>
              <w:t>58</w:t>
            </w:r>
          </w:p>
        </w:tc>
        <w:tc>
          <w:tcPr>
            <w:tcW w:w="132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6"/>
              </w:rPr>
              <w:t>Class I — 2027</w:t>
            </w:r>
          </w:p>
        </w:tc>
        <w:tc>
          <w:tcPr>
            <w:tcW w:w="70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rPr>
              <w:t>2015</w:t>
            </w:r>
          </w:p>
        </w:tc>
        <w:tc>
          <w:tcPr>
            <w:tcW w:w="1060" w:type="dxa"/>
            <w:vAlign w:val="bottom"/>
            <w:tcBorders>
              <w:bottom w:val="single" w:sz="8" w:color="A1AFC2"/>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A1AFC2"/>
            </w:tcBorders>
          </w:tcPr>
          <w:p>
            <w:pPr>
              <w:spacing w:after="0"/>
              <w:rPr>
                <w:sz w:val="23"/>
                <w:szCs w:val="23"/>
                <w:color w:val="auto"/>
              </w:rPr>
            </w:pPr>
          </w:p>
        </w:tc>
        <w:tc>
          <w:tcPr>
            <w:tcW w:w="1240" w:type="dxa"/>
            <w:vAlign w:val="bottom"/>
            <w:tcBorders>
              <w:bottom w:val="single" w:sz="8" w:color="A1AFC2"/>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1140" w:type="dxa"/>
            <w:vAlign w:val="bottom"/>
            <w:tcBorders>
              <w:bottom w:val="single" w:sz="8" w:color="A1AFC2"/>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1840" w:type="dxa"/>
            <w:vAlign w:val="bottom"/>
          </w:tcPr>
          <w:p>
            <w:pPr>
              <w:ind w:left="100"/>
              <w:spacing w:after="0"/>
              <w:rPr>
                <w:sz w:val="20"/>
                <w:szCs w:val="20"/>
                <w:color w:val="auto"/>
              </w:rPr>
            </w:pPr>
            <w:r>
              <w:rPr>
                <w:rFonts w:ascii="Arial" w:cs="Arial" w:eastAsia="Arial" w:hAnsi="Arial"/>
                <w:sz w:val="17"/>
                <w:szCs w:val="17"/>
                <w:color w:val="auto"/>
              </w:rPr>
              <w:t>James C. Neary</w:t>
            </w:r>
          </w:p>
        </w:tc>
        <w:tc>
          <w:tcPr>
            <w:tcW w:w="48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1320" w:type="dxa"/>
            <w:vAlign w:val="bottom"/>
          </w:tcPr>
          <w:p>
            <w:pPr>
              <w:jc w:val="center"/>
              <w:spacing w:after="0"/>
              <w:rPr>
                <w:sz w:val="20"/>
                <w:szCs w:val="20"/>
                <w:color w:val="auto"/>
              </w:rPr>
            </w:pPr>
            <w:r>
              <w:rPr>
                <w:rFonts w:ascii="Arial" w:cs="Arial" w:eastAsia="Arial" w:hAnsi="Arial"/>
                <w:sz w:val="17"/>
                <w:szCs w:val="17"/>
                <w:color w:val="auto"/>
                <w:w w:val="96"/>
              </w:rPr>
              <w:t>Class I — 2027</w:t>
            </w:r>
          </w:p>
        </w:tc>
        <w:tc>
          <w:tcPr>
            <w:tcW w:w="700" w:type="dxa"/>
            <w:vAlign w:val="bottom"/>
          </w:tcPr>
          <w:p>
            <w:pPr>
              <w:jc w:val="center"/>
              <w:spacing w:after="0"/>
              <w:rPr>
                <w:sz w:val="20"/>
                <w:szCs w:val="20"/>
                <w:color w:val="auto"/>
              </w:rPr>
            </w:pPr>
            <w:r>
              <w:rPr>
                <w:rFonts w:ascii="Arial" w:cs="Arial" w:eastAsia="Arial" w:hAnsi="Arial"/>
                <w:sz w:val="17"/>
                <w:szCs w:val="17"/>
                <w:color w:val="auto"/>
              </w:rPr>
              <w:t>2015</w:t>
            </w:r>
          </w:p>
        </w:tc>
        <w:tc>
          <w:tcPr>
            <w:tcW w:w="1060" w:type="dxa"/>
            <w:vAlign w:val="bottom"/>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7"/>
                <w:szCs w:val="17"/>
                <w:color w:val="auto"/>
              </w:rPr>
              <w:t>C</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1AFC2"/>
            </w:tcBorders>
          </w:tcPr>
          <w:p>
            <w:pPr>
              <w:spacing w:after="0" w:line="20" w:lineRule="exact"/>
              <w:rPr>
                <w:sz w:val="1"/>
                <w:szCs w:val="1"/>
                <w:color w:val="auto"/>
              </w:rPr>
            </w:pPr>
          </w:p>
        </w:tc>
        <w:tc>
          <w:tcPr>
            <w:tcW w:w="480" w:type="dxa"/>
            <w:vAlign w:val="bottom"/>
            <w:tcBorders>
              <w:bottom w:val="single" w:sz="8" w:color="A1AFC2"/>
            </w:tcBorders>
          </w:tcPr>
          <w:p>
            <w:pPr>
              <w:spacing w:after="0" w:line="20" w:lineRule="exact"/>
              <w:rPr>
                <w:sz w:val="1"/>
                <w:szCs w:val="1"/>
                <w:color w:val="auto"/>
              </w:rPr>
            </w:pPr>
          </w:p>
        </w:tc>
        <w:tc>
          <w:tcPr>
            <w:tcW w:w="1320" w:type="dxa"/>
            <w:vAlign w:val="bottom"/>
            <w:tcBorders>
              <w:bottom w:val="single" w:sz="8" w:color="A1AFC2"/>
            </w:tcBorders>
          </w:tcPr>
          <w:p>
            <w:pPr>
              <w:spacing w:after="0" w:line="20" w:lineRule="exact"/>
              <w:rPr>
                <w:sz w:val="1"/>
                <w:szCs w:val="1"/>
                <w:color w:val="auto"/>
              </w:rPr>
            </w:pPr>
          </w:p>
        </w:tc>
        <w:tc>
          <w:tcPr>
            <w:tcW w:w="700" w:type="dxa"/>
            <w:vAlign w:val="bottom"/>
            <w:tcBorders>
              <w:bottom w:val="single" w:sz="8" w:color="A1AFC2"/>
            </w:tcBorders>
          </w:tcPr>
          <w:p>
            <w:pPr>
              <w:spacing w:after="0" w:line="20" w:lineRule="exact"/>
              <w:rPr>
                <w:sz w:val="1"/>
                <w:szCs w:val="1"/>
                <w:color w:val="auto"/>
              </w:rPr>
            </w:pPr>
          </w:p>
        </w:tc>
        <w:tc>
          <w:tcPr>
            <w:tcW w:w="1060" w:type="dxa"/>
            <w:vAlign w:val="bottom"/>
            <w:tcBorders>
              <w:bottom w:val="single" w:sz="8" w:color="A1AFC2"/>
            </w:tcBorders>
          </w:tcPr>
          <w:p>
            <w:pPr>
              <w:spacing w:after="0" w:line="20" w:lineRule="exact"/>
              <w:rPr>
                <w:sz w:val="1"/>
                <w:szCs w:val="1"/>
                <w:color w:val="auto"/>
              </w:rPr>
            </w:pPr>
          </w:p>
        </w:tc>
        <w:tc>
          <w:tcPr>
            <w:tcW w:w="940" w:type="dxa"/>
            <w:vAlign w:val="bottom"/>
            <w:tcBorders>
              <w:bottom w:val="single" w:sz="8" w:color="A1AFC2"/>
            </w:tcBorders>
          </w:tcPr>
          <w:p>
            <w:pPr>
              <w:spacing w:after="0" w:line="20" w:lineRule="exact"/>
              <w:rPr>
                <w:sz w:val="1"/>
                <w:szCs w:val="1"/>
                <w:color w:val="auto"/>
              </w:rPr>
            </w:pPr>
          </w:p>
        </w:tc>
        <w:tc>
          <w:tcPr>
            <w:tcW w:w="1240" w:type="dxa"/>
            <w:vAlign w:val="bottom"/>
            <w:tcBorders>
              <w:bottom w:val="single" w:sz="8" w:color="A1AFC2"/>
            </w:tcBorders>
          </w:tcPr>
          <w:p>
            <w:pPr>
              <w:spacing w:after="0" w:line="20" w:lineRule="exact"/>
              <w:rPr>
                <w:sz w:val="1"/>
                <w:szCs w:val="1"/>
                <w:color w:val="auto"/>
              </w:rPr>
            </w:pPr>
          </w:p>
        </w:tc>
        <w:tc>
          <w:tcPr>
            <w:tcW w:w="1140" w:type="dxa"/>
            <w:vAlign w:val="bottom"/>
            <w:tcBorders>
              <w:bottom w:val="single" w:sz="8" w:color="A1AF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100"/>
              <w:spacing w:after="0"/>
              <w:rPr>
                <w:sz w:val="20"/>
                <w:szCs w:val="20"/>
                <w:color w:val="auto"/>
              </w:rPr>
            </w:pPr>
            <w:r>
              <w:rPr>
                <w:rFonts w:ascii="Arial" w:cs="Arial" w:eastAsia="Arial" w:hAnsi="Arial"/>
                <w:sz w:val="17"/>
                <w:szCs w:val="17"/>
                <w:color w:val="auto"/>
              </w:rPr>
              <w:t>Michael B. Petras, Jr.</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94"/>
              </w:rPr>
              <w:t>57</w:t>
            </w:r>
          </w:p>
        </w:tc>
        <w:tc>
          <w:tcPr>
            <w:tcW w:w="1320" w:type="dxa"/>
            <w:vAlign w:val="bottom"/>
            <w:vMerge w:val="restart"/>
          </w:tcPr>
          <w:p>
            <w:pPr>
              <w:jc w:val="center"/>
              <w:spacing w:after="0"/>
              <w:rPr>
                <w:sz w:val="20"/>
                <w:szCs w:val="20"/>
                <w:color w:val="auto"/>
              </w:rPr>
            </w:pPr>
            <w:r>
              <w:rPr>
                <w:rFonts w:ascii="Arial" w:cs="Arial" w:eastAsia="Arial" w:hAnsi="Arial"/>
                <w:sz w:val="17"/>
                <w:szCs w:val="17"/>
                <w:color w:val="auto"/>
                <w:w w:val="96"/>
              </w:rPr>
              <w:t>Class I — 2027</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2016</w:t>
            </w:r>
          </w:p>
        </w:tc>
        <w:tc>
          <w:tcPr>
            <w:tcW w:w="1060" w:type="dxa"/>
            <w:vAlign w:val="bottom"/>
            <w:vMerge w:val="restart"/>
          </w:tcPr>
          <w:p>
            <w:pPr>
              <w:jc w:val="center"/>
              <w:spacing w:after="0"/>
              <w:rPr>
                <w:sz w:val="20"/>
                <w:szCs w:val="20"/>
                <w:color w:val="auto"/>
              </w:rPr>
            </w:pPr>
            <w:r>
              <w:rPr>
                <w:rFonts w:ascii="Arial" w:cs="Arial" w:eastAsia="Arial" w:hAnsi="Arial"/>
                <w:sz w:val="17"/>
                <w:szCs w:val="17"/>
                <w:color w:val="auto"/>
                <w:w w:val="91"/>
              </w:rPr>
              <w:t>No</w:t>
            </w:r>
          </w:p>
        </w:tc>
        <w:tc>
          <w:tcPr>
            <w:tcW w:w="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1840" w:type="dxa"/>
            <w:vAlign w:val="bottom"/>
            <w:vMerge w:val="restart"/>
          </w:tcPr>
          <w:p>
            <w:pPr>
              <w:ind w:left="220"/>
              <w:spacing w:after="0"/>
              <w:rPr>
                <w:sz w:val="20"/>
                <w:szCs w:val="20"/>
                <w:color w:val="auto"/>
              </w:rPr>
            </w:pPr>
            <w:r>
              <w:rPr>
                <w:rFonts w:ascii="Arial" w:cs="Arial" w:eastAsia="Arial" w:hAnsi="Arial"/>
                <w:sz w:val="17"/>
                <w:szCs w:val="17"/>
                <w:i w:val="1"/>
                <w:iCs w:val="1"/>
                <w:color w:val="auto"/>
              </w:rPr>
              <w:t>Chair and CEO</w:t>
            </w:r>
          </w:p>
        </w:tc>
        <w:tc>
          <w:tcPr>
            <w:tcW w:w="4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8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840" w:type="dxa"/>
            <w:vAlign w:val="bottom"/>
            <w:tcBorders>
              <w:bottom w:val="single" w:sz="8" w:color="A1AFC2"/>
            </w:tcBorders>
          </w:tcPr>
          <w:p>
            <w:pPr>
              <w:spacing w:after="0" w:line="20" w:lineRule="exact"/>
              <w:rPr>
                <w:sz w:val="1"/>
                <w:szCs w:val="1"/>
                <w:color w:val="auto"/>
              </w:rPr>
            </w:pPr>
          </w:p>
        </w:tc>
        <w:tc>
          <w:tcPr>
            <w:tcW w:w="480" w:type="dxa"/>
            <w:vAlign w:val="bottom"/>
            <w:tcBorders>
              <w:bottom w:val="single" w:sz="8" w:color="A1AFC2"/>
            </w:tcBorders>
          </w:tcPr>
          <w:p>
            <w:pPr>
              <w:spacing w:after="0" w:line="20" w:lineRule="exact"/>
              <w:rPr>
                <w:sz w:val="1"/>
                <w:szCs w:val="1"/>
                <w:color w:val="auto"/>
              </w:rPr>
            </w:pPr>
          </w:p>
        </w:tc>
        <w:tc>
          <w:tcPr>
            <w:tcW w:w="1320" w:type="dxa"/>
            <w:vAlign w:val="bottom"/>
            <w:tcBorders>
              <w:bottom w:val="single" w:sz="8" w:color="A1AFC2"/>
            </w:tcBorders>
          </w:tcPr>
          <w:p>
            <w:pPr>
              <w:spacing w:after="0" w:line="20" w:lineRule="exact"/>
              <w:rPr>
                <w:sz w:val="1"/>
                <w:szCs w:val="1"/>
                <w:color w:val="auto"/>
              </w:rPr>
            </w:pPr>
          </w:p>
        </w:tc>
        <w:tc>
          <w:tcPr>
            <w:tcW w:w="700" w:type="dxa"/>
            <w:vAlign w:val="bottom"/>
            <w:tcBorders>
              <w:bottom w:val="single" w:sz="8" w:color="A1AFC2"/>
            </w:tcBorders>
          </w:tcPr>
          <w:p>
            <w:pPr>
              <w:spacing w:after="0" w:line="20" w:lineRule="exact"/>
              <w:rPr>
                <w:sz w:val="1"/>
                <w:szCs w:val="1"/>
                <w:color w:val="auto"/>
              </w:rPr>
            </w:pPr>
          </w:p>
        </w:tc>
        <w:tc>
          <w:tcPr>
            <w:tcW w:w="1060" w:type="dxa"/>
            <w:vAlign w:val="bottom"/>
            <w:tcBorders>
              <w:bottom w:val="single" w:sz="8" w:color="A1AFC2"/>
            </w:tcBorders>
          </w:tcPr>
          <w:p>
            <w:pPr>
              <w:spacing w:after="0" w:line="20" w:lineRule="exact"/>
              <w:rPr>
                <w:sz w:val="1"/>
                <w:szCs w:val="1"/>
                <w:color w:val="auto"/>
              </w:rPr>
            </w:pPr>
          </w:p>
        </w:tc>
        <w:tc>
          <w:tcPr>
            <w:tcW w:w="940" w:type="dxa"/>
            <w:vAlign w:val="bottom"/>
            <w:tcBorders>
              <w:bottom w:val="single" w:sz="8" w:color="A1AFC2"/>
            </w:tcBorders>
          </w:tcPr>
          <w:p>
            <w:pPr>
              <w:spacing w:after="0" w:line="20" w:lineRule="exact"/>
              <w:rPr>
                <w:sz w:val="1"/>
                <w:szCs w:val="1"/>
                <w:color w:val="auto"/>
              </w:rPr>
            </w:pPr>
          </w:p>
        </w:tc>
        <w:tc>
          <w:tcPr>
            <w:tcW w:w="1240" w:type="dxa"/>
            <w:vAlign w:val="bottom"/>
            <w:tcBorders>
              <w:bottom w:val="single" w:sz="8" w:color="A1AFC2"/>
            </w:tcBorders>
          </w:tcPr>
          <w:p>
            <w:pPr>
              <w:spacing w:after="0" w:line="20" w:lineRule="exact"/>
              <w:rPr>
                <w:sz w:val="1"/>
                <w:szCs w:val="1"/>
                <w:color w:val="auto"/>
              </w:rPr>
            </w:pPr>
          </w:p>
        </w:tc>
        <w:tc>
          <w:tcPr>
            <w:tcW w:w="1140" w:type="dxa"/>
            <w:vAlign w:val="bottom"/>
            <w:tcBorders>
              <w:bottom w:val="single" w:sz="8" w:color="A1AFC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6"/>
        </w:trPr>
        <w:tc>
          <w:tcPr>
            <w:tcW w:w="1840" w:type="dxa"/>
            <w:vAlign w:val="bottom"/>
            <w:tcBorders>
              <w:bottom w:val="single" w:sz="8" w:color="435F86"/>
            </w:tcBorders>
          </w:tcPr>
          <w:p>
            <w:pPr>
              <w:ind w:left="100"/>
              <w:spacing w:after="0"/>
              <w:rPr>
                <w:sz w:val="20"/>
                <w:szCs w:val="20"/>
                <w:color w:val="auto"/>
              </w:rPr>
            </w:pPr>
            <w:r>
              <w:rPr>
                <w:rFonts w:ascii="Arial" w:cs="Arial" w:eastAsia="Arial" w:hAnsi="Arial"/>
                <w:sz w:val="17"/>
                <w:szCs w:val="17"/>
                <w:color w:val="auto"/>
              </w:rPr>
              <w:t>David E. Wheadon</w:t>
            </w:r>
          </w:p>
        </w:tc>
        <w:tc>
          <w:tcPr>
            <w:tcW w:w="480" w:type="dxa"/>
            <w:vAlign w:val="bottom"/>
            <w:tcBorders>
              <w:bottom w:val="single" w:sz="8" w:color="435F86"/>
            </w:tcBorders>
          </w:tcPr>
          <w:p>
            <w:pPr>
              <w:jc w:val="center"/>
              <w:spacing w:after="0"/>
              <w:rPr>
                <w:sz w:val="20"/>
                <w:szCs w:val="20"/>
                <w:color w:val="auto"/>
              </w:rPr>
            </w:pPr>
            <w:r>
              <w:rPr>
                <w:rFonts w:ascii="Arial" w:cs="Arial" w:eastAsia="Arial" w:hAnsi="Arial"/>
                <w:sz w:val="17"/>
                <w:szCs w:val="17"/>
                <w:color w:val="auto"/>
                <w:w w:val="94"/>
              </w:rPr>
              <w:t>67</w:t>
            </w:r>
          </w:p>
        </w:tc>
        <w:tc>
          <w:tcPr>
            <w:tcW w:w="1320" w:type="dxa"/>
            <w:vAlign w:val="bottom"/>
            <w:tcBorders>
              <w:bottom w:val="single" w:sz="8" w:color="435F86"/>
            </w:tcBorders>
          </w:tcPr>
          <w:p>
            <w:pPr>
              <w:jc w:val="center"/>
              <w:spacing w:after="0"/>
              <w:rPr>
                <w:sz w:val="20"/>
                <w:szCs w:val="20"/>
                <w:color w:val="auto"/>
              </w:rPr>
            </w:pPr>
            <w:r>
              <w:rPr>
                <w:rFonts w:ascii="Arial" w:cs="Arial" w:eastAsia="Arial" w:hAnsi="Arial"/>
                <w:sz w:val="17"/>
                <w:szCs w:val="17"/>
                <w:color w:val="auto"/>
                <w:w w:val="96"/>
              </w:rPr>
              <w:t>Class I — 2027</w:t>
            </w:r>
          </w:p>
        </w:tc>
        <w:tc>
          <w:tcPr>
            <w:tcW w:w="700" w:type="dxa"/>
            <w:vAlign w:val="bottom"/>
            <w:tcBorders>
              <w:bottom w:val="single" w:sz="8" w:color="435F86"/>
            </w:tcBorders>
          </w:tcPr>
          <w:p>
            <w:pPr>
              <w:jc w:val="center"/>
              <w:spacing w:after="0"/>
              <w:rPr>
                <w:sz w:val="20"/>
                <w:szCs w:val="20"/>
                <w:color w:val="auto"/>
              </w:rPr>
            </w:pPr>
            <w:r>
              <w:rPr>
                <w:rFonts w:ascii="Arial" w:cs="Arial" w:eastAsia="Arial" w:hAnsi="Arial"/>
                <w:sz w:val="17"/>
                <w:szCs w:val="17"/>
                <w:color w:val="auto"/>
              </w:rPr>
              <w:t>2021</w:t>
            </w:r>
          </w:p>
        </w:tc>
        <w:tc>
          <w:tcPr>
            <w:tcW w:w="1060" w:type="dxa"/>
            <w:vAlign w:val="bottom"/>
            <w:tcBorders>
              <w:bottom w:val="single" w:sz="8" w:color="435F86"/>
            </w:tcBorders>
          </w:tcPr>
          <w:p>
            <w:pPr>
              <w:jc w:val="center"/>
              <w:spacing w:after="0"/>
              <w:rPr>
                <w:sz w:val="20"/>
                <w:szCs w:val="20"/>
                <w:color w:val="auto"/>
              </w:rPr>
            </w:pPr>
            <w:r>
              <w:rPr>
                <w:rFonts w:ascii="Arial" w:cs="Arial" w:eastAsia="Arial" w:hAnsi="Arial"/>
                <w:sz w:val="17"/>
                <w:szCs w:val="17"/>
                <w:color w:val="auto"/>
                <w:w w:val="95"/>
              </w:rPr>
              <w:t>Yes</w:t>
            </w:r>
          </w:p>
        </w:tc>
        <w:tc>
          <w:tcPr>
            <w:tcW w:w="940" w:type="dxa"/>
            <w:vAlign w:val="bottom"/>
            <w:tcBorders>
              <w:bottom w:val="single" w:sz="8" w:color="435F86"/>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40" w:type="dxa"/>
            <w:vAlign w:val="bottom"/>
            <w:tcBorders>
              <w:bottom w:val="single" w:sz="8" w:color="435F86"/>
            </w:tcBorders>
          </w:tcPr>
          <w:p>
            <w:pPr>
              <w:spacing w:after="0"/>
              <w:rPr>
                <w:sz w:val="23"/>
                <w:szCs w:val="23"/>
                <w:color w:val="auto"/>
              </w:rPr>
            </w:pPr>
          </w:p>
        </w:tc>
        <w:tc>
          <w:tcPr>
            <w:tcW w:w="1140" w:type="dxa"/>
            <w:vAlign w:val="bottom"/>
            <w:tcBorders>
              <w:bottom w:val="single" w:sz="8" w:color="435F86"/>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325"/>
        </w:trPr>
        <w:tc>
          <w:tcPr>
            <w:tcW w:w="7580" w:type="dxa"/>
            <w:vAlign w:val="bottom"/>
            <w:gridSpan w:val="7"/>
          </w:tcPr>
          <w:p>
            <w:pPr>
              <w:spacing w:after="0"/>
              <w:rPr>
                <w:sz w:val="20"/>
                <w:szCs w:val="20"/>
                <w:color w:val="auto"/>
              </w:rPr>
            </w:pPr>
            <w:r>
              <w:rPr>
                <w:rFonts w:ascii="Arial" w:cs="Arial" w:eastAsia="Arial" w:hAnsi="Arial"/>
                <w:sz w:val="17"/>
                <w:szCs w:val="17"/>
                <w:color w:val="auto"/>
              </w:rPr>
              <w:t>(1)  Year in which director began service as a Company director or as a member of Topco</w:t>
            </w:r>
          </w:p>
        </w:tc>
        <w:tc>
          <w:tcPr>
            <w:tcW w:w="1140" w:type="dxa"/>
            <w:vAlign w:val="bottom"/>
          </w:tcPr>
          <w:p>
            <w:pPr>
              <w:ind w:left="260"/>
              <w:spacing w:after="0" w:line="196" w:lineRule="exact"/>
              <w:rPr>
                <w:sz w:val="20"/>
                <w:szCs w:val="20"/>
                <w:color w:val="auto"/>
              </w:rPr>
            </w:pPr>
            <w:r>
              <w:rPr>
                <w:rFonts w:ascii="MS PGothic" w:cs="MS PGothic" w:eastAsia="MS PGothic" w:hAnsi="MS PGothic"/>
                <w:sz w:val="17"/>
                <w:szCs w:val="17"/>
                <w:color w:val="auto"/>
                <w:w w:val="98"/>
              </w:rPr>
              <w:t>✓</w:t>
            </w:r>
            <w:r>
              <w:rPr>
                <w:rFonts w:ascii="Arial" w:cs="Arial" w:eastAsia="Arial" w:hAnsi="Arial"/>
                <w:sz w:val="17"/>
                <w:szCs w:val="17"/>
                <w:b w:val="1"/>
                <w:bCs w:val="1"/>
                <w:color w:val="auto"/>
                <w:w w:val="98"/>
              </w:rPr>
              <w:t xml:space="preserve"> Member</w:t>
            </w:r>
          </w:p>
        </w:tc>
        <w:tc>
          <w:tcPr>
            <w:tcW w:w="0" w:type="dxa"/>
            <w:vAlign w:val="bottom"/>
          </w:tcPr>
          <w:p>
            <w:pPr>
              <w:spacing w:after="0"/>
              <w:rPr>
                <w:sz w:val="1"/>
                <w:szCs w:val="1"/>
                <w:color w:val="auto"/>
              </w:rPr>
            </w:pPr>
          </w:p>
        </w:tc>
      </w:tr>
      <w:tr>
        <w:trPr>
          <w:trHeight w:val="239"/>
        </w:trPr>
        <w:tc>
          <w:tcPr>
            <w:tcW w:w="3640" w:type="dxa"/>
            <w:vAlign w:val="bottom"/>
            <w:gridSpan w:val="3"/>
          </w:tcPr>
          <w:p>
            <w:pPr>
              <w:ind w:left="340"/>
              <w:spacing w:after="0"/>
              <w:rPr>
                <w:sz w:val="20"/>
                <w:szCs w:val="20"/>
                <w:color w:val="auto"/>
              </w:rPr>
            </w:pPr>
            <w:r>
              <w:rPr>
                <w:rFonts w:ascii="Arial" w:cs="Arial" w:eastAsia="Arial" w:hAnsi="Arial"/>
                <w:sz w:val="17"/>
                <w:szCs w:val="17"/>
                <w:color w:val="auto"/>
              </w:rPr>
              <w:t>Parent’s Board of Managers.</w:t>
            </w: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80" w:type="dxa"/>
            <w:vAlign w:val="bottom"/>
            <w:gridSpan w:val="2"/>
          </w:tcPr>
          <w:p>
            <w:pPr>
              <w:ind w:left="880"/>
              <w:spacing w:after="0"/>
              <w:rPr>
                <w:sz w:val="20"/>
                <w:szCs w:val="20"/>
                <w:color w:val="auto"/>
              </w:rPr>
            </w:pPr>
            <w:r>
              <w:rPr>
                <w:rFonts w:ascii="Arial" w:cs="Arial" w:eastAsia="Arial" w:hAnsi="Arial"/>
                <w:sz w:val="17"/>
                <w:szCs w:val="17"/>
                <w:b w:val="1"/>
                <w:bCs w:val="1"/>
                <w:color w:val="auto"/>
                <w:w w:val="96"/>
              </w:rPr>
              <w:t>C Committee Chair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Board Skills, Experience and Attributes</w:t>
      </w:r>
    </w:p>
    <w:p>
      <w:pPr>
        <w:spacing w:after="0" w:line="215" w:lineRule="exact"/>
        <w:rPr>
          <w:sz w:val="20"/>
          <w:szCs w:val="20"/>
          <w:color w:val="auto"/>
        </w:rPr>
      </w:pPr>
    </w:p>
    <w:p>
      <w:pPr>
        <w:ind w:left="780" w:right="800"/>
        <w:spacing w:after="0" w:line="260" w:lineRule="auto"/>
        <w:rPr>
          <w:sz w:val="20"/>
          <w:szCs w:val="20"/>
          <w:color w:val="auto"/>
        </w:rPr>
      </w:pPr>
      <w:r>
        <w:rPr>
          <w:rFonts w:ascii="Arial" w:cs="Arial" w:eastAsia="Arial" w:hAnsi="Arial"/>
          <w:sz w:val="20"/>
          <w:szCs w:val="20"/>
          <w:color w:val="auto"/>
        </w:rPr>
        <w:t>Our Board comprises a group of individuals with a variety of skills, experience and attributes, which provides us with a wide range of perspectives and judgment necessary to guide our strategies, monitor their execution and advance the interests of our shareholders. As described in further detail in “Director Nominee Criteria and Process,” our NCG Committee regularly evaluates the composition of our Board. The table below summarizes several of the key characteristics of each of our directors relevant to their Board service. The table is intended as a high-level summary and not an exhaustive list of each director’s skills or contributions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936625</wp:posOffset>
            </wp:positionV>
            <wp:extent cx="55384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6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40" w:type="dxa"/>
            <w:vAlign w:val="bottom"/>
          </w:tcPr>
          <w:p>
            <w:pPr>
              <w:jc w:val="right"/>
              <w:ind w:right="5013"/>
              <w:spacing w:after="0"/>
              <w:rPr>
                <w:sz w:val="20"/>
                <w:szCs w:val="20"/>
                <w:color w:val="auto"/>
              </w:rPr>
            </w:pPr>
            <w:r>
              <w:rPr>
                <w:rFonts w:ascii="Arial" w:cs="Arial" w:eastAsia="Arial" w:hAnsi="Arial"/>
                <w:sz w:val="17"/>
                <w:szCs w:val="17"/>
                <w:color w:val="auto"/>
              </w:rPr>
              <w:t>8</w:t>
            </w:r>
          </w:p>
        </w:tc>
      </w:tr>
      <w:tr>
        <w:trPr>
          <w:trHeight w:val="93"/>
        </w:trPr>
        <w:tc>
          <w:tcPr>
            <w:tcW w:w="4160" w:type="dxa"/>
            <w:vAlign w:val="bottom"/>
            <w:tcBorders>
              <w:bottom w:val="single" w:sz="8" w:color="9A9A9A"/>
            </w:tcBorders>
          </w:tcPr>
          <w:p>
            <w:pPr>
              <w:spacing w:after="0"/>
              <w:rPr>
                <w:sz w:val="8"/>
                <w:szCs w:val="8"/>
                <w:color w:val="auto"/>
              </w:rPr>
            </w:pPr>
          </w:p>
        </w:tc>
        <w:tc>
          <w:tcPr>
            <w:tcW w:w="6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Board Composition, Nominations Process and Director Qualifications</w:t>
      </w:r>
    </w:p>
    <w:p>
      <w:pPr>
        <w:spacing w:after="0" w:line="59" w:lineRule="exact"/>
        <w:rPr>
          <w:sz w:val="20"/>
          <w:szCs w:val="20"/>
          <w:color w:val="auto"/>
        </w:rPr>
      </w:pPr>
    </w:p>
    <w:p>
      <w:pPr>
        <w:ind w:left="7020"/>
        <w:spacing w:after="0"/>
        <w:rPr>
          <w:sz w:val="20"/>
          <w:szCs w:val="20"/>
          <w:color w:val="auto"/>
        </w:rPr>
      </w:pPr>
      <w:r>
        <w:rPr>
          <w:rFonts w:ascii="Arial" w:cs="Arial" w:eastAsia="Arial" w:hAnsi="Arial"/>
          <w:sz w:val="13"/>
          <w:szCs w:val="13"/>
          <w:b w:val="1"/>
          <w:bCs w:val="1"/>
          <w:color w:val="auto"/>
        </w:rPr>
        <w:t>Board Skills, Experience and Attributes</w:t>
      </w:r>
    </w:p>
    <w:p>
      <w:pPr>
        <w:spacing w:after="0" w:line="335" w:lineRule="exact"/>
        <w:rPr>
          <w:sz w:val="20"/>
          <w:szCs w:val="20"/>
          <w:color w:val="auto"/>
        </w:rPr>
      </w:pPr>
    </w:p>
    <w:tbl>
      <w:tblPr>
        <w:tblLayout w:type="fixed"/>
        <w:tblInd w:w="780" w:type="dxa"/>
        <w:tblCellMar>
          <w:top w:w="0" w:type="dxa"/>
          <w:left w:w="0" w:type="dxa"/>
          <w:bottom w:w="0" w:type="dxa"/>
          <w:right w:w="0" w:type="dxa"/>
        </w:tblCellMar>
      </w:tblPr>
      <w:tr>
        <w:trPr>
          <w:trHeight w:val="143"/>
        </w:trPr>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435F86"/>
                <w:w w:val="97"/>
              </w:rPr>
              <w:t>Enterprise</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29"/>
              <w:spacing w:after="0"/>
              <w:rPr>
                <w:sz w:val="20"/>
                <w:szCs w:val="20"/>
                <w:color w:val="auto"/>
              </w:rPr>
            </w:pPr>
            <w:r>
              <w:rPr>
                <w:rFonts w:ascii="Arial" w:cs="Arial" w:eastAsia="Arial" w:hAnsi="Arial"/>
                <w:sz w:val="12"/>
                <w:szCs w:val="12"/>
                <w:b w:val="1"/>
                <w:bCs w:val="1"/>
                <w:color w:val="435F86"/>
                <w:w w:val="98"/>
              </w:rPr>
              <w:t>Service on</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435F86"/>
              </w:rPr>
              <w:t>Healthcare/​</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2"/>
                <w:szCs w:val="12"/>
                <w:b w:val="1"/>
                <w:bCs w:val="1"/>
                <w:color w:val="435F86"/>
              </w:rPr>
              <w:t>Legal/​</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435F86"/>
                <w:w w:val="95"/>
              </w:rPr>
              <w:t>Technology &amp;</w:t>
            </w:r>
          </w:p>
        </w:tc>
        <w:tc>
          <w:tcPr>
            <w:tcW w:w="12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435F86"/>
                <w:w w:val="94"/>
              </w:rPr>
              <w:t>Corporate</w:t>
            </w:r>
          </w:p>
        </w:tc>
        <w:tc>
          <w:tcPr>
            <w:tcW w:w="160" w:type="dxa"/>
            <w:vAlign w:val="bottom"/>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435F86"/>
              </w:rPr>
              <w:t>C-Suite/​</w:t>
            </w: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435F86"/>
                <w:w w:val="95"/>
              </w:rPr>
              <w:t>Other Public</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435F86"/>
                <w:w w:val="94"/>
              </w:rPr>
              <w:t>Risk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center"/>
              <w:ind w:right="9"/>
              <w:spacing w:after="0" w:line="130" w:lineRule="exact"/>
              <w:rPr>
                <w:sz w:val="20"/>
                <w:szCs w:val="20"/>
                <w:color w:val="auto"/>
              </w:rPr>
            </w:pPr>
            <w:r>
              <w:rPr>
                <w:rFonts w:ascii="Arial" w:cs="Arial" w:eastAsia="Arial" w:hAnsi="Arial"/>
                <w:sz w:val="12"/>
                <w:szCs w:val="12"/>
                <w:b w:val="1"/>
                <w:bCs w:val="1"/>
                <w:color w:val="435F86"/>
                <w:w w:val="98"/>
              </w:rPr>
              <w:t>Company</w:t>
            </w:r>
          </w:p>
        </w:tc>
        <w:tc>
          <w:tcPr>
            <w:tcW w:w="0" w:type="dxa"/>
            <w:vAlign w:val="bottom"/>
          </w:tcPr>
          <w:p>
            <w:pPr>
              <w:spacing w:after="0"/>
              <w:rPr>
                <w:sz w:val="1"/>
                <w:szCs w:val="1"/>
                <w:color w:val="auto"/>
              </w:rPr>
            </w:pPr>
          </w:p>
        </w:tc>
      </w:tr>
      <w:tr>
        <w:trPr>
          <w:trHeight w:val="186"/>
        </w:trPr>
        <w:tc>
          <w:tcPr>
            <w:tcW w:w="1120" w:type="dxa"/>
            <w:vAlign w:val="bottom"/>
            <w:tcBorders>
              <w:bottom w:val="single" w:sz="8" w:color="435F86"/>
            </w:tcBorders>
          </w:tcPr>
          <w:p>
            <w:pPr>
              <w:ind w:left="40"/>
              <w:spacing w:after="0" w:line="187" w:lineRule="exact"/>
              <w:rPr>
                <w:sz w:val="20"/>
                <w:szCs w:val="20"/>
                <w:color w:val="auto"/>
              </w:rPr>
            </w:pP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Name</w:t>
            </w:r>
          </w:p>
        </w:tc>
        <w:tc>
          <w:tcPr>
            <w:tcW w:w="620" w:type="dxa"/>
            <w:vAlign w:val="bottom"/>
            <w:tcBorders>
              <w:bottom w:val="single" w:sz="8" w:color="435F86"/>
            </w:tcBorders>
          </w:tcPr>
          <w:p>
            <w:pPr>
              <w:jc w:val="right"/>
              <w:spacing w:after="0"/>
              <w:rPr>
                <w:sz w:val="20"/>
                <w:szCs w:val="20"/>
                <w:color w:val="auto"/>
              </w:rPr>
            </w:pPr>
            <w:r>
              <w:rPr>
                <w:rFonts w:ascii="Arial" w:cs="Arial" w:eastAsia="Arial" w:hAnsi="Arial"/>
                <w:sz w:val="12"/>
                <w:szCs w:val="12"/>
                <w:b w:val="1"/>
                <w:bCs w:val="1"/>
                <w:color w:val="435F86"/>
              </w:rPr>
              <w:t>MedTech</w:t>
            </w:r>
          </w:p>
        </w:tc>
        <w:tc>
          <w:tcPr>
            <w:tcW w:w="1980" w:type="dxa"/>
            <w:vAlign w:val="bottom"/>
            <w:tcBorders>
              <w:bottom w:val="single" w:sz="8" w:color="435F86"/>
            </w:tcBorders>
            <w:gridSpan w:val="6"/>
          </w:tcPr>
          <w:p>
            <w:pPr>
              <w:ind w:left="40"/>
              <w:spacing w:after="0" w:line="187" w:lineRule="exact"/>
              <w:rPr>
                <w:sz w:val="20"/>
                <w:szCs w:val="20"/>
                <w:color w:val="auto"/>
              </w:rPr>
            </w:pPr>
            <w:r>
              <w:rPr>
                <w:rFonts w:ascii="Arial" w:cs="Arial" w:eastAsia="Arial" w:hAnsi="Arial"/>
                <w:sz w:val="11"/>
                <w:szCs w:val="11"/>
                <w:b w:val="1"/>
                <w:bCs w:val="1"/>
                <w:color w:val="435F86"/>
              </w:rPr>
              <w:t xml:space="preserve">Finance </w:t>
            </w: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International</w:t>
            </w: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Regulatory</w:t>
            </w:r>
            <w:r>
              <w:rPr>
                <w:rFonts w:ascii="Arial" w:cs="Arial" w:eastAsia="Arial" w:hAnsi="Arial"/>
                <w:sz w:val="21"/>
                <w:szCs w:val="21"/>
                <w:b w:val="1"/>
                <w:bCs w:val="1"/>
                <w:color w:val="435F86"/>
                <w:vertAlign w:val="subscript"/>
              </w:rPr>
              <w:t>​​</w:t>
            </w:r>
          </w:p>
        </w:tc>
        <w:tc>
          <w:tcPr>
            <w:tcW w:w="680" w:type="dxa"/>
            <w:vAlign w:val="bottom"/>
            <w:tcBorders>
              <w:bottom w:val="single" w:sz="8" w:color="435F86"/>
            </w:tcBorders>
          </w:tcPr>
          <w:p>
            <w:pPr>
              <w:jc w:val="center"/>
              <w:ind w:right="8"/>
              <w:spacing w:after="0"/>
              <w:rPr>
                <w:sz w:val="20"/>
                <w:szCs w:val="20"/>
                <w:color w:val="auto"/>
              </w:rPr>
            </w:pPr>
            <w:r>
              <w:rPr>
                <w:rFonts w:ascii="Arial" w:cs="Arial" w:eastAsia="Arial" w:hAnsi="Arial"/>
                <w:sz w:val="12"/>
                <w:szCs w:val="12"/>
                <w:b w:val="1"/>
                <w:bCs w:val="1"/>
                <w:color w:val="435F86"/>
                <w:w w:val="96"/>
              </w:rPr>
              <w:t>Science</w:t>
            </w:r>
          </w:p>
        </w:tc>
        <w:tc>
          <w:tcPr>
            <w:tcW w:w="3620" w:type="dxa"/>
            <w:vAlign w:val="bottom"/>
            <w:tcBorders>
              <w:bottom w:val="single" w:sz="8" w:color="435F86"/>
            </w:tcBorders>
            <w:gridSpan w:val="11"/>
          </w:tcPr>
          <w:p>
            <w:pPr>
              <w:ind w:left="20"/>
              <w:spacing w:after="0" w:line="187" w:lineRule="exact"/>
              <w:rPr>
                <w:sz w:val="20"/>
                <w:szCs w:val="20"/>
                <w:color w:val="auto"/>
              </w:rPr>
            </w:pP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Responsibility</w:t>
            </w: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Operations</w:t>
            </w: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Cybersecurity</w:t>
            </w: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Management</w:t>
            </w:r>
            <w:r>
              <w:rPr>
                <w:rFonts w:ascii="Arial" w:cs="Arial" w:eastAsia="Arial" w:hAnsi="Arial"/>
                <w:sz w:val="21"/>
                <w:szCs w:val="21"/>
                <w:b w:val="1"/>
                <w:bCs w:val="1"/>
                <w:color w:val="435F86"/>
                <w:vertAlign w:val="subscript"/>
              </w:rPr>
              <w:t>​​</w:t>
            </w:r>
            <w:r>
              <w:rPr>
                <w:rFonts w:ascii="Arial" w:cs="Arial" w:eastAsia="Arial" w:hAnsi="Arial"/>
                <w:sz w:val="11"/>
                <w:szCs w:val="11"/>
                <w:b w:val="1"/>
                <w:bCs w:val="1"/>
                <w:color w:val="435F86"/>
              </w:rPr>
              <w:t>Strategy</w:t>
            </w:r>
            <w:r>
              <w:rPr>
                <w:rFonts w:ascii="Arial" w:cs="Arial" w:eastAsia="Arial" w:hAnsi="Arial"/>
                <w:sz w:val="21"/>
                <w:szCs w:val="21"/>
                <w:b w:val="1"/>
                <w:bCs w:val="1"/>
                <w:color w:val="435F86"/>
                <w:vertAlign w:val="subscript"/>
              </w:rPr>
              <w:t>​​</w:t>
            </w:r>
          </w:p>
        </w:tc>
        <w:tc>
          <w:tcPr>
            <w:tcW w:w="700" w:type="dxa"/>
            <w:vAlign w:val="bottom"/>
            <w:tcBorders>
              <w:bottom w:val="single" w:sz="8" w:color="435F86"/>
            </w:tcBorders>
          </w:tcPr>
          <w:p>
            <w:pPr>
              <w:jc w:val="center"/>
              <w:spacing w:after="0"/>
              <w:rPr>
                <w:sz w:val="20"/>
                <w:szCs w:val="20"/>
                <w:color w:val="auto"/>
              </w:rPr>
            </w:pPr>
            <w:r>
              <w:rPr>
                <w:rFonts w:ascii="Arial" w:cs="Arial" w:eastAsia="Arial" w:hAnsi="Arial"/>
                <w:sz w:val="12"/>
                <w:szCs w:val="12"/>
                <w:b w:val="1"/>
                <w:bCs w:val="1"/>
                <w:color w:val="435F86"/>
                <w:w w:val="96"/>
              </w:rPr>
              <w:t>Boards</w:t>
            </w:r>
          </w:p>
        </w:tc>
        <w:tc>
          <w:tcPr>
            <w:tcW w:w="0" w:type="dxa"/>
            <w:vAlign w:val="bottom"/>
          </w:tcPr>
          <w:p>
            <w:pPr>
              <w:spacing w:after="0"/>
              <w:rPr>
                <w:sz w:val="1"/>
                <w:szCs w:val="1"/>
                <w:color w:val="auto"/>
              </w:rPr>
            </w:pPr>
          </w:p>
        </w:tc>
      </w:tr>
      <w:tr>
        <w:trPr>
          <w:trHeight w:val="603"/>
        </w:trPr>
        <w:tc>
          <w:tcPr>
            <w:tcW w:w="1120" w:type="dxa"/>
            <w:vAlign w:val="bottom"/>
            <w:tcBorders>
              <w:bottom w:val="single" w:sz="8" w:color="435F86"/>
            </w:tcBorders>
          </w:tcPr>
          <w:p>
            <w:pPr>
              <w:ind w:left="40"/>
              <w:spacing w:after="0"/>
              <w:rPr>
                <w:sz w:val="20"/>
                <w:szCs w:val="20"/>
                <w:color w:val="auto"/>
              </w:rPr>
            </w:pPr>
            <w:r>
              <w:rPr>
                <w:rFonts w:ascii="Arial" w:cs="Arial" w:eastAsia="Arial" w:hAnsi="Arial"/>
                <w:sz w:val="12"/>
                <w:szCs w:val="12"/>
                <w:b w:val="1"/>
                <w:bCs w:val="1"/>
                <w:color w:val="435F86"/>
              </w:rPr>
              <w:t>​</w:t>
            </w:r>
          </w:p>
        </w:tc>
        <w:tc>
          <w:tcPr>
            <w:tcW w:w="620" w:type="dxa"/>
            <w:vAlign w:val="bottom"/>
            <w:tcBorders>
              <w:bottom w:val="single" w:sz="8" w:color="435F86"/>
            </w:tcBorders>
          </w:tcPr>
          <w:p>
            <w:pPr>
              <w:spacing w:after="0"/>
              <w:rPr>
                <w:sz w:val="24"/>
                <w:szCs w:val="24"/>
                <w:color w:val="auto"/>
              </w:rPr>
            </w:pPr>
          </w:p>
        </w:tc>
        <w:tc>
          <w:tcPr>
            <w:tcW w:w="400" w:type="dxa"/>
            <w:vAlign w:val="bottom"/>
            <w:tcBorders>
              <w:bottom w:val="single" w:sz="8" w:color="435F86"/>
            </w:tcBorders>
          </w:tcPr>
          <w:p>
            <w:pPr>
              <w:spacing w:after="0"/>
              <w:rPr>
                <w:sz w:val="24"/>
                <w:szCs w:val="24"/>
                <w:color w:val="auto"/>
              </w:rPr>
            </w:pPr>
          </w:p>
        </w:tc>
        <w:tc>
          <w:tcPr>
            <w:tcW w:w="280" w:type="dxa"/>
            <w:vAlign w:val="bottom"/>
            <w:tcBorders>
              <w:bottom w:val="single" w:sz="8" w:color="435F86"/>
            </w:tcBorders>
          </w:tcPr>
          <w:p>
            <w:pPr>
              <w:ind w:left="100"/>
              <w:spacing w:after="0"/>
              <w:rPr>
                <w:sz w:val="20"/>
                <w:szCs w:val="20"/>
                <w:color w:val="auto"/>
              </w:rPr>
            </w:pPr>
            <w:r>
              <w:rPr>
                <w:rFonts w:ascii="Arial" w:cs="Arial" w:eastAsia="Arial" w:hAnsi="Arial"/>
                <w:sz w:val="12"/>
                <w:szCs w:val="12"/>
                <w:b w:val="1"/>
                <w:bCs w:val="1"/>
                <w:color w:val="435F86"/>
              </w:rPr>
              <w:t>​</w:t>
            </w:r>
          </w:p>
        </w:tc>
        <w:tc>
          <w:tcPr>
            <w:tcW w:w="380" w:type="dxa"/>
            <w:vAlign w:val="bottom"/>
            <w:tcBorders>
              <w:bottom w:val="single" w:sz="8" w:color="435F86"/>
            </w:tcBorders>
          </w:tcPr>
          <w:p>
            <w:pPr>
              <w:spacing w:after="0"/>
              <w:rPr>
                <w:sz w:val="24"/>
                <w:szCs w:val="24"/>
                <w:color w:val="auto"/>
              </w:rPr>
            </w:pPr>
          </w:p>
        </w:tc>
        <w:tc>
          <w:tcPr>
            <w:tcW w:w="260" w:type="dxa"/>
            <w:vAlign w:val="bottom"/>
            <w:tcBorders>
              <w:bottom w:val="single" w:sz="8" w:color="435F86"/>
            </w:tcBorders>
          </w:tcPr>
          <w:p>
            <w:pPr>
              <w:ind w:left="160"/>
              <w:spacing w:after="0"/>
              <w:rPr>
                <w:sz w:val="20"/>
                <w:szCs w:val="20"/>
                <w:color w:val="auto"/>
              </w:rPr>
            </w:pPr>
            <w:r>
              <w:rPr>
                <w:rFonts w:ascii="Arial" w:cs="Arial" w:eastAsia="Arial" w:hAnsi="Arial"/>
                <w:sz w:val="12"/>
                <w:szCs w:val="12"/>
                <w:b w:val="1"/>
                <w:bCs w:val="1"/>
                <w:color w:val="435F86"/>
              </w:rPr>
              <w:t>​​</w:t>
            </w:r>
          </w:p>
        </w:tc>
        <w:tc>
          <w:tcPr>
            <w:tcW w:w="480" w:type="dxa"/>
            <w:vAlign w:val="bottom"/>
            <w:tcBorders>
              <w:bottom w:val="single" w:sz="8" w:color="435F86"/>
            </w:tcBorders>
          </w:tcPr>
          <w:p>
            <w:pPr>
              <w:spacing w:after="0"/>
              <w:rPr>
                <w:sz w:val="24"/>
                <w:szCs w:val="24"/>
                <w:color w:val="auto"/>
              </w:rPr>
            </w:pPr>
          </w:p>
        </w:tc>
        <w:tc>
          <w:tcPr>
            <w:tcW w:w="180" w:type="dxa"/>
            <w:vAlign w:val="bottom"/>
            <w:tcBorders>
              <w:bottom w:val="single" w:sz="8" w:color="435F86"/>
            </w:tcBorders>
          </w:tcPr>
          <w:p>
            <w:pPr>
              <w:ind w:left="60"/>
              <w:spacing w:after="0"/>
              <w:rPr>
                <w:sz w:val="20"/>
                <w:szCs w:val="20"/>
                <w:color w:val="auto"/>
              </w:rPr>
            </w:pPr>
            <w:r>
              <w:rPr>
                <w:rFonts w:ascii="Arial" w:cs="Arial" w:eastAsia="Arial" w:hAnsi="Arial"/>
                <w:sz w:val="12"/>
                <w:szCs w:val="12"/>
                <w:b w:val="1"/>
                <w:bCs w:val="1"/>
                <w:color w:val="435F86"/>
              </w:rPr>
              <w:t>​​</w:t>
            </w:r>
          </w:p>
        </w:tc>
        <w:tc>
          <w:tcPr>
            <w:tcW w:w="680" w:type="dxa"/>
            <w:vAlign w:val="bottom"/>
            <w:tcBorders>
              <w:bottom w:val="single" w:sz="8" w:color="435F86"/>
            </w:tcBorders>
          </w:tcPr>
          <w:p>
            <w:pPr>
              <w:spacing w:after="0"/>
              <w:rPr>
                <w:sz w:val="24"/>
                <w:szCs w:val="24"/>
                <w:color w:val="auto"/>
              </w:rPr>
            </w:pPr>
          </w:p>
        </w:tc>
        <w:tc>
          <w:tcPr>
            <w:tcW w:w="120" w:type="dxa"/>
            <w:vAlign w:val="bottom"/>
            <w:tcBorders>
              <w:bottom w:val="single" w:sz="8" w:color="435F86"/>
            </w:tcBorders>
          </w:tcPr>
          <w:p>
            <w:pPr>
              <w:ind w:left="20"/>
              <w:spacing w:after="0"/>
              <w:rPr>
                <w:sz w:val="20"/>
                <w:szCs w:val="20"/>
                <w:color w:val="auto"/>
              </w:rPr>
            </w:pPr>
            <w:r>
              <w:rPr>
                <w:rFonts w:ascii="Arial" w:cs="Arial" w:eastAsia="Arial" w:hAnsi="Arial"/>
                <w:sz w:val="12"/>
                <w:szCs w:val="12"/>
                <w:b w:val="1"/>
                <w:bCs w:val="1"/>
                <w:color w:val="435F86"/>
              </w:rPr>
              <w:t>​​</w:t>
            </w:r>
          </w:p>
        </w:tc>
        <w:tc>
          <w:tcPr>
            <w:tcW w:w="660" w:type="dxa"/>
            <w:vAlign w:val="bottom"/>
            <w:tcBorders>
              <w:bottom w:val="single" w:sz="8" w:color="435F86"/>
            </w:tcBorders>
          </w:tcPr>
          <w:p>
            <w:pPr>
              <w:spacing w:after="0"/>
              <w:rPr>
                <w:sz w:val="24"/>
                <w:szCs w:val="24"/>
                <w:color w:val="auto"/>
              </w:rPr>
            </w:pPr>
          </w:p>
        </w:tc>
        <w:tc>
          <w:tcPr>
            <w:tcW w:w="160" w:type="dxa"/>
            <w:vAlign w:val="bottom"/>
            <w:tcBorders>
              <w:bottom w:val="single" w:sz="8" w:color="435F86"/>
            </w:tcBorders>
          </w:tcPr>
          <w:p>
            <w:pPr>
              <w:ind w:left="80"/>
              <w:spacing w:after="0"/>
              <w:rPr>
                <w:sz w:val="20"/>
                <w:szCs w:val="20"/>
                <w:color w:val="auto"/>
              </w:rPr>
            </w:pPr>
            <w:r>
              <w:rPr>
                <w:rFonts w:ascii="Arial" w:cs="Arial" w:eastAsia="Arial" w:hAnsi="Arial"/>
                <w:sz w:val="12"/>
                <w:szCs w:val="12"/>
                <w:b w:val="1"/>
                <w:bCs w:val="1"/>
                <w:color w:val="435F86"/>
              </w:rPr>
              <w:t>​​</w:t>
            </w:r>
          </w:p>
        </w:tc>
        <w:tc>
          <w:tcPr>
            <w:tcW w:w="520" w:type="dxa"/>
            <w:vAlign w:val="bottom"/>
            <w:tcBorders>
              <w:bottom w:val="single" w:sz="8" w:color="435F86"/>
            </w:tcBorders>
          </w:tcPr>
          <w:p>
            <w:pPr>
              <w:spacing w:after="0"/>
              <w:rPr>
                <w:sz w:val="24"/>
                <w:szCs w:val="24"/>
                <w:color w:val="auto"/>
              </w:rPr>
            </w:pPr>
          </w:p>
        </w:tc>
        <w:tc>
          <w:tcPr>
            <w:tcW w:w="260" w:type="dxa"/>
            <w:vAlign w:val="bottom"/>
            <w:tcBorders>
              <w:bottom w:val="single" w:sz="8" w:color="435F86"/>
            </w:tcBorders>
          </w:tcPr>
          <w:p>
            <w:pPr>
              <w:ind w:left="40"/>
              <w:spacing w:after="0"/>
              <w:rPr>
                <w:sz w:val="20"/>
                <w:szCs w:val="20"/>
                <w:color w:val="auto"/>
              </w:rPr>
            </w:pPr>
            <w:r>
              <w:rPr>
                <w:rFonts w:ascii="Arial" w:cs="Arial" w:eastAsia="Arial" w:hAnsi="Arial"/>
                <w:sz w:val="12"/>
                <w:szCs w:val="12"/>
                <w:b w:val="1"/>
                <w:bCs w:val="1"/>
                <w:color w:val="435F86"/>
              </w:rPr>
              <w:t>​​</w:t>
            </w:r>
          </w:p>
        </w:tc>
        <w:tc>
          <w:tcPr>
            <w:tcW w:w="420" w:type="dxa"/>
            <w:vAlign w:val="bottom"/>
            <w:tcBorders>
              <w:bottom w:val="single" w:sz="8" w:color="435F86"/>
            </w:tcBorders>
          </w:tcPr>
          <w:p>
            <w:pPr>
              <w:spacing w:after="0"/>
              <w:rPr>
                <w:sz w:val="24"/>
                <w:szCs w:val="24"/>
                <w:color w:val="auto"/>
              </w:rPr>
            </w:pPr>
          </w:p>
        </w:tc>
        <w:tc>
          <w:tcPr>
            <w:tcW w:w="240" w:type="dxa"/>
            <w:vAlign w:val="bottom"/>
            <w:tcBorders>
              <w:bottom w:val="single" w:sz="8" w:color="435F86"/>
            </w:tcBorders>
          </w:tcPr>
          <w:p>
            <w:pPr>
              <w:ind w:left="160"/>
              <w:spacing w:after="0"/>
              <w:rPr>
                <w:sz w:val="20"/>
                <w:szCs w:val="20"/>
                <w:color w:val="auto"/>
              </w:rPr>
            </w:pPr>
            <w:r>
              <w:rPr>
                <w:rFonts w:ascii="Arial" w:cs="Arial" w:eastAsia="Arial" w:hAnsi="Arial"/>
                <w:sz w:val="12"/>
                <w:szCs w:val="12"/>
                <w:b w:val="1"/>
                <w:bCs w:val="1"/>
                <w:color w:val="435F86"/>
              </w:rPr>
              <w:t>​​</w:t>
            </w:r>
          </w:p>
        </w:tc>
        <w:tc>
          <w:tcPr>
            <w:tcW w:w="640" w:type="dxa"/>
            <w:vAlign w:val="bottom"/>
            <w:tcBorders>
              <w:bottom w:val="single" w:sz="8" w:color="435F86"/>
            </w:tcBorders>
          </w:tcPr>
          <w:p>
            <w:pPr>
              <w:spacing w:after="0"/>
              <w:rPr>
                <w:sz w:val="24"/>
                <w:szCs w:val="24"/>
                <w:color w:val="auto"/>
              </w:rPr>
            </w:pPr>
          </w:p>
        </w:tc>
        <w:tc>
          <w:tcPr>
            <w:tcW w:w="180" w:type="dxa"/>
            <w:vAlign w:val="bottom"/>
            <w:tcBorders>
              <w:bottom w:val="single" w:sz="8" w:color="435F86"/>
            </w:tcBorders>
          </w:tcPr>
          <w:p>
            <w:pPr>
              <w:ind w:left="40"/>
              <w:spacing w:after="0"/>
              <w:rPr>
                <w:sz w:val="20"/>
                <w:szCs w:val="20"/>
                <w:color w:val="auto"/>
              </w:rPr>
            </w:pPr>
            <w:r>
              <w:rPr>
                <w:rFonts w:ascii="Arial" w:cs="Arial" w:eastAsia="Arial" w:hAnsi="Arial"/>
                <w:sz w:val="12"/>
                <w:szCs w:val="12"/>
                <w:b w:val="1"/>
                <w:bCs w:val="1"/>
                <w:color w:val="435F86"/>
              </w:rPr>
              <w:t>​​</w:t>
            </w:r>
          </w:p>
        </w:tc>
        <w:tc>
          <w:tcPr>
            <w:tcW w:w="260" w:type="dxa"/>
            <w:vAlign w:val="bottom"/>
            <w:tcBorders>
              <w:bottom w:val="single" w:sz="8" w:color="435F86"/>
            </w:tcBorders>
          </w:tcPr>
          <w:p>
            <w:pPr>
              <w:spacing w:after="0"/>
              <w:rPr>
                <w:sz w:val="24"/>
                <w:szCs w:val="24"/>
                <w:color w:val="auto"/>
              </w:rPr>
            </w:pPr>
          </w:p>
        </w:tc>
        <w:tc>
          <w:tcPr>
            <w:tcW w:w="160" w:type="dxa"/>
            <w:vAlign w:val="bottom"/>
            <w:tcBorders>
              <w:bottom w:val="single" w:sz="8" w:color="435F86"/>
            </w:tcBorders>
          </w:tcPr>
          <w:p>
            <w:pPr>
              <w:ind w:left="100"/>
              <w:spacing w:after="0"/>
              <w:rPr>
                <w:sz w:val="20"/>
                <w:szCs w:val="20"/>
                <w:color w:val="auto"/>
              </w:rPr>
            </w:pPr>
            <w:r>
              <w:rPr>
                <w:rFonts w:ascii="Arial" w:cs="Arial" w:eastAsia="Arial" w:hAnsi="Arial"/>
                <w:sz w:val="12"/>
                <w:szCs w:val="12"/>
                <w:b w:val="1"/>
                <w:bCs w:val="1"/>
                <w:color w:val="435F86"/>
              </w:rPr>
              <w:t>​​</w:t>
            </w:r>
          </w:p>
        </w:tc>
        <w:tc>
          <w:tcPr>
            <w:tcW w:w="700" w:type="dxa"/>
            <w:vAlign w:val="bottom"/>
            <w:tcBorders>
              <w:bottom w:val="single" w:sz="8" w:color="435F86"/>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Ruoxi</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jc w:val="center"/>
              <w:ind w:right="8"/>
              <w:spacing w:after="0"/>
              <w:rPr>
                <w:sz w:val="20"/>
                <w:szCs w:val="20"/>
                <w:color w:val="auto"/>
              </w:rPr>
            </w:pPr>
            <w:r>
              <w:rPr>
                <w:rFonts w:ascii="Arial" w:cs="Arial" w:eastAsia="Arial" w:hAnsi="Arial"/>
                <w:sz w:val="15"/>
                <w:szCs w:val="15"/>
                <w:color w:val="435F86"/>
                <w:w w:val="87"/>
              </w:rPr>
              <w:t>●</w:t>
            </w: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3"/>
                <w:szCs w:val="23"/>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rPr>
              <w: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Chen</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Sean L.</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spacing w:after="0"/>
              <w:rPr>
                <w:sz w:val="23"/>
                <w:szCs w:val="23"/>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3"/>
                <w:szCs w:val="23"/>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1</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Cunningham</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Karen A.</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jc w:val="center"/>
              <w:ind w:right="8"/>
              <w:spacing w:after="0"/>
              <w:rPr>
                <w:sz w:val="20"/>
                <w:szCs w:val="20"/>
                <w:color w:val="auto"/>
              </w:rPr>
            </w:pPr>
            <w:r>
              <w:rPr>
                <w:rFonts w:ascii="Arial" w:cs="Arial" w:eastAsia="Arial" w:hAnsi="Arial"/>
                <w:sz w:val="15"/>
                <w:szCs w:val="15"/>
                <w:color w:val="435F86"/>
                <w:w w:val="87"/>
              </w:rPr>
              <w:t>●</w:t>
            </w: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spacing w:after="0"/>
              <w:rPr>
                <w:sz w:val="23"/>
                <w:szCs w:val="23"/>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jc w:val="center"/>
              <w:spacing w:after="0"/>
              <w:rPr>
                <w:sz w:val="20"/>
                <w:szCs w:val="20"/>
                <w:color w:val="auto"/>
              </w:rPr>
            </w:pPr>
            <w:r>
              <w:rPr>
                <w:rFonts w:ascii="Arial" w:cs="Arial" w:eastAsia="Arial" w:hAnsi="Arial"/>
                <w:sz w:val="15"/>
                <w:szCs w:val="15"/>
                <w:color w:val="435F86"/>
              </w:rPr>
              <w:t>●</w:t>
            </w: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3"/>
                <w:szCs w:val="23"/>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2</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Flynn</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Ann R.</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jc w:val="center"/>
              <w:spacing w:after="0"/>
              <w:rPr>
                <w:sz w:val="20"/>
                <w:szCs w:val="20"/>
                <w:color w:val="auto"/>
              </w:rPr>
            </w:pPr>
            <w:r>
              <w:rPr>
                <w:rFonts w:ascii="Arial" w:cs="Arial" w:eastAsia="Arial" w:hAnsi="Arial"/>
                <w:sz w:val="15"/>
                <w:szCs w:val="15"/>
                <w:color w:val="435F86"/>
              </w:rPr>
              <w:t>●</w:t>
            </w: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3"/>
                <w:szCs w:val="23"/>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spacing w:after="0"/>
              <w:rPr>
                <w:sz w:val="23"/>
                <w:szCs w:val="23"/>
                <w:color w:val="auto"/>
              </w:rPr>
            </w:pP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1</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Klee</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Robert B.</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ind w:left="140"/>
              <w:spacing w:after="0"/>
              <w:rPr>
                <w:sz w:val="20"/>
                <w:szCs w:val="20"/>
                <w:color w:val="auto"/>
              </w:rPr>
            </w:pPr>
            <w:r>
              <w:rPr>
                <w:rFonts w:ascii="Arial" w:cs="Arial" w:eastAsia="Arial" w:hAnsi="Arial"/>
                <w:sz w:val="15"/>
                <w:szCs w:val="15"/>
                <w:color w:val="435F86"/>
              </w:rPr>
              <w:t>●</w:t>
            </w: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spacing w:after="0"/>
              <w:rPr>
                <w:sz w:val="23"/>
                <w:szCs w:val="23"/>
                <w:color w:val="auto"/>
              </w:rPr>
            </w:pP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rPr>
              <w: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Knauss</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1120" w:type="dxa"/>
            <w:vAlign w:val="bottom"/>
          </w:tcPr>
          <w:p>
            <w:pPr>
              <w:ind w:left="40"/>
              <w:spacing w:after="0" w:line="240" w:lineRule="exact"/>
              <w:rPr>
                <w:sz w:val="20"/>
                <w:szCs w:val="20"/>
                <w:color w:val="auto"/>
              </w:rPr>
            </w:pPr>
            <w:r>
              <w:rPr>
                <w:rFonts w:ascii="Arial" w:cs="Arial" w:eastAsia="Arial" w:hAnsi="Arial"/>
                <w:sz w:val="27"/>
                <w:szCs w:val="27"/>
                <w:color w:val="435F86"/>
                <w:vertAlign w:val="subscript"/>
              </w:rPr>
              <w:t>​</w:t>
            </w:r>
            <w:r>
              <w:rPr>
                <w:rFonts w:ascii="Arial" w:cs="Arial" w:eastAsia="Arial" w:hAnsi="Arial"/>
                <w:sz w:val="14"/>
                <w:szCs w:val="14"/>
                <w:b w:val="1"/>
                <w:bCs w:val="1"/>
                <w:color w:val="auto"/>
              </w:rPr>
              <w:t>Constantine S.</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jc w:val="center"/>
              <w:ind w:right="8"/>
              <w:spacing w:after="0"/>
              <w:rPr>
                <w:sz w:val="20"/>
                <w:szCs w:val="20"/>
                <w:color w:val="auto"/>
              </w:rPr>
            </w:pPr>
            <w:r>
              <w:rPr>
                <w:rFonts w:ascii="Arial" w:cs="Arial" w:eastAsia="Arial" w:hAnsi="Arial"/>
                <w:sz w:val="15"/>
                <w:szCs w:val="15"/>
                <w:color w:val="435F86"/>
                <w:w w:val="87"/>
              </w:rPr>
              <w:t>●</w:t>
            </w: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jc w:val="center"/>
              <w:spacing w:after="0"/>
              <w:rPr>
                <w:sz w:val="20"/>
                <w:szCs w:val="20"/>
                <w:color w:val="auto"/>
              </w:rPr>
            </w:pPr>
            <w:r>
              <w:rPr>
                <w:rFonts w:ascii="Arial" w:cs="Arial" w:eastAsia="Arial" w:hAnsi="Arial"/>
                <w:sz w:val="15"/>
                <w:szCs w:val="15"/>
                <w:color w:val="435F86"/>
              </w:rPr>
              <w:t>●</w:t>
            </w: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ind w:left="140"/>
              <w:spacing w:after="0"/>
              <w:rPr>
                <w:sz w:val="20"/>
                <w:szCs w:val="20"/>
                <w:color w:val="auto"/>
              </w:rPr>
            </w:pPr>
            <w:r>
              <w:rPr>
                <w:rFonts w:ascii="Arial" w:cs="Arial" w:eastAsia="Arial" w:hAnsi="Arial"/>
                <w:sz w:val="15"/>
                <w:szCs w:val="15"/>
                <w:color w:val="435F86"/>
              </w:rPr>
              <w:t>●</w:t>
            </w: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1</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A1AFC2"/>
            </w:tcBorders>
          </w:tcPr>
          <w:p>
            <w:pPr>
              <w:ind w:left="100"/>
              <w:spacing w:after="0"/>
              <w:rPr>
                <w:sz w:val="20"/>
                <w:szCs w:val="20"/>
                <w:color w:val="auto"/>
              </w:rPr>
            </w:pPr>
            <w:r>
              <w:rPr>
                <w:rFonts w:ascii="Arial" w:cs="Arial" w:eastAsia="Arial" w:hAnsi="Arial"/>
                <w:sz w:val="15"/>
                <w:szCs w:val="15"/>
                <w:b w:val="1"/>
                <w:bCs w:val="1"/>
                <w:color w:val="auto"/>
              </w:rPr>
              <w:t>Mihas</w:t>
            </w:r>
          </w:p>
        </w:tc>
        <w:tc>
          <w:tcPr>
            <w:tcW w:w="620" w:type="dxa"/>
            <w:vAlign w:val="bottom"/>
            <w:tcBorders>
              <w:bottom w:val="single" w:sz="8" w:color="A1AFC2"/>
            </w:tcBorders>
          </w:tcPr>
          <w:p>
            <w:pPr>
              <w:spacing w:after="0"/>
              <w:rPr>
                <w:sz w:val="15"/>
                <w:szCs w:val="15"/>
                <w:color w:val="auto"/>
              </w:rPr>
            </w:pPr>
          </w:p>
        </w:tc>
        <w:tc>
          <w:tcPr>
            <w:tcW w:w="400" w:type="dxa"/>
            <w:vAlign w:val="bottom"/>
            <w:tcBorders>
              <w:bottom w:val="single" w:sz="8" w:color="A1AFC2"/>
            </w:tcBorders>
          </w:tcPr>
          <w:p>
            <w:pPr>
              <w:spacing w:after="0"/>
              <w:rPr>
                <w:sz w:val="15"/>
                <w:szCs w:val="15"/>
                <w:color w:val="auto"/>
              </w:rPr>
            </w:pPr>
          </w:p>
        </w:tc>
        <w:tc>
          <w:tcPr>
            <w:tcW w:w="280" w:type="dxa"/>
            <w:vAlign w:val="bottom"/>
            <w:tcBorders>
              <w:bottom w:val="single" w:sz="8" w:color="A1AFC2"/>
            </w:tcBorders>
          </w:tcPr>
          <w:p>
            <w:pPr>
              <w:spacing w:after="0"/>
              <w:rPr>
                <w:sz w:val="15"/>
                <w:szCs w:val="15"/>
                <w:color w:val="auto"/>
              </w:rPr>
            </w:pPr>
          </w:p>
        </w:tc>
        <w:tc>
          <w:tcPr>
            <w:tcW w:w="380" w:type="dxa"/>
            <w:vAlign w:val="bottom"/>
            <w:tcBorders>
              <w:bottom w:val="single" w:sz="8" w:color="A1AFC2"/>
            </w:tcBorders>
          </w:tcPr>
          <w:p>
            <w:pPr>
              <w:spacing w:after="0"/>
              <w:rPr>
                <w:sz w:val="15"/>
                <w:szCs w:val="15"/>
                <w:color w:val="auto"/>
              </w:rPr>
            </w:pPr>
          </w:p>
        </w:tc>
        <w:tc>
          <w:tcPr>
            <w:tcW w:w="260" w:type="dxa"/>
            <w:vAlign w:val="bottom"/>
            <w:tcBorders>
              <w:bottom w:val="single" w:sz="8" w:color="A1AFC2"/>
            </w:tcBorders>
          </w:tcPr>
          <w:p>
            <w:pPr>
              <w:spacing w:after="0"/>
              <w:rPr>
                <w:sz w:val="15"/>
                <w:szCs w:val="15"/>
                <w:color w:val="auto"/>
              </w:rPr>
            </w:pPr>
          </w:p>
        </w:tc>
        <w:tc>
          <w:tcPr>
            <w:tcW w:w="480" w:type="dxa"/>
            <w:vAlign w:val="bottom"/>
            <w:tcBorders>
              <w:bottom w:val="single" w:sz="8" w:color="A1AFC2"/>
            </w:tcBorders>
          </w:tcPr>
          <w:p>
            <w:pPr>
              <w:spacing w:after="0"/>
              <w:rPr>
                <w:sz w:val="15"/>
                <w:szCs w:val="15"/>
                <w:color w:val="auto"/>
              </w:rPr>
            </w:pPr>
          </w:p>
        </w:tc>
        <w:tc>
          <w:tcPr>
            <w:tcW w:w="180" w:type="dxa"/>
            <w:vAlign w:val="bottom"/>
            <w:tcBorders>
              <w:bottom w:val="single" w:sz="8" w:color="A1AFC2"/>
            </w:tcBorders>
          </w:tcPr>
          <w:p>
            <w:pPr>
              <w:spacing w:after="0"/>
              <w:rPr>
                <w:sz w:val="15"/>
                <w:szCs w:val="15"/>
                <w:color w:val="auto"/>
              </w:rPr>
            </w:pPr>
          </w:p>
        </w:tc>
        <w:tc>
          <w:tcPr>
            <w:tcW w:w="680" w:type="dxa"/>
            <w:vAlign w:val="bottom"/>
            <w:tcBorders>
              <w:bottom w:val="single" w:sz="8" w:color="A1AFC2"/>
            </w:tcBorders>
          </w:tcPr>
          <w:p>
            <w:pPr>
              <w:spacing w:after="0"/>
              <w:rPr>
                <w:sz w:val="15"/>
                <w:szCs w:val="15"/>
                <w:color w:val="auto"/>
              </w:rPr>
            </w:pPr>
          </w:p>
        </w:tc>
        <w:tc>
          <w:tcPr>
            <w:tcW w:w="120" w:type="dxa"/>
            <w:vAlign w:val="bottom"/>
            <w:tcBorders>
              <w:bottom w:val="single" w:sz="8" w:color="A1AFC2"/>
            </w:tcBorders>
          </w:tcPr>
          <w:p>
            <w:pPr>
              <w:spacing w:after="0"/>
              <w:rPr>
                <w:sz w:val="15"/>
                <w:szCs w:val="15"/>
                <w:color w:val="auto"/>
              </w:rPr>
            </w:pPr>
          </w:p>
        </w:tc>
        <w:tc>
          <w:tcPr>
            <w:tcW w:w="660" w:type="dxa"/>
            <w:vAlign w:val="bottom"/>
            <w:tcBorders>
              <w:bottom w:val="single" w:sz="8" w:color="A1AFC2"/>
            </w:tcBorders>
          </w:tcPr>
          <w:p>
            <w:pPr>
              <w:spacing w:after="0"/>
              <w:rPr>
                <w:sz w:val="15"/>
                <w:szCs w:val="15"/>
                <w:color w:val="auto"/>
              </w:rPr>
            </w:pPr>
          </w:p>
        </w:tc>
        <w:tc>
          <w:tcPr>
            <w:tcW w:w="160" w:type="dxa"/>
            <w:vAlign w:val="bottom"/>
            <w:tcBorders>
              <w:bottom w:val="single" w:sz="8" w:color="A1AFC2"/>
            </w:tcBorders>
          </w:tcPr>
          <w:p>
            <w:pPr>
              <w:spacing w:after="0"/>
              <w:rPr>
                <w:sz w:val="15"/>
                <w:szCs w:val="15"/>
                <w:color w:val="auto"/>
              </w:rPr>
            </w:pPr>
          </w:p>
        </w:tc>
        <w:tc>
          <w:tcPr>
            <w:tcW w:w="520" w:type="dxa"/>
            <w:vAlign w:val="bottom"/>
            <w:tcBorders>
              <w:bottom w:val="single" w:sz="8" w:color="A1AFC2"/>
            </w:tcBorders>
          </w:tcPr>
          <w:p>
            <w:pPr>
              <w:spacing w:after="0"/>
              <w:rPr>
                <w:sz w:val="15"/>
                <w:szCs w:val="15"/>
                <w:color w:val="auto"/>
              </w:rPr>
            </w:pPr>
          </w:p>
        </w:tc>
        <w:tc>
          <w:tcPr>
            <w:tcW w:w="260" w:type="dxa"/>
            <w:vAlign w:val="bottom"/>
            <w:tcBorders>
              <w:bottom w:val="single" w:sz="8" w:color="A1AFC2"/>
            </w:tcBorders>
          </w:tcPr>
          <w:p>
            <w:pPr>
              <w:spacing w:after="0"/>
              <w:rPr>
                <w:sz w:val="15"/>
                <w:szCs w:val="15"/>
                <w:color w:val="auto"/>
              </w:rPr>
            </w:pPr>
          </w:p>
        </w:tc>
        <w:tc>
          <w:tcPr>
            <w:tcW w:w="420" w:type="dxa"/>
            <w:vAlign w:val="bottom"/>
            <w:tcBorders>
              <w:bottom w:val="single" w:sz="8" w:color="A1AFC2"/>
            </w:tcBorders>
          </w:tcPr>
          <w:p>
            <w:pPr>
              <w:spacing w:after="0"/>
              <w:rPr>
                <w:sz w:val="15"/>
                <w:szCs w:val="15"/>
                <w:color w:val="auto"/>
              </w:rPr>
            </w:pPr>
          </w:p>
        </w:tc>
        <w:tc>
          <w:tcPr>
            <w:tcW w:w="240" w:type="dxa"/>
            <w:vAlign w:val="bottom"/>
            <w:tcBorders>
              <w:bottom w:val="single" w:sz="8" w:color="A1AFC2"/>
            </w:tcBorders>
          </w:tcPr>
          <w:p>
            <w:pPr>
              <w:spacing w:after="0"/>
              <w:rPr>
                <w:sz w:val="15"/>
                <w:szCs w:val="15"/>
                <w:color w:val="auto"/>
              </w:rPr>
            </w:pPr>
          </w:p>
        </w:tc>
        <w:tc>
          <w:tcPr>
            <w:tcW w:w="640" w:type="dxa"/>
            <w:vAlign w:val="bottom"/>
            <w:tcBorders>
              <w:bottom w:val="single" w:sz="8" w:color="A1AFC2"/>
            </w:tcBorders>
          </w:tcPr>
          <w:p>
            <w:pPr>
              <w:spacing w:after="0"/>
              <w:rPr>
                <w:sz w:val="15"/>
                <w:szCs w:val="15"/>
                <w:color w:val="auto"/>
              </w:rPr>
            </w:pPr>
          </w:p>
        </w:tc>
        <w:tc>
          <w:tcPr>
            <w:tcW w:w="180" w:type="dxa"/>
            <w:vAlign w:val="bottom"/>
            <w:tcBorders>
              <w:bottom w:val="single" w:sz="8" w:color="A1AFC2"/>
            </w:tcBorders>
          </w:tcPr>
          <w:p>
            <w:pPr>
              <w:spacing w:after="0"/>
              <w:rPr>
                <w:sz w:val="15"/>
                <w:szCs w:val="15"/>
                <w:color w:val="auto"/>
              </w:rPr>
            </w:pPr>
          </w:p>
        </w:tc>
        <w:tc>
          <w:tcPr>
            <w:tcW w:w="260" w:type="dxa"/>
            <w:vAlign w:val="bottom"/>
            <w:tcBorders>
              <w:bottom w:val="single" w:sz="8" w:color="A1AFC2"/>
            </w:tcBorders>
          </w:tcPr>
          <w:p>
            <w:pPr>
              <w:spacing w:after="0"/>
              <w:rPr>
                <w:sz w:val="15"/>
                <w:szCs w:val="15"/>
                <w:color w:val="auto"/>
              </w:rPr>
            </w:pPr>
          </w:p>
        </w:tc>
        <w:tc>
          <w:tcPr>
            <w:tcW w:w="160" w:type="dxa"/>
            <w:vAlign w:val="bottom"/>
            <w:tcBorders>
              <w:bottom w:val="single" w:sz="8" w:color="A1AFC2"/>
            </w:tcBorders>
          </w:tcPr>
          <w:p>
            <w:pPr>
              <w:spacing w:after="0"/>
              <w:rPr>
                <w:sz w:val="15"/>
                <w:szCs w:val="15"/>
                <w:color w:val="auto"/>
              </w:rPr>
            </w:pPr>
          </w:p>
        </w:tc>
        <w:tc>
          <w:tcPr>
            <w:tcW w:w="700" w:type="dxa"/>
            <w:vAlign w:val="bottom"/>
            <w:tcBorders>
              <w:bottom w:val="single" w:sz="8" w:color="A1AFC2"/>
            </w:tcBorders>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120" w:type="dxa"/>
            <w:vAlign w:val="bottom"/>
          </w:tcPr>
          <w:p>
            <w:pPr>
              <w:ind w:left="40"/>
              <w:spacing w:after="0" w:line="240" w:lineRule="exact"/>
              <w:rPr>
                <w:sz w:val="20"/>
                <w:szCs w:val="20"/>
                <w:color w:val="auto"/>
              </w:rPr>
            </w:pPr>
            <w:r>
              <w:rPr>
                <w:rFonts w:ascii="Arial" w:cs="Arial" w:eastAsia="Arial" w:hAnsi="Arial"/>
                <w:sz w:val="27"/>
                <w:szCs w:val="27"/>
                <w:color w:val="435F86"/>
                <w:vertAlign w:val="subscript"/>
              </w:rPr>
              <w:t>​</w:t>
            </w:r>
            <w:r>
              <w:rPr>
                <w:rFonts w:ascii="Arial" w:cs="Arial" w:eastAsia="Arial" w:hAnsi="Arial"/>
                <w:sz w:val="14"/>
                <w:szCs w:val="14"/>
                <w:b w:val="1"/>
                <w:bCs w:val="1"/>
                <w:color w:val="auto"/>
              </w:rPr>
              <w:t>James C.</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0"/>
                <w:szCs w:val="20"/>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1</w:t>
            </w:r>
          </w:p>
        </w:tc>
        <w:tc>
          <w:tcPr>
            <w:tcW w:w="0" w:type="dxa"/>
            <w:vAlign w:val="bottom"/>
          </w:tcPr>
          <w:p>
            <w:pPr>
              <w:spacing w:after="0"/>
              <w:rPr>
                <w:sz w:val="1"/>
                <w:szCs w:val="1"/>
                <w:color w:val="auto"/>
              </w:rPr>
            </w:pPr>
          </w:p>
        </w:tc>
      </w:tr>
      <w:tr>
        <w:trPr>
          <w:trHeight w:val="182"/>
        </w:trPr>
        <w:tc>
          <w:tcPr>
            <w:tcW w:w="1120" w:type="dxa"/>
            <w:vAlign w:val="bottom"/>
            <w:tcBorders>
              <w:bottom w:val="single" w:sz="8" w:color="A1AFC2"/>
            </w:tcBorders>
          </w:tcPr>
          <w:p>
            <w:pPr>
              <w:ind w:left="100"/>
              <w:spacing w:after="0"/>
              <w:rPr>
                <w:sz w:val="20"/>
                <w:szCs w:val="20"/>
                <w:color w:val="auto"/>
              </w:rPr>
            </w:pPr>
            <w:r>
              <w:rPr>
                <w:rFonts w:ascii="Arial" w:cs="Arial" w:eastAsia="Arial" w:hAnsi="Arial"/>
                <w:sz w:val="15"/>
                <w:szCs w:val="15"/>
                <w:b w:val="1"/>
                <w:bCs w:val="1"/>
                <w:color w:val="auto"/>
              </w:rPr>
              <w:t>Neary</w:t>
            </w:r>
          </w:p>
        </w:tc>
        <w:tc>
          <w:tcPr>
            <w:tcW w:w="620" w:type="dxa"/>
            <w:vAlign w:val="bottom"/>
            <w:tcBorders>
              <w:bottom w:val="single" w:sz="8" w:color="A1AFC2"/>
            </w:tcBorders>
          </w:tcPr>
          <w:p>
            <w:pPr>
              <w:spacing w:after="0"/>
              <w:rPr>
                <w:sz w:val="15"/>
                <w:szCs w:val="15"/>
                <w:color w:val="auto"/>
              </w:rPr>
            </w:pPr>
          </w:p>
        </w:tc>
        <w:tc>
          <w:tcPr>
            <w:tcW w:w="400" w:type="dxa"/>
            <w:vAlign w:val="bottom"/>
            <w:tcBorders>
              <w:bottom w:val="single" w:sz="8" w:color="A1AFC2"/>
            </w:tcBorders>
          </w:tcPr>
          <w:p>
            <w:pPr>
              <w:spacing w:after="0"/>
              <w:rPr>
                <w:sz w:val="15"/>
                <w:szCs w:val="15"/>
                <w:color w:val="auto"/>
              </w:rPr>
            </w:pPr>
          </w:p>
        </w:tc>
        <w:tc>
          <w:tcPr>
            <w:tcW w:w="280" w:type="dxa"/>
            <w:vAlign w:val="bottom"/>
            <w:tcBorders>
              <w:bottom w:val="single" w:sz="8" w:color="A1AFC2"/>
            </w:tcBorders>
          </w:tcPr>
          <w:p>
            <w:pPr>
              <w:spacing w:after="0"/>
              <w:rPr>
                <w:sz w:val="15"/>
                <w:szCs w:val="15"/>
                <w:color w:val="auto"/>
              </w:rPr>
            </w:pPr>
          </w:p>
        </w:tc>
        <w:tc>
          <w:tcPr>
            <w:tcW w:w="380" w:type="dxa"/>
            <w:vAlign w:val="bottom"/>
            <w:tcBorders>
              <w:bottom w:val="single" w:sz="8" w:color="A1AFC2"/>
            </w:tcBorders>
          </w:tcPr>
          <w:p>
            <w:pPr>
              <w:spacing w:after="0"/>
              <w:rPr>
                <w:sz w:val="15"/>
                <w:szCs w:val="15"/>
                <w:color w:val="auto"/>
              </w:rPr>
            </w:pPr>
          </w:p>
        </w:tc>
        <w:tc>
          <w:tcPr>
            <w:tcW w:w="260" w:type="dxa"/>
            <w:vAlign w:val="bottom"/>
            <w:tcBorders>
              <w:bottom w:val="single" w:sz="8" w:color="A1AFC2"/>
            </w:tcBorders>
          </w:tcPr>
          <w:p>
            <w:pPr>
              <w:spacing w:after="0"/>
              <w:rPr>
                <w:sz w:val="15"/>
                <w:szCs w:val="15"/>
                <w:color w:val="auto"/>
              </w:rPr>
            </w:pPr>
          </w:p>
        </w:tc>
        <w:tc>
          <w:tcPr>
            <w:tcW w:w="480" w:type="dxa"/>
            <w:vAlign w:val="bottom"/>
            <w:tcBorders>
              <w:bottom w:val="single" w:sz="8" w:color="A1AFC2"/>
            </w:tcBorders>
          </w:tcPr>
          <w:p>
            <w:pPr>
              <w:spacing w:after="0"/>
              <w:rPr>
                <w:sz w:val="15"/>
                <w:szCs w:val="15"/>
                <w:color w:val="auto"/>
              </w:rPr>
            </w:pPr>
          </w:p>
        </w:tc>
        <w:tc>
          <w:tcPr>
            <w:tcW w:w="180" w:type="dxa"/>
            <w:vAlign w:val="bottom"/>
            <w:tcBorders>
              <w:bottom w:val="single" w:sz="8" w:color="A1AFC2"/>
            </w:tcBorders>
          </w:tcPr>
          <w:p>
            <w:pPr>
              <w:spacing w:after="0"/>
              <w:rPr>
                <w:sz w:val="15"/>
                <w:szCs w:val="15"/>
                <w:color w:val="auto"/>
              </w:rPr>
            </w:pPr>
          </w:p>
        </w:tc>
        <w:tc>
          <w:tcPr>
            <w:tcW w:w="680" w:type="dxa"/>
            <w:vAlign w:val="bottom"/>
            <w:tcBorders>
              <w:bottom w:val="single" w:sz="8" w:color="A1AFC2"/>
            </w:tcBorders>
          </w:tcPr>
          <w:p>
            <w:pPr>
              <w:spacing w:after="0"/>
              <w:rPr>
                <w:sz w:val="15"/>
                <w:szCs w:val="15"/>
                <w:color w:val="auto"/>
              </w:rPr>
            </w:pPr>
          </w:p>
        </w:tc>
        <w:tc>
          <w:tcPr>
            <w:tcW w:w="120" w:type="dxa"/>
            <w:vAlign w:val="bottom"/>
            <w:tcBorders>
              <w:bottom w:val="single" w:sz="8" w:color="A1AFC2"/>
            </w:tcBorders>
          </w:tcPr>
          <w:p>
            <w:pPr>
              <w:spacing w:after="0"/>
              <w:rPr>
                <w:sz w:val="15"/>
                <w:szCs w:val="15"/>
                <w:color w:val="auto"/>
              </w:rPr>
            </w:pPr>
          </w:p>
        </w:tc>
        <w:tc>
          <w:tcPr>
            <w:tcW w:w="660" w:type="dxa"/>
            <w:vAlign w:val="bottom"/>
            <w:tcBorders>
              <w:bottom w:val="single" w:sz="8" w:color="A1AFC2"/>
            </w:tcBorders>
          </w:tcPr>
          <w:p>
            <w:pPr>
              <w:spacing w:after="0"/>
              <w:rPr>
                <w:sz w:val="15"/>
                <w:szCs w:val="15"/>
                <w:color w:val="auto"/>
              </w:rPr>
            </w:pPr>
          </w:p>
        </w:tc>
        <w:tc>
          <w:tcPr>
            <w:tcW w:w="160" w:type="dxa"/>
            <w:vAlign w:val="bottom"/>
            <w:tcBorders>
              <w:bottom w:val="single" w:sz="8" w:color="A1AFC2"/>
            </w:tcBorders>
          </w:tcPr>
          <w:p>
            <w:pPr>
              <w:spacing w:after="0"/>
              <w:rPr>
                <w:sz w:val="15"/>
                <w:szCs w:val="15"/>
                <w:color w:val="auto"/>
              </w:rPr>
            </w:pPr>
          </w:p>
        </w:tc>
        <w:tc>
          <w:tcPr>
            <w:tcW w:w="520" w:type="dxa"/>
            <w:vAlign w:val="bottom"/>
            <w:tcBorders>
              <w:bottom w:val="single" w:sz="8" w:color="A1AFC2"/>
            </w:tcBorders>
          </w:tcPr>
          <w:p>
            <w:pPr>
              <w:spacing w:after="0"/>
              <w:rPr>
                <w:sz w:val="15"/>
                <w:szCs w:val="15"/>
                <w:color w:val="auto"/>
              </w:rPr>
            </w:pPr>
          </w:p>
        </w:tc>
        <w:tc>
          <w:tcPr>
            <w:tcW w:w="260" w:type="dxa"/>
            <w:vAlign w:val="bottom"/>
            <w:tcBorders>
              <w:bottom w:val="single" w:sz="8" w:color="A1AFC2"/>
            </w:tcBorders>
          </w:tcPr>
          <w:p>
            <w:pPr>
              <w:spacing w:after="0"/>
              <w:rPr>
                <w:sz w:val="15"/>
                <w:szCs w:val="15"/>
                <w:color w:val="auto"/>
              </w:rPr>
            </w:pPr>
          </w:p>
        </w:tc>
        <w:tc>
          <w:tcPr>
            <w:tcW w:w="420" w:type="dxa"/>
            <w:vAlign w:val="bottom"/>
            <w:tcBorders>
              <w:bottom w:val="single" w:sz="8" w:color="A1AFC2"/>
            </w:tcBorders>
          </w:tcPr>
          <w:p>
            <w:pPr>
              <w:spacing w:after="0"/>
              <w:rPr>
                <w:sz w:val="15"/>
                <w:szCs w:val="15"/>
                <w:color w:val="auto"/>
              </w:rPr>
            </w:pPr>
          </w:p>
        </w:tc>
        <w:tc>
          <w:tcPr>
            <w:tcW w:w="240" w:type="dxa"/>
            <w:vAlign w:val="bottom"/>
            <w:tcBorders>
              <w:bottom w:val="single" w:sz="8" w:color="A1AFC2"/>
            </w:tcBorders>
          </w:tcPr>
          <w:p>
            <w:pPr>
              <w:spacing w:after="0"/>
              <w:rPr>
                <w:sz w:val="15"/>
                <w:szCs w:val="15"/>
                <w:color w:val="auto"/>
              </w:rPr>
            </w:pPr>
          </w:p>
        </w:tc>
        <w:tc>
          <w:tcPr>
            <w:tcW w:w="640" w:type="dxa"/>
            <w:vAlign w:val="bottom"/>
            <w:tcBorders>
              <w:bottom w:val="single" w:sz="8" w:color="A1AFC2"/>
            </w:tcBorders>
          </w:tcPr>
          <w:p>
            <w:pPr>
              <w:spacing w:after="0"/>
              <w:rPr>
                <w:sz w:val="15"/>
                <w:szCs w:val="15"/>
                <w:color w:val="auto"/>
              </w:rPr>
            </w:pPr>
          </w:p>
        </w:tc>
        <w:tc>
          <w:tcPr>
            <w:tcW w:w="180" w:type="dxa"/>
            <w:vAlign w:val="bottom"/>
            <w:tcBorders>
              <w:bottom w:val="single" w:sz="8" w:color="A1AFC2"/>
            </w:tcBorders>
          </w:tcPr>
          <w:p>
            <w:pPr>
              <w:spacing w:after="0"/>
              <w:rPr>
                <w:sz w:val="15"/>
                <w:szCs w:val="15"/>
                <w:color w:val="auto"/>
              </w:rPr>
            </w:pPr>
          </w:p>
        </w:tc>
        <w:tc>
          <w:tcPr>
            <w:tcW w:w="260" w:type="dxa"/>
            <w:vAlign w:val="bottom"/>
            <w:tcBorders>
              <w:bottom w:val="single" w:sz="8" w:color="A1AFC2"/>
            </w:tcBorders>
          </w:tcPr>
          <w:p>
            <w:pPr>
              <w:spacing w:after="0"/>
              <w:rPr>
                <w:sz w:val="15"/>
                <w:szCs w:val="15"/>
                <w:color w:val="auto"/>
              </w:rPr>
            </w:pPr>
          </w:p>
        </w:tc>
        <w:tc>
          <w:tcPr>
            <w:tcW w:w="160" w:type="dxa"/>
            <w:vAlign w:val="bottom"/>
            <w:tcBorders>
              <w:bottom w:val="single" w:sz="8" w:color="A1AFC2"/>
            </w:tcBorders>
          </w:tcPr>
          <w:p>
            <w:pPr>
              <w:spacing w:after="0"/>
              <w:rPr>
                <w:sz w:val="15"/>
                <w:szCs w:val="15"/>
                <w:color w:val="auto"/>
              </w:rPr>
            </w:pPr>
          </w:p>
        </w:tc>
        <w:tc>
          <w:tcPr>
            <w:tcW w:w="700" w:type="dxa"/>
            <w:vAlign w:val="bottom"/>
            <w:tcBorders>
              <w:bottom w:val="single" w:sz="8" w:color="A1AFC2"/>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Michael B.</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jc w:val="center"/>
              <w:spacing w:after="0"/>
              <w:rPr>
                <w:sz w:val="20"/>
                <w:szCs w:val="20"/>
                <w:color w:val="auto"/>
              </w:rPr>
            </w:pPr>
            <w:r>
              <w:rPr>
                <w:rFonts w:ascii="Arial" w:cs="Arial" w:eastAsia="Arial" w:hAnsi="Arial"/>
                <w:sz w:val="15"/>
                <w:szCs w:val="15"/>
                <w:color w:val="435F86"/>
              </w:rPr>
              <w:t>●</w:t>
            </w: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3"/>
                <w:szCs w:val="23"/>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rPr>
              <w:t>—</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Petras, Jr.</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Vincent K.</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jc w:val="center"/>
              <w:ind w:right="8"/>
              <w:spacing w:after="0"/>
              <w:rPr>
                <w:sz w:val="20"/>
                <w:szCs w:val="20"/>
                <w:color w:val="auto"/>
              </w:rPr>
            </w:pPr>
            <w:r>
              <w:rPr>
                <w:rFonts w:ascii="Arial" w:cs="Arial" w:eastAsia="Arial" w:hAnsi="Arial"/>
                <w:sz w:val="15"/>
                <w:szCs w:val="15"/>
                <w:color w:val="435F86"/>
                <w:w w:val="87"/>
              </w:rPr>
              <w:t>●</w:t>
            </w: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jc w:val="center"/>
              <w:spacing w:after="0"/>
              <w:rPr>
                <w:sz w:val="20"/>
                <w:szCs w:val="20"/>
                <w:color w:val="auto"/>
              </w:rPr>
            </w:pPr>
            <w:r>
              <w:rPr>
                <w:rFonts w:ascii="Arial" w:cs="Arial" w:eastAsia="Arial" w:hAnsi="Arial"/>
                <w:sz w:val="15"/>
                <w:szCs w:val="15"/>
                <w:color w:val="435F86"/>
              </w:rPr>
              <w:t>●</w:t>
            </w: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ind w:left="140"/>
              <w:spacing w:after="0"/>
              <w:rPr>
                <w:sz w:val="20"/>
                <w:szCs w:val="20"/>
                <w:color w:val="auto"/>
              </w:rPr>
            </w:pPr>
            <w:r>
              <w:rPr>
                <w:rFonts w:ascii="Arial" w:cs="Arial" w:eastAsia="Arial" w:hAnsi="Arial"/>
                <w:sz w:val="15"/>
                <w:szCs w:val="15"/>
                <w:color w:val="435F86"/>
              </w:rPr>
              <w:t>●</w:t>
            </w: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2</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Petrella</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Christopher A.</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jc w:val="center"/>
              <w:ind w:right="8"/>
              <w:spacing w:after="0"/>
              <w:rPr>
                <w:sz w:val="20"/>
                <w:szCs w:val="20"/>
                <w:color w:val="auto"/>
              </w:rPr>
            </w:pPr>
            <w:r>
              <w:rPr>
                <w:rFonts w:ascii="Arial" w:cs="Arial" w:eastAsia="Arial" w:hAnsi="Arial"/>
                <w:sz w:val="15"/>
                <w:szCs w:val="15"/>
                <w:color w:val="435F86"/>
                <w:w w:val="87"/>
              </w:rPr>
              <w:t>●</w:t>
            </w: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jc w:val="center"/>
              <w:spacing w:after="0"/>
              <w:rPr>
                <w:sz w:val="20"/>
                <w:szCs w:val="20"/>
                <w:color w:val="auto"/>
              </w:rPr>
            </w:pPr>
            <w:r>
              <w:rPr>
                <w:rFonts w:ascii="Arial" w:cs="Arial" w:eastAsia="Arial" w:hAnsi="Arial"/>
                <w:sz w:val="15"/>
                <w:szCs w:val="15"/>
                <w:color w:val="435F86"/>
              </w:rPr>
              <w:t>●</w:t>
            </w: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ind w:left="140"/>
              <w:spacing w:after="0"/>
              <w:rPr>
                <w:sz w:val="20"/>
                <w:szCs w:val="20"/>
                <w:color w:val="auto"/>
              </w:rPr>
            </w:pPr>
            <w:r>
              <w:rPr>
                <w:rFonts w:ascii="Arial" w:cs="Arial" w:eastAsia="Arial" w:hAnsi="Arial"/>
                <w:sz w:val="15"/>
                <w:szCs w:val="15"/>
                <w:color w:val="435F86"/>
              </w:rPr>
              <w:t>●</w:t>
            </w: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1</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A1AFC2"/>
            </w:tcBorders>
          </w:tcPr>
          <w:p>
            <w:pPr>
              <w:ind w:left="100"/>
              <w:spacing w:after="0" w:line="156" w:lineRule="exact"/>
              <w:rPr>
                <w:sz w:val="20"/>
                <w:szCs w:val="20"/>
                <w:color w:val="auto"/>
              </w:rPr>
            </w:pPr>
            <w:r>
              <w:rPr>
                <w:rFonts w:ascii="Arial" w:cs="Arial" w:eastAsia="Arial" w:hAnsi="Arial"/>
                <w:sz w:val="15"/>
                <w:szCs w:val="15"/>
                <w:b w:val="1"/>
                <w:bCs w:val="1"/>
                <w:color w:val="auto"/>
              </w:rPr>
              <w:t>Simon</w:t>
            </w:r>
          </w:p>
        </w:tc>
        <w:tc>
          <w:tcPr>
            <w:tcW w:w="620" w:type="dxa"/>
            <w:vAlign w:val="bottom"/>
            <w:tcBorders>
              <w:bottom w:val="single" w:sz="8" w:color="A1AFC2"/>
            </w:tcBorders>
          </w:tcPr>
          <w:p>
            <w:pPr>
              <w:spacing w:after="0"/>
              <w:rPr>
                <w:sz w:val="13"/>
                <w:szCs w:val="13"/>
                <w:color w:val="auto"/>
              </w:rPr>
            </w:pPr>
          </w:p>
        </w:tc>
        <w:tc>
          <w:tcPr>
            <w:tcW w:w="400" w:type="dxa"/>
            <w:vAlign w:val="bottom"/>
            <w:tcBorders>
              <w:bottom w:val="single" w:sz="8" w:color="A1AFC2"/>
            </w:tcBorders>
          </w:tcPr>
          <w:p>
            <w:pPr>
              <w:spacing w:after="0"/>
              <w:rPr>
                <w:sz w:val="13"/>
                <w:szCs w:val="13"/>
                <w:color w:val="auto"/>
              </w:rPr>
            </w:pPr>
          </w:p>
        </w:tc>
        <w:tc>
          <w:tcPr>
            <w:tcW w:w="280" w:type="dxa"/>
            <w:vAlign w:val="bottom"/>
            <w:tcBorders>
              <w:bottom w:val="single" w:sz="8" w:color="A1AFC2"/>
            </w:tcBorders>
          </w:tcPr>
          <w:p>
            <w:pPr>
              <w:spacing w:after="0"/>
              <w:rPr>
                <w:sz w:val="13"/>
                <w:szCs w:val="13"/>
                <w:color w:val="auto"/>
              </w:rPr>
            </w:pPr>
          </w:p>
        </w:tc>
        <w:tc>
          <w:tcPr>
            <w:tcW w:w="3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8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680" w:type="dxa"/>
            <w:vAlign w:val="bottom"/>
            <w:tcBorders>
              <w:bottom w:val="single" w:sz="8" w:color="A1AFC2"/>
            </w:tcBorders>
          </w:tcPr>
          <w:p>
            <w:pPr>
              <w:spacing w:after="0"/>
              <w:rPr>
                <w:sz w:val="13"/>
                <w:szCs w:val="13"/>
                <w:color w:val="auto"/>
              </w:rPr>
            </w:pPr>
          </w:p>
        </w:tc>
        <w:tc>
          <w:tcPr>
            <w:tcW w:w="120" w:type="dxa"/>
            <w:vAlign w:val="bottom"/>
            <w:tcBorders>
              <w:bottom w:val="single" w:sz="8" w:color="A1AFC2"/>
            </w:tcBorders>
          </w:tcPr>
          <w:p>
            <w:pPr>
              <w:spacing w:after="0"/>
              <w:rPr>
                <w:sz w:val="13"/>
                <w:szCs w:val="13"/>
                <w:color w:val="auto"/>
              </w:rPr>
            </w:pPr>
          </w:p>
        </w:tc>
        <w:tc>
          <w:tcPr>
            <w:tcW w:w="6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52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420" w:type="dxa"/>
            <w:vAlign w:val="bottom"/>
            <w:tcBorders>
              <w:bottom w:val="single" w:sz="8" w:color="A1AFC2"/>
            </w:tcBorders>
          </w:tcPr>
          <w:p>
            <w:pPr>
              <w:spacing w:after="0"/>
              <w:rPr>
                <w:sz w:val="13"/>
                <w:szCs w:val="13"/>
                <w:color w:val="auto"/>
              </w:rPr>
            </w:pPr>
          </w:p>
        </w:tc>
        <w:tc>
          <w:tcPr>
            <w:tcW w:w="240" w:type="dxa"/>
            <w:vAlign w:val="bottom"/>
            <w:tcBorders>
              <w:bottom w:val="single" w:sz="8" w:color="A1AFC2"/>
            </w:tcBorders>
          </w:tcPr>
          <w:p>
            <w:pPr>
              <w:spacing w:after="0"/>
              <w:rPr>
                <w:sz w:val="13"/>
                <w:szCs w:val="13"/>
                <w:color w:val="auto"/>
              </w:rPr>
            </w:pPr>
          </w:p>
        </w:tc>
        <w:tc>
          <w:tcPr>
            <w:tcW w:w="640" w:type="dxa"/>
            <w:vAlign w:val="bottom"/>
            <w:tcBorders>
              <w:bottom w:val="single" w:sz="8" w:color="A1AFC2"/>
            </w:tcBorders>
          </w:tcPr>
          <w:p>
            <w:pPr>
              <w:spacing w:after="0"/>
              <w:rPr>
                <w:sz w:val="13"/>
                <w:szCs w:val="13"/>
                <w:color w:val="auto"/>
              </w:rPr>
            </w:pPr>
          </w:p>
        </w:tc>
        <w:tc>
          <w:tcPr>
            <w:tcW w:w="180" w:type="dxa"/>
            <w:vAlign w:val="bottom"/>
            <w:tcBorders>
              <w:bottom w:val="single" w:sz="8" w:color="A1AFC2"/>
            </w:tcBorders>
          </w:tcPr>
          <w:p>
            <w:pPr>
              <w:spacing w:after="0"/>
              <w:rPr>
                <w:sz w:val="13"/>
                <w:szCs w:val="13"/>
                <w:color w:val="auto"/>
              </w:rPr>
            </w:pPr>
          </w:p>
        </w:tc>
        <w:tc>
          <w:tcPr>
            <w:tcW w:w="260" w:type="dxa"/>
            <w:vAlign w:val="bottom"/>
            <w:tcBorders>
              <w:bottom w:val="single" w:sz="8" w:color="A1AFC2"/>
            </w:tcBorders>
          </w:tcPr>
          <w:p>
            <w:pPr>
              <w:spacing w:after="0"/>
              <w:rPr>
                <w:sz w:val="13"/>
                <w:szCs w:val="13"/>
                <w:color w:val="auto"/>
              </w:rPr>
            </w:pPr>
          </w:p>
        </w:tc>
        <w:tc>
          <w:tcPr>
            <w:tcW w:w="160" w:type="dxa"/>
            <w:vAlign w:val="bottom"/>
            <w:tcBorders>
              <w:bottom w:val="single" w:sz="8" w:color="A1AFC2"/>
            </w:tcBorders>
          </w:tcPr>
          <w:p>
            <w:pPr>
              <w:spacing w:after="0"/>
              <w:rPr>
                <w:sz w:val="13"/>
                <w:szCs w:val="13"/>
                <w:color w:val="auto"/>
              </w:rPr>
            </w:pPr>
          </w:p>
        </w:tc>
        <w:tc>
          <w:tcPr>
            <w:tcW w:w="700" w:type="dxa"/>
            <w:vAlign w:val="bottom"/>
            <w:tcBorders>
              <w:bottom w:val="single" w:sz="8" w:color="A1AFC2"/>
            </w:tcBorders>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1120" w:type="dxa"/>
            <w:vAlign w:val="bottom"/>
          </w:tcPr>
          <w:p>
            <w:pPr>
              <w:ind w:left="40"/>
              <w:spacing w:after="0" w:line="266" w:lineRule="exact"/>
              <w:rPr>
                <w:sz w:val="20"/>
                <w:szCs w:val="20"/>
                <w:color w:val="auto"/>
              </w:rPr>
            </w:pPr>
            <w:r>
              <w:rPr>
                <w:rFonts w:ascii="Arial" w:cs="Arial" w:eastAsia="Arial" w:hAnsi="Arial"/>
                <w:sz w:val="29"/>
                <w:szCs w:val="29"/>
                <w:color w:val="435F86"/>
                <w:vertAlign w:val="subscript"/>
              </w:rPr>
              <w:t>​</w:t>
            </w:r>
            <w:r>
              <w:rPr>
                <w:rFonts w:ascii="Arial" w:cs="Arial" w:eastAsia="Arial" w:hAnsi="Arial"/>
                <w:sz w:val="15"/>
                <w:szCs w:val="15"/>
                <w:b w:val="1"/>
                <w:bCs w:val="1"/>
                <w:color w:val="auto"/>
              </w:rPr>
              <w:t>David E.</w:t>
            </w:r>
          </w:p>
        </w:tc>
        <w:tc>
          <w:tcPr>
            <w:tcW w:w="620" w:type="dxa"/>
            <w:vAlign w:val="bottom"/>
          </w:tcPr>
          <w:p>
            <w:pPr>
              <w:jc w:val="right"/>
              <w:ind w:right="168"/>
              <w:spacing w:after="0"/>
              <w:rPr>
                <w:sz w:val="20"/>
                <w:szCs w:val="20"/>
                <w:color w:val="auto"/>
              </w:rPr>
            </w:pPr>
            <w:r>
              <w:rPr>
                <w:rFonts w:ascii="Arial" w:cs="Arial" w:eastAsia="Arial" w:hAnsi="Arial"/>
                <w:sz w:val="15"/>
                <w:szCs w:val="15"/>
                <w:color w:val="435F86"/>
              </w:rPr>
              <w:t>●</w:t>
            </w:r>
          </w:p>
        </w:tc>
        <w:tc>
          <w:tcPr>
            <w:tcW w:w="400" w:type="dxa"/>
            <w:vAlign w:val="bottom"/>
          </w:tcPr>
          <w:p>
            <w:pPr>
              <w:ind w:left="220"/>
              <w:spacing w:after="0"/>
              <w:rPr>
                <w:sz w:val="20"/>
                <w:szCs w:val="20"/>
                <w:color w:val="auto"/>
              </w:rPr>
            </w:pPr>
            <w:r>
              <w:rPr>
                <w:rFonts w:ascii="Arial" w:cs="Arial" w:eastAsia="Arial" w:hAnsi="Arial"/>
                <w:sz w:val="15"/>
                <w:szCs w:val="15"/>
                <w:color w:val="435F86"/>
              </w:rPr>
              <w:t>●</w:t>
            </w:r>
          </w:p>
        </w:tc>
        <w:tc>
          <w:tcPr>
            <w:tcW w:w="280" w:type="dxa"/>
            <w:vAlign w:val="bottom"/>
          </w:tcPr>
          <w:p>
            <w:pPr>
              <w:ind w:left="100"/>
              <w:spacing w:after="0"/>
              <w:rPr>
                <w:sz w:val="20"/>
                <w:szCs w:val="20"/>
                <w:color w:val="auto"/>
              </w:rPr>
            </w:pPr>
            <w:r>
              <w:rPr>
                <w:rFonts w:ascii="Arial" w:cs="Arial" w:eastAsia="Arial" w:hAnsi="Arial"/>
                <w:sz w:val="15"/>
                <w:szCs w:val="15"/>
                <w:color w:val="435F86"/>
              </w:rPr>
              <w:t>​</w:t>
            </w:r>
          </w:p>
        </w:tc>
        <w:tc>
          <w:tcPr>
            <w:tcW w:w="380" w:type="dxa"/>
            <w:vAlign w:val="bottom"/>
          </w:tcPr>
          <w:p>
            <w:pPr>
              <w:ind w:left="140"/>
              <w:spacing w:after="0"/>
              <w:rPr>
                <w:sz w:val="20"/>
                <w:szCs w:val="20"/>
                <w:color w:val="auto"/>
              </w:rPr>
            </w:pPr>
            <w:r>
              <w:rPr>
                <w:rFonts w:ascii="Arial" w:cs="Arial" w:eastAsia="Arial" w:hAnsi="Arial"/>
                <w:sz w:val="15"/>
                <w:szCs w:val="15"/>
                <w:color w:val="435F86"/>
              </w:rPr>
              <w:t>●</w:t>
            </w:r>
          </w:p>
        </w:tc>
        <w:tc>
          <w:tcPr>
            <w:tcW w:w="260" w:type="dxa"/>
            <w:vAlign w:val="bottom"/>
          </w:tcPr>
          <w:p>
            <w:pPr>
              <w:ind w:left="160"/>
              <w:spacing w:after="0"/>
              <w:rPr>
                <w:sz w:val="20"/>
                <w:szCs w:val="20"/>
                <w:color w:val="auto"/>
              </w:rPr>
            </w:pPr>
            <w:r>
              <w:rPr>
                <w:rFonts w:ascii="Arial" w:cs="Arial" w:eastAsia="Arial" w:hAnsi="Arial"/>
                <w:sz w:val="15"/>
                <w:szCs w:val="15"/>
                <w:color w:val="435F86"/>
              </w:rPr>
              <w:t>​</w:t>
            </w:r>
          </w:p>
        </w:tc>
        <w:tc>
          <w:tcPr>
            <w:tcW w:w="480" w:type="dxa"/>
            <w:vAlign w:val="bottom"/>
          </w:tcPr>
          <w:p>
            <w:pPr>
              <w:jc w:val="right"/>
              <w:ind w:right="148"/>
              <w:spacing w:after="0"/>
              <w:rPr>
                <w:sz w:val="20"/>
                <w:szCs w:val="20"/>
                <w:color w:val="auto"/>
              </w:rPr>
            </w:pPr>
            <w:r>
              <w:rPr>
                <w:rFonts w:ascii="Arial" w:cs="Arial" w:eastAsia="Arial" w:hAnsi="Arial"/>
                <w:sz w:val="15"/>
                <w:szCs w:val="15"/>
                <w:color w:val="435F86"/>
              </w:rPr>
              <w:t>●</w:t>
            </w:r>
          </w:p>
        </w:tc>
        <w:tc>
          <w:tcPr>
            <w:tcW w:w="180" w:type="dxa"/>
            <w:vAlign w:val="bottom"/>
          </w:tcPr>
          <w:p>
            <w:pPr>
              <w:ind w:left="60"/>
              <w:spacing w:after="0"/>
              <w:rPr>
                <w:sz w:val="20"/>
                <w:szCs w:val="20"/>
                <w:color w:val="auto"/>
              </w:rPr>
            </w:pPr>
            <w:r>
              <w:rPr>
                <w:rFonts w:ascii="Arial" w:cs="Arial" w:eastAsia="Arial" w:hAnsi="Arial"/>
                <w:sz w:val="15"/>
                <w:szCs w:val="15"/>
                <w:color w:val="435F86"/>
              </w:rPr>
              <w:t>​</w:t>
            </w:r>
          </w:p>
        </w:tc>
        <w:tc>
          <w:tcPr>
            <w:tcW w:w="680" w:type="dxa"/>
            <w:vAlign w:val="bottom"/>
          </w:tcPr>
          <w:p>
            <w:pPr>
              <w:jc w:val="center"/>
              <w:ind w:right="8"/>
              <w:spacing w:after="0"/>
              <w:rPr>
                <w:sz w:val="20"/>
                <w:szCs w:val="20"/>
                <w:color w:val="auto"/>
              </w:rPr>
            </w:pPr>
            <w:r>
              <w:rPr>
                <w:rFonts w:ascii="Arial" w:cs="Arial" w:eastAsia="Arial" w:hAnsi="Arial"/>
                <w:sz w:val="15"/>
                <w:szCs w:val="15"/>
                <w:color w:val="435F86"/>
                <w:w w:val="87"/>
              </w:rPr>
              <w:t>●</w:t>
            </w:r>
          </w:p>
        </w:tc>
        <w:tc>
          <w:tcPr>
            <w:tcW w:w="120" w:type="dxa"/>
            <w:vAlign w:val="bottom"/>
          </w:tcPr>
          <w:p>
            <w:pPr>
              <w:ind w:left="20"/>
              <w:spacing w:after="0"/>
              <w:rPr>
                <w:sz w:val="20"/>
                <w:szCs w:val="20"/>
                <w:color w:val="auto"/>
              </w:rPr>
            </w:pPr>
            <w:r>
              <w:rPr>
                <w:rFonts w:ascii="Arial" w:cs="Arial" w:eastAsia="Arial" w:hAnsi="Arial"/>
                <w:sz w:val="15"/>
                <w:szCs w:val="15"/>
                <w:color w:val="435F86"/>
              </w:rPr>
              <w:t>​</w:t>
            </w:r>
          </w:p>
        </w:tc>
        <w:tc>
          <w:tcPr>
            <w:tcW w:w="660" w:type="dxa"/>
            <w:vAlign w:val="bottom"/>
          </w:tcPr>
          <w:p>
            <w:pPr>
              <w:jc w:val="center"/>
              <w:spacing w:after="0"/>
              <w:rPr>
                <w:sz w:val="20"/>
                <w:szCs w:val="20"/>
                <w:color w:val="auto"/>
              </w:rPr>
            </w:pPr>
            <w:r>
              <w:rPr>
                <w:rFonts w:ascii="Arial" w:cs="Arial" w:eastAsia="Arial" w:hAnsi="Arial"/>
                <w:sz w:val="15"/>
                <w:szCs w:val="15"/>
                <w:color w:val="435F86"/>
              </w:rPr>
              <w:t>●</w:t>
            </w:r>
          </w:p>
        </w:tc>
        <w:tc>
          <w:tcPr>
            <w:tcW w:w="160" w:type="dxa"/>
            <w:vAlign w:val="bottom"/>
          </w:tcPr>
          <w:p>
            <w:pPr>
              <w:ind w:left="80"/>
              <w:spacing w:after="0"/>
              <w:rPr>
                <w:sz w:val="20"/>
                <w:szCs w:val="20"/>
                <w:color w:val="auto"/>
              </w:rPr>
            </w:pPr>
            <w:r>
              <w:rPr>
                <w:rFonts w:ascii="Arial" w:cs="Arial" w:eastAsia="Arial" w:hAnsi="Arial"/>
                <w:sz w:val="15"/>
                <w:szCs w:val="15"/>
                <w:color w:val="435F86"/>
              </w:rPr>
              <w:t>​</w:t>
            </w:r>
          </w:p>
        </w:tc>
        <w:tc>
          <w:tcPr>
            <w:tcW w:w="52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Arial" w:cs="Arial" w:eastAsia="Arial" w:hAnsi="Arial"/>
                <w:sz w:val="15"/>
                <w:szCs w:val="15"/>
                <w:color w:val="435F86"/>
              </w:rPr>
              <w:t>​</w:t>
            </w:r>
          </w:p>
        </w:tc>
        <w:tc>
          <w:tcPr>
            <w:tcW w:w="420" w:type="dxa"/>
            <w:vAlign w:val="bottom"/>
          </w:tcPr>
          <w:p>
            <w:pPr>
              <w:spacing w:after="0"/>
              <w:rPr>
                <w:sz w:val="23"/>
                <w:szCs w:val="23"/>
                <w:color w:val="auto"/>
              </w:rPr>
            </w:pPr>
          </w:p>
        </w:tc>
        <w:tc>
          <w:tcPr>
            <w:tcW w:w="240" w:type="dxa"/>
            <w:vAlign w:val="bottom"/>
          </w:tcPr>
          <w:p>
            <w:pPr>
              <w:ind w:left="160"/>
              <w:spacing w:after="0"/>
              <w:rPr>
                <w:sz w:val="20"/>
                <w:szCs w:val="20"/>
                <w:color w:val="auto"/>
              </w:rPr>
            </w:pPr>
            <w:r>
              <w:rPr>
                <w:rFonts w:ascii="Arial" w:cs="Arial" w:eastAsia="Arial" w:hAnsi="Arial"/>
                <w:sz w:val="15"/>
                <w:szCs w:val="15"/>
                <w:color w:val="435F86"/>
              </w:rPr>
              <w:t>​</w:t>
            </w:r>
          </w:p>
        </w:tc>
        <w:tc>
          <w:tcPr>
            <w:tcW w:w="640" w:type="dxa"/>
            <w:vAlign w:val="bottom"/>
          </w:tcPr>
          <w:p>
            <w:pPr>
              <w:jc w:val="center"/>
              <w:spacing w:after="0"/>
              <w:rPr>
                <w:sz w:val="20"/>
                <w:szCs w:val="20"/>
                <w:color w:val="auto"/>
              </w:rPr>
            </w:pPr>
            <w:r>
              <w:rPr>
                <w:rFonts w:ascii="Arial" w:cs="Arial" w:eastAsia="Arial" w:hAnsi="Arial"/>
                <w:sz w:val="15"/>
                <w:szCs w:val="15"/>
                <w:color w:val="435F86"/>
              </w:rPr>
              <w:t>●</w:t>
            </w:r>
          </w:p>
        </w:tc>
        <w:tc>
          <w:tcPr>
            <w:tcW w:w="180" w:type="dxa"/>
            <w:vAlign w:val="bottom"/>
          </w:tcPr>
          <w:p>
            <w:pPr>
              <w:ind w:left="40"/>
              <w:spacing w:after="0"/>
              <w:rPr>
                <w:sz w:val="20"/>
                <w:szCs w:val="20"/>
                <w:color w:val="auto"/>
              </w:rPr>
            </w:pPr>
            <w:r>
              <w:rPr>
                <w:rFonts w:ascii="Arial" w:cs="Arial" w:eastAsia="Arial" w:hAnsi="Arial"/>
                <w:sz w:val="15"/>
                <w:szCs w:val="15"/>
                <w:color w:val="435F86"/>
              </w:rPr>
              <w:t>​</w:t>
            </w:r>
          </w:p>
        </w:tc>
        <w:tc>
          <w:tcPr>
            <w:tcW w:w="260" w:type="dxa"/>
            <w:vAlign w:val="bottom"/>
          </w:tcPr>
          <w:p>
            <w:pPr>
              <w:ind w:left="80"/>
              <w:spacing w:after="0"/>
              <w:rPr>
                <w:sz w:val="20"/>
                <w:szCs w:val="20"/>
                <w:color w:val="auto"/>
              </w:rPr>
            </w:pPr>
            <w:r>
              <w:rPr>
                <w:rFonts w:ascii="Arial" w:cs="Arial" w:eastAsia="Arial" w:hAnsi="Arial"/>
                <w:sz w:val="15"/>
                <w:szCs w:val="15"/>
                <w:color w:val="435F86"/>
              </w:rPr>
              <w:t>●</w:t>
            </w:r>
          </w:p>
        </w:tc>
        <w:tc>
          <w:tcPr>
            <w:tcW w:w="160" w:type="dxa"/>
            <w:vAlign w:val="bottom"/>
          </w:tcPr>
          <w:p>
            <w:pPr>
              <w:ind w:left="100"/>
              <w:spacing w:after="0"/>
              <w:rPr>
                <w:sz w:val="20"/>
                <w:szCs w:val="20"/>
                <w:color w:val="auto"/>
              </w:rPr>
            </w:pPr>
            <w:r>
              <w:rPr>
                <w:rFonts w:ascii="Arial" w:cs="Arial" w:eastAsia="Arial" w:hAnsi="Arial"/>
                <w:sz w:val="15"/>
                <w:szCs w:val="15"/>
                <w:color w:val="435F86"/>
              </w:rPr>
              <w:t>​</w:t>
            </w:r>
          </w:p>
        </w:tc>
        <w:tc>
          <w:tcPr>
            <w:tcW w:w="700" w:type="dxa"/>
            <w:vAlign w:val="bottom"/>
          </w:tcPr>
          <w:p>
            <w:pPr>
              <w:jc w:val="center"/>
              <w:spacing w:after="0"/>
              <w:rPr>
                <w:sz w:val="20"/>
                <w:szCs w:val="20"/>
                <w:color w:val="auto"/>
              </w:rPr>
            </w:pPr>
            <w:r>
              <w:rPr>
                <w:rFonts w:ascii="Arial" w:cs="Arial" w:eastAsia="Arial" w:hAnsi="Arial"/>
                <w:sz w:val="15"/>
                <w:szCs w:val="15"/>
                <w:b w:val="1"/>
                <w:bCs w:val="1"/>
                <w:color w:val="435F86"/>
                <w:w w:val="95"/>
              </w:rPr>
              <w:t>2</w:t>
            </w:r>
          </w:p>
        </w:tc>
        <w:tc>
          <w:tcPr>
            <w:tcW w:w="0" w:type="dxa"/>
            <w:vAlign w:val="bottom"/>
          </w:tcPr>
          <w:p>
            <w:pPr>
              <w:spacing w:after="0"/>
              <w:rPr>
                <w:sz w:val="1"/>
                <w:szCs w:val="1"/>
                <w:color w:val="auto"/>
              </w:rPr>
            </w:pPr>
          </w:p>
        </w:tc>
      </w:tr>
      <w:tr>
        <w:trPr>
          <w:trHeight w:val="156"/>
        </w:trPr>
        <w:tc>
          <w:tcPr>
            <w:tcW w:w="1120" w:type="dxa"/>
            <w:vAlign w:val="bottom"/>
            <w:tcBorders>
              <w:bottom w:val="single" w:sz="8" w:color="435F86"/>
            </w:tcBorders>
          </w:tcPr>
          <w:p>
            <w:pPr>
              <w:ind w:left="100"/>
              <w:spacing w:after="0" w:line="156" w:lineRule="exact"/>
              <w:rPr>
                <w:sz w:val="20"/>
                <w:szCs w:val="20"/>
                <w:color w:val="auto"/>
              </w:rPr>
            </w:pPr>
            <w:r>
              <w:rPr>
                <w:rFonts w:ascii="Arial" w:cs="Arial" w:eastAsia="Arial" w:hAnsi="Arial"/>
                <w:sz w:val="15"/>
                <w:szCs w:val="15"/>
                <w:b w:val="1"/>
                <w:bCs w:val="1"/>
                <w:color w:val="auto"/>
              </w:rPr>
              <w:t>Wheadon</w:t>
            </w:r>
          </w:p>
        </w:tc>
        <w:tc>
          <w:tcPr>
            <w:tcW w:w="620" w:type="dxa"/>
            <w:vAlign w:val="bottom"/>
            <w:tcBorders>
              <w:bottom w:val="single" w:sz="8" w:color="435F86"/>
            </w:tcBorders>
          </w:tcPr>
          <w:p>
            <w:pPr>
              <w:spacing w:after="0"/>
              <w:rPr>
                <w:sz w:val="13"/>
                <w:szCs w:val="13"/>
                <w:color w:val="auto"/>
              </w:rPr>
            </w:pPr>
          </w:p>
        </w:tc>
        <w:tc>
          <w:tcPr>
            <w:tcW w:w="400" w:type="dxa"/>
            <w:vAlign w:val="bottom"/>
            <w:tcBorders>
              <w:bottom w:val="single" w:sz="8" w:color="435F86"/>
            </w:tcBorders>
          </w:tcPr>
          <w:p>
            <w:pPr>
              <w:spacing w:after="0"/>
              <w:rPr>
                <w:sz w:val="13"/>
                <w:szCs w:val="13"/>
                <w:color w:val="auto"/>
              </w:rPr>
            </w:pPr>
          </w:p>
        </w:tc>
        <w:tc>
          <w:tcPr>
            <w:tcW w:w="280" w:type="dxa"/>
            <w:vAlign w:val="bottom"/>
            <w:tcBorders>
              <w:bottom w:val="single" w:sz="8" w:color="435F86"/>
            </w:tcBorders>
          </w:tcPr>
          <w:p>
            <w:pPr>
              <w:spacing w:after="0"/>
              <w:rPr>
                <w:sz w:val="13"/>
                <w:szCs w:val="13"/>
                <w:color w:val="auto"/>
              </w:rPr>
            </w:pPr>
          </w:p>
        </w:tc>
        <w:tc>
          <w:tcPr>
            <w:tcW w:w="380" w:type="dxa"/>
            <w:vAlign w:val="bottom"/>
            <w:tcBorders>
              <w:bottom w:val="single" w:sz="8" w:color="435F86"/>
            </w:tcBorders>
          </w:tcPr>
          <w:p>
            <w:pPr>
              <w:spacing w:after="0"/>
              <w:rPr>
                <w:sz w:val="13"/>
                <w:szCs w:val="13"/>
                <w:color w:val="auto"/>
              </w:rPr>
            </w:pPr>
          </w:p>
        </w:tc>
        <w:tc>
          <w:tcPr>
            <w:tcW w:w="260" w:type="dxa"/>
            <w:vAlign w:val="bottom"/>
            <w:tcBorders>
              <w:bottom w:val="single" w:sz="8" w:color="435F86"/>
            </w:tcBorders>
          </w:tcPr>
          <w:p>
            <w:pPr>
              <w:spacing w:after="0"/>
              <w:rPr>
                <w:sz w:val="13"/>
                <w:szCs w:val="13"/>
                <w:color w:val="auto"/>
              </w:rPr>
            </w:pPr>
          </w:p>
        </w:tc>
        <w:tc>
          <w:tcPr>
            <w:tcW w:w="480" w:type="dxa"/>
            <w:vAlign w:val="bottom"/>
            <w:tcBorders>
              <w:bottom w:val="single" w:sz="8" w:color="435F86"/>
            </w:tcBorders>
          </w:tcPr>
          <w:p>
            <w:pPr>
              <w:spacing w:after="0"/>
              <w:rPr>
                <w:sz w:val="13"/>
                <w:szCs w:val="13"/>
                <w:color w:val="auto"/>
              </w:rPr>
            </w:pPr>
          </w:p>
        </w:tc>
        <w:tc>
          <w:tcPr>
            <w:tcW w:w="180" w:type="dxa"/>
            <w:vAlign w:val="bottom"/>
            <w:tcBorders>
              <w:bottom w:val="single" w:sz="8" w:color="435F86"/>
            </w:tcBorders>
          </w:tcPr>
          <w:p>
            <w:pPr>
              <w:spacing w:after="0"/>
              <w:rPr>
                <w:sz w:val="13"/>
                <w:szCs w:val="13"/>
                <w:color w:val="auto"/>
              </w:rPr>
            </w:pPr>
          </w:p>
        </w:tc>
        <w:tc>
          <w:tcPr>
            <w:tcW w:w="680" w:type="dxa"/>
            <w:vAlign w:val="bottom"/>
            <w:tcBorders>
              <w:bottom w:val="single" w:sz="8" w:color="435F86"/>
            </w:tcBorders>
          </w:tcPr>
          <w:p>
            <w:pPr>
              <w:spacing w:after="0"/>
              <w:rPr>
                <w:sz w:val="13"/>
                <w:szCs w:val="13"/>
                <w:color w:val="auto"/>
              </w:rPr>
            </w:pPr>
          </w:p>
        </w:tc>
        <w:tc>
          <w:tcPr>
            <w:tcW w:w="120" w:type="dxa"/>
            <w:vAlign w:val="bottom"/>
            <w:tcBorders>
              <w:bottom w:val="single" w:sz="8" w:color="435F86"/>
            </w:tcBorders>
          </w:tcPr>
          <w:p>
            <w:pPr>
              <w:spacing w:after="0"/>
              <w:rPr>
                <w:sz w:val="13"/>
                <w:szCs w:val="13"/>
                <w:color w:val="auto"/>
              </w:rPr>
            </w:pPr>
          </w:p>
        </w:tc>
        <w:tc>
          <w:tcPr>
            <w:tcW w:w="660" w:type="dxa"/>
            <w:vAlign w:val="bottom"/>
            <w:tcBorders>
              <w:bottom w:val="single" w:sz="8" w:color="435F86"/>
            </w:tcBorders>
          </w:tcPr>
          <w:p>
            <w:pPr>
              <w:spacing w:after="0"/>
              <w:rPr>
                <w:sz w:val="13"/>
                <w:szCs w:val="13"/>
                <w:color w:val="auto"/>
              </w:rPr>
            </w:pPr>
          </w:p>
        </w:tc>
        <w:tc>
          <w:tcPr>
            <w:tcW w:w="160" w:type="dxa"/>
            <w:vAlign w:val="bottom"/>
            <w:tcBorders>
              <w:bottom w:val="single" w:sz="8" w:color="435F86"/>
            </w:tcBorders>
          </w:tcPr>
          <w:p>
            <w:pPr>
              <w:spacing w:after="0"/>
              <w:rPr>
                <w:sz w:val="13"/>
                <w:szCs w:val="13"/>
                <w:color w:val="auto"/>
              </w:rPr>
            </w:pPr>
          </w:p>
        </w:tc>
        <w:tc>
          <w:tcPr>
            <w:tcW w:w="520" w:type="dxa"/>
            <w:vAlign w:val="bottom"/>
            <w:tcBorders>
              <w:bottom w:val="single" w:sz="8" w:color="435F86"/>
            </w:tcBorders>
          </w:tcPr>
          <w:p>
            <w:pPr>
              <w:spacing w:after="0"/>
              <w:rPr>
                <w:sz w:val="13"/>
                <w:szCs w:val="13"/>
                <w:color w:val="auto"/>
              </w:rPr>
            </w:pPr>
          </w:p>
        </w:tc>
        <w:tc>
          <w:tcPr>
            <w:tcW w:w="260" w:type="dxa"/>
            <w:vAlign w:val="bottom"/>
            <w:tcBorders>
              <w:bottom w:val="single" w:sz="8" w:color="435F86"/>
            </w:tcBorders>
          </w:tcPr>
          <w:p>
            <w:pPr>
              <w:spacing w:after="0"/>
              <w:rPr>
                <w:sz w:val="13"/>
                <w:szCs w:val="13"/>
                <w:color w:val="auto"/>
              </w:rPr>
            </w:pPr>
          </w:p>
        </w:tc>
        <w:tc>
          <w:tcPr>
            <w:tcW w:w="420" w:type="dxa"/>
            <w:vAlign w:val="bottom"/>
            <w:tcBorders>
              <w:bottom w:val="single" w:sz="8" w:color="435F86"/>
            </w:tcBorders>
          </w:tcPr>
          <w:p>
            <w:pPr>
              <w:spacing w:after="0"/>
              <w:rPr>
                <w:sz w:val="13"/>
                <w:szCs w:val="13"/>
                <w:color w:val="auto"/>
              </w:rPr>
            </w:pPr>
          </w:p>
        </w:tc>
        <w:tc>
          <w:tcPr>
            <w:tcW w:w="240" w:type="dxa"/>
            <w:vAlign w:val="bottom"/>
            <w:tcBorders>
              <w:bottom w:val="single" w:sz="8" w:color="435F86"/>
            </w:tcBorders>
          </w:tcPr>
          <w:p>
            <w:pPr>
              <w:spacing w:after="0"/>
              <w:rPr>
                <w:sz w:val="13"/>
                <w:szCs w:val="13"/>
                <w:color w:val="auto"/>
              </w:rPr>
            </w:pPr>
          </w:p>
        </w:tc>
        <w:tc>
          <w:tcPr>
            <w:tcW w:w="640" w:type="dxa"/>
            <w:vAlign w:val="bottom"/>
            <w:tcBorders>
              <w:bottom w:val="single" w:sz="8" w:color="435F86"/>
            </w:tcBorders>
          </w:tcPr>
          <w:p>
            <w:pPr>
              <w:spacing w:after="0"/>
              <w:rPr>
                <w:sz w:val="13"/>
                <w:szCs w:val="13"/>
                <w:color w:val="auto"/>
              </w:rPr>
            </w:pPr>
          </w:p>
        </w:tc>
        <w:tc>
          <w:tcPr>
            <w:tcW w:w="180" w:type="dxa"/>
            <w:vAlign w:val="bottom"/>
            <w:tcBorders>
              <w:bottom w:val="single" w:sz="8" w:color="435F86"/>
            </w:tcBorders>
          </w:tcPr>
          <w:p>
            <w:pPr>
              <w:spacing w:after="0"/>
              <w:rPr>
                <w:sz w:val="13"/>
                <w:szCs w:val="13"/>
                <w:color w:val="auto"/>
              </w:rPr>
            </w:pPr>
          </w:p>
        </w:tc>
        <w:tc>
          <w:tcPr>
            <w:tcW w:w="260" w:type="dxa"/>
            <w:vAlign w:val="bottom"/>
            <w:tcBorders>
              <w:bottom w:val="single" w:sz="8" w:color="435F86"/>
            </w:tcBorders>
          </w:tcPr>
          <w:p>
            <w:pPr>
              <w:spacing w:after="0"/>
              <w:rPr>
                <w:sz w:val="13"/>
                <w:szCs w:val="13"/>
                <w:color w:val="auto"/>
              </w:rPr>
            </w:pPr>
          </w:p>
        </w:tc>
        <w:tc>
          <w:tcPr>
            <w:tcW w:w="160" w:type="dxa"/>
            <w:vAlign w:val="bottom"/>
            <w:tcBorders>
              <w:bottom w:val="single" w:sz="8" w:color="435F86"/>
            </w:tcBorders>
          </w:tcPr>
          <w:p>
            <w:pPr>
              <w:spacing w:after="0"/>
              <w:rPr>
                <w:sz w:val="13"/>
                <w:szCs w:val="13"/>
                <w:color w:val="auto"/>
              </w:rPr>
            </w:pPr>
          </w:p>
        </w:tc>
        <w:tc>
          <w:tcPr>
            <w:tcW w:w="700" w:type="dxa"/>
            <w:vAlign w:val="bottom"/>
            <w:tcBorders>
              <w:bottom w:val="single" w:sz="8" w:color="435F86"/>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-3411855</wp:posOffset>
            </wp:positionV>
            <wp:extent cx="4664710" cy="304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64710" cy="304800"/>
                    </a:xfrm>
                    <a:prstGeom prst="rect">
                      <a:avLst/>
                    </a:prstGeom>
                    <a:noFill/>
                  </pic:spPr>
                </pic:pic>
              </a:graphicData>
            </a:graphic>
          </wp:anchor>
        </w:drawing>
      </w:r>
    </w:p>
    <w:p>
      <w:pPr>
        <w:spacing w:after="0" w:line="148" w:lineRule="exact"/>
        <w:rPr>
          <w:sz w:val="20"/>
          <w:szCs w:val="20"/>
          <w:color w:val="auto"/>
        </w:rPr>
      </w:pPr>
    </w:p>
    <w:p>
      <w:pPr>
        <w:ind w:left="780" w:right="279"/>
        <w:spacing w:after="0" w:line="261" w:lineRule="auto"/>
        <w:rPr>
          <w:sz w:val="20"/>
          <w:szCs w:val="20"/>
          <w:color w:val="auto"/>
        </w:rPr>
      </w:pPr>
      <w:r>
        <w:rPr>
          <w:rFonts w:ascii="Arial" w:cs="Arial" w:eastAsia="Arial" w:hAnsi="Arial"/>
          <w:sz w:val="20"/>
          <w:szCs w:val="20"/>
          <w:color w:val="auto"/>
        </w:rPr>
        <w:t>As further described in “Director Nominee Criteria and Process,” all directors and director nominees must demonstrate integrity, strength of character and judgment, and have extensive business experience, specific areas of expertise and the ability to devote adequate time and effort to Board responsibilities. Additional information regarding the skills, experience and attributes of each of the three nominees for election as a director at the Annual Meeting, and for each of the continuing members of our Board, is included in directors’ individual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2088515</wp:posOffset>
            </wp:positionV>
            <wp:extent cx="494665" cy="165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1964690</wp:posOffset>
            </wp:positionV>
            <wp:extent cx="55384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Board Composition, Nominations Process and Director Qualifications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Board Skills, Experience and Attributes</w:t>
      </w:r>
    </w:p>
    <w:p>
      <w:pPr>
        <w:spacing w:after="0" w:line="238" w:lineRule="exact"/>
        <w:rPr>
          <w:sz w:val="20"/>
          <w:szCs w:val="20"/>
          <w:color w:val="auto"/>
        </w:rPr>
      </w:pPr>
    </w:p>
    <w:p>
      <w:pPr>
        <w:ind w:left="780" w:right="1720"/>
        <w:spacing w:after="0" w:line="264" w:lineRule="auto"/>
        <w:rPr>
          <w:sz w:val="20"/>
          <w:szCs w:val="20"/>
          <w:color w:val="auto"/>
        </w:rPr>
      </w:pPr>
      <w:r>
        <w:rPr>
          <w:rFonts w:ascii="Arial" w:cs="Arial" w:eastAsia="Arial" w:hAnsi="Arial"/>
          <w:sz w:val="21"/>
          <w:szCs w:val="21"/>
          <w:color w:val="auto"/>
        </w:rPr>
        <w:t>We are committed to achieving a mix of Board members that represents a variety of skills, experience and backgrounds.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132715</wp:posOffset>
            </wp:positionV>
            <wp:extent cx="5011420" cy="14833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1142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20" w:right="880" w:hanging="337"/>
        <w:spacing w:after="0" w:line="295" w:lineRule="auto"/>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EO Litigation Committee and Nordion Pricing Committee are not standing committees of the Board and do not have chairs. See “Committees of the Board of Directors” for more information.</w:t>
      </w:r>
    </w:p>
    <w:p>
      <w:pPr>
        <w:spacing w:after="0" w:line="133"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following Board Demographics table presents our Board composition.</w:t>
      </w:r>
    </w:p>
    <w:p>
      <w:pPr>
        <w:spacing w:after="0" w:line="330"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435F86"/>
        </w:rPr>
        <w:t>Board Demographics</w:t>
      </w:r>
      <w:r>
        <w:rPr>
          <w:rFonts w:ascii="Arial" w:cs="Arial" w:eastAsia="Arial" w:hAnsi="Arial"/>
          <w:sz w:val="15"/>
          <w:szCs w:val="15"/>
          <w:b w:val="1"/>
          <w:bCs w:val="1"/>
          <w:color w:val="435F8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19685</wp:posOffset>
            </wp:positionV>
            <wp:extent cx="5538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85"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2260" w:type="dxa"/>
            <w:vAlign w:val="bottom"/>
          </w:tcPr>
          <w:p>
            <w:pPr>
              <w:ind w:left="100"/>
              <w:spacing w:after="0"/>
              <w:rPr>
                <w:sz w:val="20"/>
                <w:szCs w:val="20"/>
                <w:color w:val="auto"/>
              </w:rPr>
            </w:pPr>
            <w:r>
              <w:rPr>
                <w:rFonts w:ascii="Arial" w:cs="Arial" w:eastAsia="Arial" w:hAnsi="Arial"/>
                <w:sz w:val="17"/>
                <w:szCs w:val="17"/>
                <w:color w:val="auto"/>
              </w:rPr>
              <w:t>Total Number of Directors</w:t>
            </w:r>
          </w:p>
        </w:tc>
        <w:tc>
          <w:tcPr>
            <w:tcW w:w="5520" w:type="dxa"/>
            <w:vAlign w:val="bottom"/>
          </w:tcPr>
          <w:p>
            <w:pPr>
              <w:jc w:val="right"/>
              <w:ind w:right="5175"/>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46"/>
        </w:trPr>
        <w:tc>
          <w:tcPr>
            <w:tcW w:w="2260" w:type="dxa"/>
            <w:vAlign w:val="bottom"/>
            <w:tcBorders>
              <w:bottom w:val="single" w:sz="8" w:color="435F86"/>
            </w:tcBorders>
          </w:tcPr>
          <w:p>
            <w:pPr>
              <w:ind w:left="40"/>
              <w:spacing w:after="0"/>
              <w:rPr>
                <w:sz w:val="20"/>
                <w:szCs w:val="20"/>
                <w:color w:val="auto"/>
              </w:rPr>
            </w:pPr>
            <w:r>
              <w:rPr>
                <w:rFonts w:ascii="Arial" w:cs="Arial" w:eastAsia="Arial" w:hAnsi="Arial"/>
                <w:sz w:val="16"/>
                <w:szCs w:val="16"/>
                <w:b w:val="1"/>
                <w:bCs w:val="1"/>
                <w:color w:val="435F86"/>
              </w:rPr>
              <w:t>​</w:t>
            </w:r>
          </w:p>
        </w:tc>
        <w:tc>
          <w:tcPr>
            <w:tcW w:w="5520" w:type="dxa"/>
            <w:vAlign w:val="bottom"/>
            <w:tcBorders>
              <w:bottom w:val="single" w:sz="8" w:color="435F86"/>
            </w:tcBorders>
          </w:tcPr>
          <w:p>
            <w:pPr>
              <w:jc w:val="right"/>
              <w:ind w:right="975"/>
              <w:spacing w:after="0"/>
              <w:rPr>
                <w:sz w:val="20"/>
                <w:szCs w:val="20"/>
                <w:color w:val="auto"/>
              </w:rPr>
            </w:pPr>
            <w:r>
              <w:rPr>
                <w:rFonts w:ascii="Arial" w:cs="Arial" w:eastAsia="Arial" w:hAnsi="Arial"/>
                <w:sz w:val="16"/>
                <w:szCs w:val="16"/>
                <w:b w:val="1"/>
                <w:bCs w:val="1"/>
                <w:color w:val="435F86"/>
              </w:rPr>
              <w:t>Female</w:t>
            </w:r>
          </w:p>
        </w:tc>
        <w:tc>
          <w:tcPr>
            <w:tcW w:w="780" w:type="dxa"/>
            <w:vAlign w:val="bottom"/>
            <w:tcBorders>
              <w:bottom w:val="single" w:sz="8" w:color="435F86"/>
            </w:tcBorders>
          </w:tcPr>
          <w:p>
            <w:pPr>
              <w:jc w:val="center"/>
              <w:ind w:left="155"/>
              <w:spacing w:after="0"/>
              <w:rPr>
                <w:sz w:val="20"/>
                <w:szCs w:val="20"/>
                <w:color w:val="auto"/>
              </w:rPr>
            </w:pPr>
            <w:r>
              <w:rPr>
                <w:rFonts w:ascii="Arial" w:cs="Arial" w:eastAsia="Arial" w:hAnsi="Arial"/>
                <w:sz w:val="16"/>
                <w:szCs w:val="16"/>
                <w:b w:val="1"/>
                <w:bCs w:val="1"/>
                <w:color w:val="435F86"/>
                <w:w w:val="95"/>
              </w:rPr>
              <w:t>Male</w:t>
            </w:r>
          </w:p>
        </w:tc>
        <w:tc>
          <w:tcPr>
            <w:tcW w:w="160" w:type="dxa"/>
            <w:vAlign w:val="bottom"/>
            <w:tcBorders>
              <w:bottom w:val="single" w:sz="8" w:color="435F86"/>
            </w:tcBorders>
          </w:tcPr>
          <w:p>
            <w:pPr>
              <w:ind w:left="120"/>
              <w:spacing w:after="0"/>
              <w:rPr>
                <w:sz w:val="20"/>
                <w:szCs w:val="20"/>
                <w:color w:val="auto"/>
              </w:rPr>
            </w:pPr>
            <w:r>
              <w:rPr>
                <w:rFonts w:ascii="Arial" w:cs="Arial" w:eastAsia="Arial" w:hAnsi="Arial"/>
                <w:sz w:val="16"/>
                <w:szCs w:val="16"/>
                <w:b w:val="1"/>
                <w:bCs w:val="1"/>
                <w:color w:val="435F86"/>
              </w:rPr>
              <w:t>​</w:t>
            </w:r>
          </w:p>
        </w:tc>
      </w:tr>
      <w:tr>
        <w:trPr>
          <w:trHeight w:val="266"/>
        </w:trPr>
        <w:tc>
          <w:tcPr>
            <w:tcW w:w="2260" w:type="dxa"/>
            <w:vAlign w:val="bottom"/>
            <w:tcBorders>
              <w:bottom w:val="single" w:sz="8" w:color="A1AFC2"/>
            </w:tcBorders>
          </w:tcPr>
          <w:p>
            <w:pPr>
              <w:ind w:left="40"/>
              <w:spacing w:after="0"/>
              <w:rPr>
                <w:sz w:val="20"/>
                <w:szCs w:val="20"/>
                <w:color w:val="auto"/>
              </w:rPr>
            </w:pPr>
            <w:r>
              <w:rPr>
                <w:rFonts w:ascii="Arial" w:cs="Arial" w:eastAsia="Arial" w:hAnsi="Arial"/>
                <w:sz w:val="17"/>
                <w:szCs w:val="17"/>
                <w:color w:val="auto"/>
              </w:rPr>
              <w:t>​Directors</w:t>
            </w:r>
          </w:p>
        </w:tc>
        <w:tc>
          <w:tcPr>
            <w:tcW w:w="5520" w:type="dxa"/>
            <w:vAlign w:val="bottom"/>
            <w:tcBorders>
              <w:bottom w:val="single" w:sz="8" w:color="A1AFC2"/>
            </w:tcBorders>
          </w:tcPr>
          <w:p>
            <w:pPr>
              <w:jc w:val="center"/>
              <w:ind w:left="2815"/>
              <w:spacing w:after="0"/>
              <w:rPr>
                <w:sz w:val="20"/>
                <w:szCs w:val="20"/>
                <w:color w:val="auto"/>
              </w:rPr>
            </w:pPr>
            <w:r>
              <w:rPr>
                <w:rFonts w:ascii="Arial" w:cs="Arial" w:eastAsia="Arial" w:hAnsi="Arial"/>
                <w:sz w:val="17"/>
                <w:szCs w:val="17"/>
                <w:color w:val="auto"/>
              </w:rPr>
              <w:t>2</w:t>
            </w:r>
          </w:p>
        </w:tc>
        <w:tc>
          <w:tcPr>
            <w:tcW w:w="780" w:type="dxa"/>
            <w:vAlign w:val="bottom"/>
            <w:tcBorders>
              <w:bottom w:val="single" w:sz="8" w:color="A1AFC2"/>
            </w:tcBorders>
          </w:tcPr>
          <w:p>
            <w:pPr>
              <w:jc w:val="center"/>
              <w:ind w:left="155"/>
              <w:spacing w:after="0"/>
              <w:rPr>
                <w:sz w:val="20"/>
                <w:szCs w:val="20"/>
                <w:color w:val="auto"/>
              </w:rPr>
            </w:pPr>
            <w:r>
              <w:rPr>
                <w:rFonts w:ascii="Arial" w:cs="Arial" w:eastAsia="Arial" w:hAnsi="Arial"/>
                <w:sz w:val="17"/>
                <w:szCs w:val="17"/>
                <w:color w:val="auto"/>
              </w:rPr>
              <w:t>9</w:t>
            </w:r>
          </w:p>
        </w:tc>
        <w:tc>
          <w:tcPr>
            <w:tcW w:w="160" w:type="dxa"/>
            <w:vAlign w:val="bottom"/>
            <w:tcBorders>
              <w:bottom w:val="single" w:sz="8" w:color="A1AFC2"/>
            </w:tcBorders>
          </w:tcPr>
          <w:p>
            <w:pPr>
              <w:ind w:left="120"/>
              <w:spacing w:after="0"/>
              <w:rPr>
                <w:sz w:val="20"/>
                <w:szCs w:val="20"/>
                <w:color w:val="auto"/>
              </w:rPr>
            </w:pPr>
            <w:r>
              <w:rPr>
                <w:rFonts w:ascii="Arial" w:cs="Arial" w:eastAsia="Arial" w:hAnsi="Arial"/>
                <w:sz w:val="17"/>
                <w:szCs w:val="17"/>
                <w:color w:val="auto"/>
              </w:rPr>
              <w:t>​</w:t>
            </w:r>
          </w:p>
        </w:tc>
      </w:tr>
      <w:tr>
        <w:trPr>
          <w:trHeight w:val="253"/>
        </w:trPr>
        <w:tc>
          <w:tcPr>
            <w:tcW w:w="2260" w:type="dxa"/>
            <w:vAlign w:val="bottom"/>
            <w:tcBorders>
              <w:bottom w:val="single" w:sz="8" w:color="A1AFC2"/>
            </w:tcBorders>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Demographic Background</w:t>
            </w:r>
          </w:p>
        </w:tc>
        <w:tc>
          <w:tcPr>
            <w:tcW w:w="5520" w:type="dxa"/>
            <w:vAlign w:val="bottom"/>
            <w:tcBorders>
              <w:bottom w:val="single" w:sz="8" w:color="A1AFC2"/>
            </w:tcBorders>
          </w:tcPr>
          <w:p>
            <w:pPr>
              <w:spacing w:after="0"/>
              <w:rPr>
                <w:sz w:val="21"/>
                <w:szCs w:val="21"/>
                <w:color w:val="auto"/>
              </w:rPr>
            </w:pPr>
          </w:p>
        </w:tc>
        <w:tc>
          <w:tcPr>
            <w:tcW w:w="780" w:type="dxa"/>
            <w:vAlign w:val="bottom"/>
            <w:tcBorders>
              <w:bottom w:val="single" w:sz="8" w:color="A1AFC2"/>
            </w:tcBorders>
          </w:tcPr>
          <w:p>
            <w:pPr>
              <w:spacing w:after="0"/>
              <w:rPr>
                <w:sz w:val="21"/>
                <w:szCs w:val="21"/>
                <w:color w:val="auto"/>
              </w:rPr>
            </w:pPr>
          </w:p>
        </w:tc>
        <w:tc>
          <w:tcPr>
            <w:tcW w:w="160" w:type="dxa"/>
            <w:vAlign w:val="bottom"/>
            <w:tcBorders>
              <w:bottom w:val="single" w:sz="8" w:color="A1AFC2"/>
            </w:tcBorders>
          </w:tcPr>
          <w:p>
            <w:pPr>
              <w:ind w:left="120"/>
              <w:spacing w:after="0"/>
              <w:rPr>
                <w:sz w:val="20"/>
                <w:szCs w:val="20"/>
                <w:color w:val="auto"/>
              </w:rPr>
            </w:pPr>
            <w:r>
              <w:rPr>
                <w:rFonts w:ascii="Arial" w:cs="Arial" w:eastAsia="Arial" w:hAnsi="Arial"/>
                <w:sz w:val="17"/>
                <w:szCs w:val="17"/>
                <w:color w:val="auto"/>
              </w:rPr>
              <w:t>​</w:t>
            </w:r>
          </w:p>
        </w:tc>
      </w:tr>
      <w:tr>
        <w:trPr>
          <w:trHeight w:val="253"/>
        </w:trPr>
        <w:tc>
          <w:tcPr>
            <w:tcW w:w="2260" w:type="dxa"/>
            <w:vAlign w:val="bottom"/>
            <w:tcBorders>
              <w:bottom w:val="single" w:sz="8" w:color="A1AFC2"/>
            </w:tcBorders>
          </w:tcPr>
          <w:p>
            <w:pPr>
              <w:ind w:left="40"/>
              <w:spacing w:after="0"/>
              <w:rPr>
                <w:sz w:val="20"/>
                <w:szCs w:val="20"/>
                <w:color w:val="auto"/>
              </w:rPr>
            </w:pPr>
            <w:r>
              <w:rPr>
                <w:rFonts w:ascii="Arial" w:cs="Arial" w:eastAsia="Arial" w:hAnsi="Arial"/>
                <w:sz w:val="17"/>
                <w:szCs w:val="17"/>
                <w:color w:val="auto"/>
              </w:rPr>
              <w:t>​African American or Black</w:t>
            </w:r>
          </w:p>
        </w:tc>
        <w:tc>
          <w:tcPr>
            <w:tcW w:w="5520" w:type="dxa"/>
            <w:vAlign w:val="bottom"/>
            <w:tcBorders>
              <w:bottom w:val="single" w:sz="8" w:color="A1AFC2"/>
            </w:tcBorders>
          </w:tcPr>
          <w:p>
            <w:pPr>
              <w:jc w:val="center"/>
              <w:ind w:left="28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1AFC2"/>
            </w:tcBorders>
          </w:tcPr>
          <w:p>
            <w:pPr>
              <w:jc w:val="center"/>
              <w:ind w:left="155"/>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A1AFC2"/>
            </w:tcBorders>
          </w:tcPr>
          <w:p>
            <w:pPr>
              <w:ind w:left="120"/>
              <w:spacing w:after="0"/>
              <w:rPr>
                <w:sz w:val="20"/>
                <w:szCs w:val="20"/>
                <w:color w:val="auto"/>
              </w:rPr>
            </w:pPr>
            <w:r>
              <w:rPr>
                <w:rFonts w:ascii="Arial" w:cs="Arial" w:eastAsia="Arial" w:hAnsi="Arial"/>
                <w:sz w:val="17"/>
                <w:szCs w:val="17"/>
                <w:color w:val="auto"/>
              </w:rPr>
              <w:t>​</w:t>
            </w:r>
          </w:p>
        </w:tc>
      </w:tr>
      <w:tr>
        <w:trPr>
          <w:trHeight w:val="253"/>
        </w:trPr>
        <w:tc>
          <w:tcPr>
            <w:tcW w:w="2260" w:type="dxa"/>
            <w:vAlign w:val="bottom"/>
            <w:tcBorders>
              <w:bottom w:val="single" w:sz="8" w:color="A1AFC2"/>
            </w:tcBorders>
          </w:tcPr>
          <w:p>
            <w:pPr>
              <w:ind w:left="40"/>
              <w:spacing w:after="0"/>
              <w:rPr>
                <w:sz w:val="20"/>
                <w:szCs w:val="20"/>
                <w:color w:val="auto"/>
              </w:rPr>
            </w:pPr>
            <w:r>
              <w:rPr>
                <w:rFonts w:ascii="Arial" w:cs="Arial" w:eastAsia="Arial" w:hAnsi="Arial"/>
                <w:sz w:val="17"/>
                <w:szCs w:val="17"/>
                <w:color w:val="auto"/>
              </w:rPr>
              <w:t>​Asian</w:t>
            </w:r>
          </w:p>
        </w:tc>
        <w:tc>
          <w:tcPr>
            <w:tcW w:w="5520" w:type="dxa"/>
            <w:vAlign w:val="bottom"/>
            <w:tcBorders>
              <w:bottom w:val="single" w:sz="8" w:color="A1AFC2"/>
            </w:tcBorders>
          </w:tcPr>
          <w:p>
            <w:pPr>
              <w:jc w:val="center"/>
              <w:ind w:left="28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1AFC2"/>
            </w:tcBorders>
          </w:tcPr>
          <w:p>
            <w:pPr>
              <w:jc w:val="center"/>
              <w:ind w:left="155"/>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A1AFC2"/>
            </w:tcBorders>
          </w:tcPr>
          <w:p>
            <w:pPr>
              <w:ind w:left="120"/>
              <w:spacing w:after="0"/>
              <w:rPr>
                <w:sz w:val="20"/>
                <w:szCs w:val="20"/>
                <w:color w:val="auto"/>
              </w:rPr>
            </w:pPr>
            <w:r>
              <w:rPr>
                <w:rFonts w:ascii="Arial" w:cs="Arial" w:eastAsia="Arial" w:hAnsi="Arial"/>
                <w:sz w:val="17"/>
                <w:szCs w:val="17"/>
                <w:color w:val="auto"/>
              </w:rPr>
              <w:t>​</w:t>
            </w:r>
          </w:p>
        </w:tc>
      </w:tr>
      <w:tr>
        <w:trPr>
          <w:trHeight w:val="253"/>
        </w:trPr>
        <w:tc>
          <w:tcPr>
            <w:tcW w:w="2260" w:type="dxa"/>
            <w:vAlign w:val="bottom"/>
            <w:tcBorders>
              <w:bottom w:val="single" w:sz="8" w:color="A1AFC2"/>
            </w:tcBorders>
          </w:tcPr>
          <w:p>
            <w:pPr>
              <w:ind w:left="40"/>
              <w:spacing w:after="0"/>
              <w:rPr>
                <w:sz w:val="20"/>
                <w:szCs w:val="20"/>
                <w:color w:val="auto"/>
              </w:rPr>
            </w:pPr>
            <w:r>
              <w:rPr>
                <w:rFonts w:ascii="Arial" w:cs="Arial" w:eastAsia="Arial" w:hAnsi="Arial"/>
                <w:sz w:val="17"/>
                <w:szCs w:val="17"/>
                <w:color w:val="auto"/>
              </w:rPr>
              <w:t>​White</w:t>
            </w:r>
          </w:p>
        </w:tc>
        <w:tc>
          <w:tcPr>
            <w:tcW w:w="5520" w:type="dxa"/>
            <w:vAlign w:val="bottom"/>
            <w:tcBorders>
              <w:bottom w:val="single" w:sz="8" w:color="A1AFC2"/>
            </w:tcBorders>
          </w:tcPr>
          <w:p>
            <w:pPr>
              <w:jc w:val="center"/>
              <w:ind w:left="2815"/>
              <w:spacing w:after="0"/>
              <w:rPr>
                <w:sz w:val="20"/>
                <w:szCs w:val="20"/>
                <w:color w:val="auto"/>
              </w:rPr>
            </w:pPr>
            <w:r>
              <w:rPr>
                <w:rFonts w:ascii="Arial" w:cs="Arial" w:eastAsia="Arial" w:hAnsi="Arial"/>
                <w:sz w:val="17"/>
                <w:szCs w:val="17"/>
                <w:color w:val="auto"/>
              </w:rPr>
              <w:t>2</w:t>
            </w:r>
          </w:p>
        </w:tc>
        <w:tc>
          <w:tcPr>
            <w:tcW w:w="780" w:type="dxa"/>
            <w:vAlign w:val="bottom"/>
            <w:tcBorders>
              <w:bottom w:val="single" w:sz="8" w:color="A1AFC2"/>
            </w:tcBorders>
          </w:tcPr>
          <w:p>
            <w:pPr>
              <w:jc w:val="center"/>
              <w:ind w:left="155"/>
              <w:spacing w:after="0"/>
              <w:rPr>
                <w:sz w:val="20"/>
                <w:szCs w:val="20"/>
                <w:color w:val="auto"/>
              </w:rPr>
            </w:pPr>
            <w:r>
              <w:rPr>
                <w:rFonts w:ascii="Arial" w:cs="Arial" w:eastAsia="Arial" w:hAnsi="Arial"/>
                <w:sz w:val="17"/>
                <w:szCs w:val="17"/>
                <w:color w:val="auto"/>
              </w:rPr>
              <w:t>7</w:t>
            </w:r>
          </w:p>
        </w:tc>
        <w:tc>
          <w:tcPr>
            <w:tcW w:w="160" w:type="dxa"/>
            <w:vAlign w:val="bottom"/>
            <w:tcBorders>
              <w:bottom w:val="single" w:sz="8" w:color="A1AFC2"/>
            </w:tcBorders>
          </w:tcPr>
          <w:p>
            <w:pPr>
              <w:ind w:left="120"/>
              <w:spacing w:after="0"/>
              <w:rPr>
                <w:sz w:val="20"/>
                <w:szCs w:val="20"/>
                <w:color w:val="auto"/>
              </w:rPr>
            </w:pPr>
            <w:r>
              <w:rPr>
                <w:rFonts w:ascii="Arial" w:cs="Arial" w:eastAsia="Arial" w:hAnsi="Arial"/>
                <w:sz w:val="17"/>
                <w:szCs w:val="17"/>
                <w:color w:val="auto"/>
              </w:rPr>
              <w:t>​</w:t>
            </w:r>
          </w:p>
        </w:tc>
      </w:tr>
      <w:tr>
        <w:trPr>
          <w:trHeight w:val="253"/>
        </w:trPr>
        <w:tc>
          <w:tcPr>
            <w:tcW w:w="2260" w:type="dxa"/>
            <w:vAlign w:val="bottom"/>
            <w:tcBorders>
              <w:bottom w:val="single" w:sz="8" w:color="435F86"/>
            </w:tcBorders>
          </w:tcPr>
          <w:p>
            <w:pPr>
              <w:ind w:left="40"/>
              <w:spacing w:after="0"/>
              <w:rPr>
                <w:sz w:val="20"/>
                <w:szCs w:val="20"/>
                <w:color w:val="auto"/>
              </w:rPr>
            </w:pPr>
            <w:r>
              <w:rPr>
                <w:rFonts w:ascii="Arial" w:cs="Arial" w:eastAsia="Arial" w:hAnsi="Arial"/>
                <w:sz w:val="17"/>
                <w:szCs w:val="17"/>
                <w:color w:val="auto"/>
              </w:rPr>
              <w:t>​LGB</w:t>
            </w:r>
          </w:p>
        </w:tc>
        <w:tc>
          <w:tcPr>
            <w:tcW w:w="5520" w:type="dxa"/>
            <w:vAlign w:val="bottom"/>
            <w:tcBorders>
              <w:bottom w:val="single" w:sz="8" w:color="435F86"/>
            </w:tcBorders>
          </w:tcPr>
          <w:p>
            <w:pPr>
              <w:jc w:val="right"/>
              <w:ind w:right="275"/>
              <w:spacing w:after="0"/>
              <w:rPr>
                <w:sz w:val="20"/>
                <w:szCs w:val="20"/>
                <w:color w:val="auto"/>
              </w:rPr>
            </w:pPr>
            <w:r>
              <w:rPr>
                <w:rFonts w:ascii="Arial" w:cs="Arial" w:eastAsia="Arial" w:hAnsi="Arial"/>
                <w:sz w:val="17"/>
                <w:szCs w:val="17"/>
                <w:color w:val="auto"/>
              </w:rPr>
              <w:t>1</w:t>
            </w:r>
          </w:p>
        </w:tc>
        <w:tc>
          <w:tcPr>
            <w:tcW w:w="780" w:type="dxa"/>
            <w:vAlign w:val="bottom"/>
            <w:tcBorders>
              <w:bottom w:val="single" w:sz="8" w:color="435F86"/>
            </w:tcBorders>
          </w:tcPr>
          <w:p>
            <w:pPr>
              <w:spacing w:after="0"/>
              <w:rPr>
                <w:sz w:val="21"/>
                <w:szCs w:val="21"/>
                <w:color w:val="auto"/>
              </w:rPr>
            </w:pPr>
          </w:p>
        </w:tc>
        <w:tc>
          <w:tcPr>
            <w:tcW w:w="160" w:type="dxa"/>
            <w:vAlign w:val="bottom"/>
            <w:tcBorders>
              <w:bottom w:val="single" w:sz="8" w:color="435F86"/>
            </w:tcBorders>
          </w:tcPr>
          <w:p>
            <w:pPr>
              <w:ind w:left="12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3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Director Nominee Criteria and Process</w:t>
      </w:r>
    </w:p>
    <w:p>
      <w:pPr>
        <w:spacing w:after="0" w:line="215" w:lineRule="exact"/>
        <w:rPr>
          <w:sz w:val="20"/>
          <w:szCs w:val="20"/>
          <w:color w:val="auto"/>
        </w:rPr>
      </w:pPr>
    </w:p>
    <w:p>
      <w:pPr>
        <w:ind w:left="780" w:right="860"/>
        <w:spacing w:after="0" w:line="256" w:lineRule="auto"/>
        <w:rPr>
          <w:sz w:val="20"/>
          <w:szCs w:val="20"/>
          <w:color w:val="auto"/>
        </w:rPr>
      </w:pPr>
      <w:r>
        <w:rPr>
          <w:rFonts w:ascii="Arial" w:cs="Arial" w:eastAsia="Arial" w:hAnsi="Arial"/>
          <w:sz w:val="20"/>
          <w:szCs w:val="20"/>
          <w:color w:val="auto"/>
        </w:rPr>
        <w:t>The NCG Committee is responsible for identifying and screening candidates, for developing and recommending candidates to the Board, for evaluating candidates recommended or nominated by shareholders (including nominees designated by our Sponsors), for recommending to the Board all nominees for election to the Board at the annual meeting of stockholders, and for recommending any other action with respect to candidates nominated by shareholders. The NCG Committee’s recommendations must be consistent with our organizational documents and applicable law, as well as the Company’s obligations under our Stockholders Agreement. See “Board Composition” and “Certain Sponsor Rights.” In evaluating candidates, the Board seeks individuals of high integrity and good judgment who have a record of accomplishment in their chosen fields, and who display the independence of mind and strength of character to effectively represent the best interests of all shareholders and provide practical insights and a variety of perspectives. The Board is committed to partnering with search firms to identify candidates with a variety of backgrounds of experiences and skills when conducting a director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134620</wp:posOffset>
            </wp:positionV>
            <wp:extent cx="55384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10</w:t>
            </w:r>
          </w:p>
        </w:tc>
      </w:tr>
      <w:tr>
        <w:trPr>
          <w:trHeight w:val="93"/>
        </w:trPr>
        <w:tc>
          <w:tcPr>
            <w:tcW w:w="4140" w:type="dxa"/>
            <w:vAlign w:val="bottom"/>
            <w:tcBorders>
              <w:bottom w:val="single" w:sz="8" w:color="9A9A9A"/>
            </w:tcBorders>
          </w:tcPr>
          <w:p>
            <w:pPr>
              <w:spacing w:after="0"/>
              <w:rPr>
                <w:sz w:val="8"/>
                <w:szCs w:val="8"/>
                <w:color w:val="auto"/>
              </w:rPr>
            </w:pPr>
          </w:p>
        </w:tc>
        <w:tc>
          <w:tcPr>
            <w:tcW w:w="6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Board Composition, Nominations Process and Director Qualifications</w:t>
      </w:r>
    </w:p>
    <w:p>
      <w:pPr>
        <w:spacing w:after="0" w:line="59" w:lineRule="exact"/>
        <w:rPr>
          <w:sz w:val="20"/>
          <w:szCs w:val="20"/>
          <w:color w:val="auto"/>
        </w:rPr>
      </w:pPr>
    </w:p>
    <w:p>
      <w:pPr>
        <w:ind w:left="7080"/>
        <w:spacing w:after="0"/>
        <w:rPr>
          <w:sz w:val="20"/>
          <w:szCs w:val="20"/>
          <w:color w:val="auto"/>
        </w:rPr>
      </w:pPr>
      <w:r>
        <w:rPr>
          <w:rFonts w:ascii="Arial" w:cs="Arial" w:eastAsia="Arial" w:hAnsi="Arial"/>
          <w:sz w:val="13"/>
          <w:szCs w:val="13"/>
          <w:b w:val="1"/>
          <w:bCs w:val="1"/>
          <w:color w:val="auto"/>
        </w:rPr>
        <w:t>Director Nominee Criteria and Process</w:t>
      </w:r>
    </w:p>
    <w:p>
      <w:pPr>
        <w:spacing w:after="0" w:line="249" w:lineRule="exact"/>
        <w:rPr>
          <w:sz w:val="20"/>
          <w:szCs w:val="20"/>
          <w:color w:val="auto"/>
        </w:rPr>
      </w:pPr>
    </w:p>
    <w:p>
      <w:pPr>
        <w:ind w:left="780" w:right="419"/>
        <w:spacing w:after="0" w:line="263" w:lineRule="auto"/>
        <w:rPr>
          <w:sz w:val="20"/>
          <w:szCs w:val="20"/>
          <w:color w:val="auto"/>
        </w:rPr>
      </w:pPr>
      <w:r>
        <w:rPr>
          <w:rFonts w:ascii="Arial" w:cs="Arial" w:eastAsia="Arial" w:hAnsi="Arial"/>
          <w:sz w:val="20"/>
          <w:szCs w:val="20"/>
          <w:color w:val="auto"/>
        </w:rPr>
        <w:t>Our NCG Committee reviews with our Board, on an annual basis, the independence, skills, experience and background of Board members, and the experience, skills and background of the Board as a whole, in determining whether to recommend incumbent directors for reelection. In identifying potential new candidates for Board membership, the NCG Committee considers recommendations from directors, shareholders, management, and from time to time it will engage executive search firms to assist in the identification of qualified candidates.</w:t>
      </w:r>
    </w:p>
    <w:p>
      <w:pPr>
        <w:spacing w:after="0" w:line="149" w:lineRule="exact"/>
        <w:rPr>
          <w:sz w:val="20"/>
          <w:szCs w:val="20"/>
          <w:color w:val="auto"/>
        </w:rPr>
      </w:pPr>
    </w:p>
    <w:p>
      <w:pPr>
        <w:ind w:left="780" w:right="259"/>
        <w:spacing w:after="0" w:line="246" w:lineRule="auto"/>
        <w:rPr>
          <w:sz w:val="20"/>
          <w:szCs w:val="20"/>
          <w:color w:val="auto"/>
        </w:rPr>
      </w:pPr>
      <w:r>
        <w:rPr>
          <w:rFonts w:ascii="Arial" w:cs="Arial" w:eastAsia="Arial" w:hAnsi="Arial"/>
          <w:sz w:val="21"/>
          <w:szCs w:val="21"/>
          <w:color w:val="auto"/>
        </w:rPr>
        <w:t>Once potential director candidates are identified, the NCG Committee begins an extensive evaluation process. The evaluation and selection of qualified directors involves the consideration of many factors, including the needs of our Board at that time. In addition to those qualifications necessary to meet the requirements of our organizational documents, applicable U.S. legal, regulatory and Nasdaq listing requirements, and the Company’s obligations under our Stockholders Agreement, the NCG Committee and Board consider the following with respect to each potential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153035</wp:posOffset>
            </wp:positionV>
            <wp:extent cx="5538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354" w:lineRule="exact"/>
        <w:rPr>
          <w:sz w:val="20"/>
          <w:szCs w:val="20"/>
          <w:color w:val="auto"/>
        </w:rPr>
      </w:pPr>
    </w:p>
    <w:p>
      <w:pPr>
        <w:ind w:left="1080" w:hanging="167"/>
        <w:spacing w:after="0"/>
        <w:tabs>
          <w:tab w:leader="none" w:pos="1080" w:val="left"/>
        </w:tabs>
        <w:numPr>
          <w:ilvl w:val="0"/>
          <w:numId w:val="11"/>
        </w:numPr>
        <w:rPr>
          <w:rFonts w:ascii="Arial" w:cs="Arial" w:eastAsia="Arial" w:hAnsi="Arial"/>
          <w:sz w:val="17"/>
          <w:szCs w:val="17"/>
          <w:color w:val="435F86"/>
        </w:rPr>
      </w:pPr>
      <w:r>
        <w:rPr>
          <w:rFonts w:ascii="Arial" w:cs="Arial" w:eastAsia="Arial" w:hAnsi="Arial"/>
          <w:sz w:val="17"/>
          <w:szCs w:val="17"/>
          <w:color w:val="auto"/>
        </w:rPr>
        <w:t>Integrity</w:t>
      </w:r>
    </w:p>
    <w:p>
      <w:pPr>
        <w:spacing w:after="0" w:line="51" w:lineRule="exact"/>
        <w:rPr>
          <w:rFonts w:ascii="Arial" w:cs="Arial" w:eastAsia="Arial" w:hAnsi="Arial"/>
          <w:sz w:val="17"/>
          <w:szCs w:val="17"/>
          <w:color w:val="435F86"/>
        </w:rPr>
      </w:pPr>
    </w:p>
    <w:p>
      <w:pPr>
        <w:ind w:left="1080" w:hanging="167"/>
        <w:spacing w:after="0"/>
        <w:tabs>
          <w:tab w:leader="none" w:pos="1080" w:val="left"/>
        </w:tabs>
        <w:numPr>
          <w:ilvl w:val="0"/>
          <w:numId w:val="11"/>
        </w:numPr>
        <w:rPr>
          <w:rFonts w:ascii="Arial" w:cs="Arial" w:eastAsia="Arial" w:hAnsi="Arial"/>
          <w:sz w:val="16"/>
          <w:szCs w:val="16"/>
          <w:color w:val="435F86"/>
        </w:rPr>
      </w:pPr>
      <w:r>
        <w:rPr>
          <w:rFonts w:ascii="Arial" w:cs="Arial" w:eastAsia="Arial" w:hAnsi="Arial"/>
          <w:sz w:val="16"/>
          <w:szCs w:val="16"/>
          <w:color w:val="auto"/>
        </w:rPr>
        <w:t>Strength of character and judgment</w:t>
      </w:r>
    </w:p>
    <w:p>
      <w:pPr>
        <w:spacing w:after="0" w:line="75" w:lineRule="exact"/>
        <w:rPr>
          <w:rFonts w:ascii="Arial" w:cs="Arial" w:eastAsia="Arial" w:hAnsi="Arial"/>
          <w:sz w:val="16"/>
          <w:szCs w:val="16"/>
          <w:color w:val="435F86"/>
        </w:rPr>
      </w:pPr>
    </w:p>
    <w:p>
      <w:pPr>
        <w:ind w:left="1080" w:hanging="167"/>
        <w:spacing w:after="0"/>
        <w:tabs>
          <w:tab w:leader="none" w:pos="1080" w:val="left"/>
        </w:tabs>
        <w:numPr>
          <w:ilvl w:val="0"/>
          <w:numId w:val="11"/>
        </w:numPr>
        <w:rPr>
          <w:rFonts w:ascii="Arial" w:cs="Arial" w:eastAsia="Arial" w:hAnsi="Arial"/>
          <w:sz w:val="17"/>
          <w:szCs w:val="17"/>
          <w:color w:val="435F86"/>
        </w:rPr>
      </w:pPr>
      <w:r>
        <w:rPr>
          <w:rFonts w:ascii="Arial" w:cs="Arial" w:eastAsia="Arial" w:hAnsi="Arial"/>
          <w:sz w:val="17"/>
          <w:szCs w:val="17"/>
          <w:color w:val="auto"/>
        </w:rPr>
        <w:t>Business experience</w:t>
      </w:r>
    </w:p>
    <w:p>
      <w:pPr>
        <w:spacing w:after="0" w:line="64" w:lineRule="exact"/>
        <w:rPr>
          <w:rFonts w:ascii="Arial" w:cs="Arial" w:eastAsia="Arial" w:hAnsi="Arial"/>
          <w:sz w:val="17"/>
          <w:szCs w:val="17"/>
          <w:color w:val="435F86"/>
        </w:rPr>
      </w:pPr>
    </w:p>
    <w:p>
      <w:pPr>
        <w:ind w:left="1080" w:hanging="167"/>
        <w:spacing w:after="0"/>
        <w:tabs>
          <w:tab w:leader="none" w:pos="1080" w:val="left"/>
        </w:tabs>
        <w:numPr>
          <w:ilvl w:val="0"/>
          <w:numId w:val="11"/>
        </w:numPr>
        <w:rPr>
          <w:rFonts w:ascii="Arial" w:cs="Arial" w:eastAsia="Arial" w:hAnsi="Arial"/>
          <w:sz w:val="17"/>
          <w:szCs w:val="17"/>
          <w:color w:val="435F86"/>
        </w:rPr>
      </w:pPr>
      <w:r>
        <w:rPr>
          <w:rFonts w:ascii="Arial" w:cs="Arial" w:eastAsia="Arial" w:hAnsi="Arial"/>
          <w:sz w:val="17"/>
          <w:szCs w:val="17"/>
          <w:color w:val="auto"/>
        </w:rPr>
        <w:t>Composition of the Board</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ind w:left="165" w:right="619" w:hanging="165"/>
        <w:spacing w:after="0" w:line="295" w:lineRule="auto"/>
        <w:tabs>
          <w:tab w:leader="none" w:pos="165" w:val="left"/>
        </w:tabs>
        <w:numPr>
          <w:ilvl w:val="0"/>
          <w:numId w:val="12"/>
        </w:numPr>
        <w:rPr>
          <w:rFonts w:ascii="Arial" w:cs="Arial" w:eastAsia="Arial" w:hAnsi="Arial"/>
          <w:sz w:val="17"/>
          <w:szCs w:val="17"/>
          <w:color w:val="435F86"/>
        </w:rPr>
      </w:pPr>
      <w:r>
        <w:rPr>
          <w:rFonts w:ascii="Arial" w:cs="Arial" w:eastAsia="Arial" w:hAnsi="Arial"/>
          <w:sz w:val="17"/>
          <w:szCs w:val="17"/>
          <w:color w:val="auto"/>
        </w:rPr>
        <w:t>Ability to devote adequate time and effort to Board responsibilities</w:t>
      </w:r>
    </w:p>
    <w:p>
      <w:pPr>
        <w:spacing w:after="0" w:line="51" w:lineRule="exact"/>
        <w:rPr>
          <w:rFonts w:ascii="Arial" w:cs="Arial" w:eastAsia="Arial" w:hAnsi="Arial"/>
          <w:sz w:val="17"/>
          <w:szCs w:val="17"/>
          <w:color w:val="435F86"/>
        </w:rPr>
      </w:pPr>
    </w:p>
    <w:p>
      <w:pPr>
        <w:ind w:left="165" w:hanging="165"/>
        <w:spacing w:after="0"/>
        <w:tabs>
          <w:tab w:leader="none" w:pos="165" w:val="left"/>
        </w:tabs>
        <w:numPr>
          <w:ilvl w:val="0"/>
          <w:numId w:val="12"/>
        </w:numPr>
        <w:rPr>
          <w:rFonts w:ascii="Arial" w:cs="Arial" w:eastAsia="Arial" w:hAnsi="Arial"/>
          <w:sz w:val="17"/>
          <w:szCs w:val="17"/>
          <w:color w:val="435F86"/>
        </w:rPr>
      </w:pPr>
      <w:r>
        <w:rPr>
          <w:rFonts w:ascii="Arial" w:cs="Arial" w:eastAsia="Arial" w:hAnsi="Arial"/>
          <w:sz w:val="17"/>
          <w:szCs w:val="17"/>
          <w:color w:val="auto"/>
        </w:rPr>
        <w:t>Participation on other public company boards</w:t>
      </w:r>
    </w:p>
    <w:p>
      <w:pPr>
        <w:spacing w:after="0" w:line="116" w:lineRule="exact"/>
        <w:rPr>
          <w:rFonts w:ascii="Arial" w:cs="Arial" w:eastAsia="Arial" w:hAnsi="Arial"/>
          <w:sz w:val="17"/>
          <w:szCs w:val="17"/>
          <w:color w:val="435F86"/>
        </w:rPr>
      </w:pPr>
    </w:p>
    <w:p>
      <w:pPr>
        <w:ind w:left="165" w:hanging="165"/>
        <w:spacing w:after="0"/>
        <w:tabs>
          <w:tab w:leader="none" w:pos="165" w:val="left"/>
        </w:tabs>
        <w:numPr>
          <w:ilvl w:val="0"/>
          <w:numId w:val="12"/>
        </w:numPr>
        <w:rPr>
          <w:rFonts w:ascii="Arial" w:cs="Arial" w:eastAsia="Arial" w:hAnsi="Arial"/>
          <w:sz w:val="17"/>
          <w:szCs w:val="17"/>
          <w:color w:val="435F86"/>
        </w:rPr>
      </w:pPr>
      <w:r>
        <w:rPr>
          <w:rFonts w:ascii="Arial" w:cs="Arial" w:eastAsia="Arial" w:hAnsi="Arial"/>
          <w:sz w:val="17"/>
          <w:szCs w:val="17"/>
          <w:color w:val="auto"/>
        </w:rPr>
        <w:t>Specific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76200</wp:posOffset>
            </wp:positionV>
            <wp:extent cx="5538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15" w:space="720"/>
            <w:col w:w="4424"/>
          </w:cols>
          <w:pgMar w:left="800" w:top="93" w:right="1440" w:bottom="1440" w:gutter="0" w:footer="0" w:header="0"/>
          <w:type w:val="continuous"/>
        </w:sectPr>
      </w:pPr>
    </w:p>
    <w:p>
      <w:pPr>
        <w:spacing w:after="0" w:line="257"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Stockholder Nominations for Directors</w:t>
      </w:r>
    </w:p>
    <w:p>
      <w:pPr>
        <w:spacing w:after="0" w:line="202" w:lineRule="exact"/>
        <w:rPr>
          <w:sz w:val="20"/>
          <w:szCs w:val="20"/>
          <w:color w:val="auto"/>
        </w:rPr>
      </w:pPr>
    </w:p>
    <w:p>
      <w:pPr>
        <w:ind w:left="780" w:right="299"/>
        <w:spacing w:after="0" w:line="246" w:lineRule="auto"/>
        <w:rPr>
          <w:sz w:val="20"/>
          <w:szCs w:val="20"/>
          <w:color w:val="auto"/>
        </w:rPr>
      </w:pPr>
      <w:r>
        <w:rPr>
          <w:rFonts w:ascii="Arial" w:cs="Arial" w:eastAsia="Arial" w:hAnsi="Arial"/>
          <w:sz w:val="21"/>
          <w:szCs w:val="21"/>
          <w:color w:val="auto"/>
        </w:rPr>
        <w:t>The NCG Committee will consider potential director candidates recommended by shareholders in accordance with the procedures set forth in our Corporate Governance Guidelines, organizational documents, our Stockholders Agreement and applicable law. As part of this responsibility, the NCG Committee conducts, subject to applicable law, inquiries into the background and qualifications of any candidate for the Board. The NCG Committee also oversees the nomination of director candidates by shareholders in accordance with our organizational documents, our Stockholders Agreement and applicable law.</w:t>
      </w:r>
    </w:p>
    <w:p>
      <w:pPr>
        <w:spacing w:after="0" w:line="175" w:lineRule="exact"/>
        <w:rPr>
          <w:sz w:val="20"/>
          <w:szCs w:val="20"/>
          <w:color w:val="auto"/>
        </w:rPr>
      </w:pPr>
    </w:p>
    <w:p>
      <w:pPr>
        <w:ind w:left="780" w:right="239"/>
        <w:spacing w:after="0" w:line="267" w:lineRule="auto"/>
        <w:rPr>
          <w:sz w:val="20"/>
          <w:szCs w:val="20"/>
          <w:color w:val="auto"/>
        </w:rPr>
      </w:pPr>
      <w:r>
        <w:rPr>
          <w:rFonts w:ascii="Arial" w:cs="Arial" w:eastAsia="Arial" w:hAnsi="Arial"/>
          <w:sz w:val="19"/>
          <w:szCs w:val="19"/>
          <w:color w:val="auto"/>
        </w:rPr>
        <w:t>Our amended and restated bylaws provide advance notice procedures for shareholders seeking to nominate candidates for election as directors at our annual meeting of stockholders. Any shareholder nomination must comply with the requirements set forth in our amended and restated bylaws and should be sent in writing to our Corporate Secretary at Sotera Health Company, 9100 South Hills Blvd, Suite 300, Broadview Heights, Ohio 44147. To be considered timely, the Corporate Secretary must receive a shareholder’s notice not earlier than the opening of business 120 days before, and not later than the close of business 90 days before, the first anniversary of the date of the preceding year’s annual meeting of stockholders. If no annual meeting was held in the previous year, or if the date of the applicable annual meeting has been changed by more than 30 days from the date of the previous year’s annual meeting, then the Corporate Secretary must receive a shareholder’s notice, in order to be considered timely, not earlier than the opening of business</w:t>
      </w:r>
    </w:p>
    <w:p>
      <w:pPr>
        <w:spacing w:after="0" w:line="7" w:lineRule="exact"/>
        <w:rPr>
          <w:sz w:val="20"/>
          <w:szCs w:val="20"/>
          <w:color w:val="auto"/>
        </w:rPr>
      </w:pPr>
    </w:p>
    <w:p>
      <w:pPr>
        <w:ind w:left="780" w:right="199"/>
        <w:spacing w:after="0" w:line="244" w:lineRule="auto"/>
        <w:rPr>
          <w:sz w:val="20"/>
          <w:szCs w:val="20"/>
          <w:color w:val="auto"/>
        </w:rPr>
      </w:pPr>
      <w:r>
        <w:rPr>
          <w:rFonts w:ascii="Arial" w:cs="Arial" w:eastAsia="Arial" w:hAnsi="Arial"/>
          <w:sz w:val="21"/>
          <w:szCs w:val="21"/>
          <w:color w:val="auto"/>
        </w:rPr>
        <w:t>120 days before the date of such annual meeting, and not later than the close of business on the later of (i) 90 days prior to the date of such annual meeting; and (ii) the 10th day following the day on which public announcement of the date of such annual meeting was first made. No such nominations were made for the Board’s consideration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311785</wp:posOffset>
            </wp:positionV>
            <wp:extent cx="494665" cy="165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187960</wp:posOffset>
            </wp:positionV>
            <wp:extent cx="55384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Proposal 1: Election of Three Director Nominees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Nominees for Election as Class II Directors</w:t>
      </w:r>
    </w:p>
    <w:p>
      <w:pPr>
        <w:spacing w:after="0" w:line="209" w:lineRule="exact"/>
        <w:rPr>
          <w:sz w:val="20"/>
          <w:szCs w:val="20"/>
          <w:color w:val="auto"/>
        </w:rPr>
      </w:pPr>
    </w:p>
    <w:p>
      <w:pPr>
        <w:ind w:left="780" w:right="2500"/>
        <w:spacing w:after="0" w:line="276" w:lineRule="auto"/>
        <w:rPr>
          <w:sz w:val="20"/>
          <w:szCs w:val="20"/>
          <w:color w:val="auto"/>
        </w:rPr>
      </w:pPr>
      <w:r>
        <w:rPr>
          <w:rFonts w:ascii="Arial" w:cs="Arial" w:eastAsia="Arial" w:hAnsi="Arial"/>
          <w:sz w:val="42"/>
          <w:szCs w:val="42"/>
          <w:b w:val="1"/>
          <w:bCs w:val="1"/>
          <w:color w:val="28B5DE"/>
        </w:rPr>
        <w:t>PROPOSAL 1: ELECTION OF THREE DIRECTOR NOMINEES</w:t>
      </w:r>
    </w:p>
    <w:p>
      <w:pPr>
        <w:spacing w:after="0" w:line="60" w:lineRule="exact"/>
        <w:rPr>
          <w:sz w:val="20"/>
          <w:szCs w:val="20"/>
          <w:color w:val="auto"/>
        </w:rPr>
      </w:pPr>
    </w:p>
    <w:p>
      <w:pPr>
        <w:jc w:val="both"/>
        <w:ind w:left="780" w:right="860"/>
        <w:spacing w:after="0" w:line="267" w:lineRule="auto"/>
        <w:rPr>
          <w:sz w:val="20"/>
          <w:szCs w:val="20"/>
          <w:color w:val="auto"/>
        </w:rPr>
      </w:pPr>
      <w:r>
        <w:rPr>
          <w:rFonts w:ascii="Arial" w:cs="Arial" w:eastAsia="Arial" w:hAnsi="Arial"/>
          <w:sz w:val="21"/>
          <w:szCs w:val="21"/>
          <w:color w:val="auto"/>
        </w:rPr>
        <w:t>Our Board currently comprises eleven directors, divided into three classes, each of whose members serve for staggered three-year terms. Each class consists, as nearly as possible, of one-third of the total number of directors.</w:t>
      </w:r>
    </w:p>
    <w:p>
      <w:pPr>
        <w:spacing w:after="0" w:line="142"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members of the classes are divided as follows:</w:t>
      </w:r>
    </w:p>
    <w:p>
      <w:pPr>
        <w:spacing w:after="0" w:line="122" w:lineRule="exact"/>
        <w:rPr>
          <w:sz w:val="20"/>
          <w:szCs w:val="20"/>
          <w:color w:val="auto"/>
        </w:rPr>
      </w:pPr>
    </w:p>
    <w:p>
      <w:pPr>
        <w:ind w:left="1120" w:right="1100" w:hanging="337"/>
        <w:spacing w:after="0" w:line="277" w:lineRule="auto"/>
        <w:tabs>
          <w:tab w:leader="none" w:pos="1120" w:val="left"/>
        </w:tabs>
        <w:numPr>
          <w:ilvl w:val="0"/>
          <w:numId w:val="13"/>
        </w:numPr>
        <w:rPr>
          <w:rFonts w:ascii="Arial" w:cs="Arial" w:eastAsia="Arial" w:hAnsi="Arial"/>
          <w:sz w:val="21"/>
          <w:szCs w:val="21"/>
          <w:color w:val="435F86"/>
        </w:rPr>
      </w:pPr>
      <w:r>
        <w:rPr>
          <w:rFonts w:ascii="Arial" w:cs="Arial" w:eastAsia="Arial" w:hAnsi="Arial"/>
          <w:sz w:val="21"/>
          <w:szCs w:val="21"/>
          <w:color w:val="auto"/>
        </w:rPr>
        <w:t>The Class II directors are Mr. Chen, Ms. Flynn and Ms. Klee, and their terms will expire at the Annual Meeting;</w:t>
      </w:r>
    </w:p>
    <w:p>
      <w:pPr>
        <w:spacing w:after="0" w:line="52" w:lineRule="exact"/>
        <w:rPr>
          <w:rFonts w:ascii="Arial" w:cs="Arial" w:eastAsia="Arial" w:hAnsi="Arial"/>
          <w:sz w:val="21"/>
          <w:szCs w:val="21"/>
          <w:color w:val="435F86"/>
        </w:rPr>
      </w:pPr>
    </w:p>
    <w:p>
      <w:pPr>
        <w:ind w:left="1120" w:right="1040" w:hanging="337"/>
        <w:spacing w:after="0" w:line="277" w:lineRule="auto"/>
        <w:tabs>
          <w:tab w:leader="none" w:pos="1120" w:val="left"/>
        </w:tabs>
        <w:numPr>
          <w:ilvl w:val="0"/>
          <w:numId w:val="13"/>
        </w:numPr>
        <w:rPr>
          <w:rFonts w:ascii="Arial" w:cs="Arial" w:eastAsia="Arial" w:hAnsi="Arial"/>
          <w:sz w:val="21"/>
          <w:szCs w:val="21"/>
          <w:color w:val="435F86"/>
        </w:rPr>
      </w:pPr>
      <w:r>
        <w:rPr>
          <w:rFonts w:ascii="Arial" w:cs="Arial" w:eastAsia="Arial" w:hAnsi="Arial"/>
          <w:sz w:val="21"/>
          <w:szCs w:val="21"/>
          <w:color w:val="auto"/>
        </w:rPr>
        <w:t>The Class III directors are Mr. Cunningham, Mr. Knauss, Mr. Petrella and Mr. Simon, and their terms will expire at the Annual Meeting of Stockholders in 2026; and</w:t>
      </w:r>
    </w:p>
    <w:p>
      <w:pPr>
        <w:spacing w:after="0" w:line="52" w:lineRule="exact"/>
        <w:rPr>
          <w:rFonts w:ascii="Arial" w:cs="Arial" w:eastAsia="Arial" w:hAnsi="Arial"/>
          <w:sz w:val="21"/>
          <w:szCs w:val="21"/>
          <w:color w:val="435F86"/>
        </w:rPr>
      </w:pPr>
    </w:p>
    <w:p>
      <w:pPr>
        <w:ind w:left="1120" w:right="860" w:hanging="337"/>
        <w:spacing w:after="0" w:line="277" w:lineRule="auto"/>
        <w:tabs>
          <w:tab w:leader="none" w:pos="1120" w:val="left"/>
        </w:tabs>
        <w:numPr>
          <w:ilvl w:val="0"/>
          <w:numId w:val="13"/>
        </w:numPr>
        <w:rPr>
          <w:rFonts w:ascii="Arial" w:cs="Arial" w:eastAsia="Arial" w:hAnsi="Arial"/>
          <w:sz w:val="21"/>
          <w:szCs w:val="21"/>
          <w:color w:val="435F86"/>
        </w:rPr>
      </w:pPr>
      <w:r>
        <w:rPr>
          <w:rFonts w:ascii="Arial" w:cs="Arial" w:eastAsia="Arial" w:hAnsi="Arial"/>
          <w:sz w:val="21"/>
          <w:szCs w:val="21"/>
          <w:color w:val="auto"/>
        </w:rPr>
        <w:t>The Class I directors are Mr. Mihas, Mr. Neary, Mr. Petras and Dr. Wheadon, and their terms will expire at the Annual Meeting of Stockholders in 2027.</w:t>
      </w:r>
    </w:p>
    <w:p>
      <w:pPr>
        <w:spacing w:after="0" w:line="143" w:lineRule="exact"/>
        <w:rPr>
          <w:sz w:val="20"/>
          <w:szCs w:val="20"/>
          <w:color w:val="auto"/>
        </w:rPr>
      </w:pPr>
    </w:p>
    <w:p>
      <w:pPr>
        <w:ind w:left="780" w:right="860"/>
        <w:spacing w:after="0" w:line="266" w:lineRule="auto"/>
        <w:rPr>
          <w:sz w:val="20"/>
          <w:szCs w:val="20"/>
          <w:color w:val="auto"/>
        </w:rPr>
      </w:pPr>
      <w:r>
        <w:rPr>
          <w:rFonts w:ascii="Arial" w:cs="Arial" w:eastAsia="Arial" w:hAnsi="Arial"/>
          <w:sz w:val="20"/>
          <w:szCs w:val="20"/>
          <w:color w:val="auto"/>
        </w:rPr>
        <w:t>Upon the expiration of the terms of a class of directors, directors in that class will be eligible to be elected for new three-year terms at the annual meeting of stockholders in the year in which their term expires. While our directors are elected by a plurality voting standard, we have adopted a majority voting policy for the election of directors in our Corporate Governance Guidelines. Pursuant to the majority voting policy, in an uncontested election, a director nominee must receive more votes cast “FOR” his or her election than votes “WITHHELD” to be elected. If any nominee for director receives a greater number of votes “withheld” than votes “for” such election, our Corporate Governance Guidelines require that such person must promptly tender his or her resignation to the NCG Committee following certification of the vote and the NCG Committee shall recommend such action(s) to be taken to the Board for their review and consideration.</w:t>
      </w:r>
    </w:p>
    <w:p>
      <w:pPr>
        <w:spacing w:after="0" w:line="255"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Nominees for Election as Class II Directors</w:t>
      </w:r>
    </w:p>
    <w:p>
      <w:pPr>
        <w:spacing w:after="0" w:line="215" w:lineRule="exact"/>
        <w:rPr>
          <w:sz w:val="20"/>
          <w:szCs w:val="20"/>
          <w:color w:val="auto"/>
        </w:rPr>
      </w:pPr>
    </w:p>
    <w:p>
      <w:pPr>
        <w:ind w:left="780" w:right="1020"/>
        <w:spacing w:after="0" w:line="288" w:lineRule="auto"/>
        <w:rPr>
          <w:sz w:val="20"/>
          <w:szCs w:val="20"/>
          <w:color w:val="auto"/>
        </w:rPr>
      </w:pPr>
      <w:r>
        <w:rPr>
          <w:rFonts w:ascii="Arial" w:cs="Arial" w:eastAsia="Arial" w:hAnsi="Arial"/>
          <w:sz w:val="19"/>
          <w:szCs w:val="19"/>
          <w:color w:val="auto"/>
        </w:rPr>
        <w:t>At the Annual Meeting, the shareholders will vote to elect three Class II director nominees to serve until the 2028 Annual Meeting of Stockholders and until their successors are duly elected and qualified. On the recommendation of the NCG Committee, our Board has unanimously nominated Ruoxi Chen, Karen A. Flynn and Ann R. Klee for election to our Board. If any of the director nominees becomes unable or unwilling to serve, proxies may be voted for the election of another candidate as shall be designated by our Board or the Board may decrease the size of the Board.</w:t>
      </w:r>
    </w:p>
    <w:p>
      <w:pPr>
        <w:spacing w:after="0" w:line="140" w:lineRule="exact"/>
        <w:rPr>
          <w:sz w:val="20"/>
          <w:szCs w:val="20"/>
          <w:color w:val="auto"/>
        </w:rPr>
      </w:pPr>
    </w:p>
    <w:p>
      <w:pPr>
        <w:ind w:left="780" w:right="1360"/>
        <w:spacing w:after="0" w:line="260" w:lineRule="auto"/>
        <w:rPr>
          <w:sz w:val="20"/>
          <w:szCs w:val="20"/>
          <w:color w:val="auto"/>
        </w:rPr>
      </w:pPr>
      <w:r>
        <w:rPr>
          <w:rFonts w:ascii="Arial" w:cs="Arial" w:eastAsia="Arial" w:hAnsi="Arial"/>
          <w:sz w:val="21"/>
          <w:szCs w:val="21"/>
          <w:color w:val="auto"/>
        </w:rPr>
        <w:t>The following biographical information regarding each director includes the primary individual experience, qualifications, attributes and skills and a brief statement of those aspects of our directors’ backgrounds that led us to conclude that each director should continue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168275</wp:posOffset>
            </wp:positionV>
            <wp:extent cx="553847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12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555625</wp:posOffset>
            </wp:positionV>
            <wp:extent cx="1096010" cy="131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96010" cy="131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1080"/>
        <w:spacing w:after="0"/>
        <w:rPr>
          <w:sz w:val="20"/>
          <w:szCs w:val="20"/>
          <w:color w:val="auto"/>
        </w:rPr>
      </w:pPr>
      <w:r>
        <w:rPr>
          <w:rFonts w:ascii="Arial" w:cs="Arial" w:eastAsia="Arial" w:hAnsi="Arial"/>
          <w:sz w:val="20"/>
          <w:szCs w:val="20"/>
          <w:b w:val="1"/>
          <w:bCs w:val="1"/>
          <w:color w:val="435F86"/>
        </w:rPr>
        <w:t>Ruoxi Chen</w:t>
      </w:r>
    </w:p>
    <w:p>
      <w:pPr>
        <w:spacing w:after="0" w:line="37" w:lineRule="exact"/>
        <w:rPr>
          <w:sz w:val="20"/>
          <w:szCs w:val="20"/>
          <w:color w:val="auto"/>
        </w:rPr>
      </w:pPr>
    </w:p>
    <w:p>
      <w:pPr>
        <w:jc w:val="center"/>
        <w:ind w:left="108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41</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872490</wp:posOffset>
            </wp:positionV>
            <wp:extent cx="1079500" cy="127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7950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1020"/>
        <w:spacing w:after="0"/>
        <w:rPr>
          <w:sz w:val="20"/>
          <w:szCs w:val="20"/>
          <w:color w:val="auto"/>
        </w:rPr>
      </w:pPr>
      <w:r>
        <w:rPr>
          <w:rFonts w:ascii="Arial" w:cs="Arial" w:eastAsia="Arial" w:hAnsi="Arial"/>
          <w:sz w:val="20"/>
          <w:szCs w:val="20"/>
          <w:b w:val="1"/>
          <w:bCs w:val="1"/>
          <w:color w:val="435F86"/>
        </w:rPr>
        <w:t>Karen Flynn</w:t>
      </w:r>
    </w:p>
    <w:p>
      <w:pPr>
        <w:spacing w:after="0" w:line="37" w:lineRule="exact"/>
        <w:rPr>
          <w:sz w:val="20"/>
          <w:szCs w:val="20"/>
          <w:color w:val="auto"/>
        </w:rPr>
      </w:pPr>
    </w:p>
    <w:p>
      <w:pPr>
        <w:jc w:val="center"/>
        <w:ind w:left="102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62</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3040"/>
        <w:spacing w:after="0"/>
        <w:rPr>
          <w:sz w:val="20"/>
          <w:szCs w:val="20"/>
          <w:color w:val="auto"/>
        </w:rPr>
      </w:pPr>
      <w:r>
        <w:rPr>
          <w:rFonts w:ascii="Arial" w:cs="Arial" w:eastAsia="Arial" w:hAnsi="Arial"/>
          <w:sz w:val="16"/>
          <w:szCs w:val="16"/>
          <w:b w:val="1"/>
          <w:bCs w:val="1"/>
          <w:color w:val="auto"/>
        </w:rPr>
        <w:t>Proposal 1: Election of Three Director Nominees</w:t>
      </w:r>
    </w:p>
    <w:p>
      <w:pPr>
        <w:spacing w:after="0" w:line="59"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Nominees for Election as Class II Directors</w:t>
      </w:r>
    </w:p>
    <w:p>
      <w:pPr>
        <w:spacing w:after="0" w:line="262" w:lineRule="exact"/>
        <w:rPr>
          <w:sz w:val="20"/>
          <w:szCs w:val="20"/>
          <w:color w:val="auto"/>
        </w:rPr>
      </w:pPr>
    </w:p>
    <w:p>
      <w:pPr>
        <w:ind w:left="40" w:right="359"/>
        <w:spacing w:after="0" w:line="254" w:lineRule="auto"/>
        <w:rPr>
          <w:sz w:val="20"/>
          <w:szCs w:val="20"/>
          <w:color w:val="auto"/>
        </w:rPr>
      </w:pPr>
      <w:r>
        <w:rPr>
          <w:rFonts w:ascii="Arial" w:cs="Arial" w:eastAsia="Arial" w:hAnsi="Arial"/>
          <w:sz w:val="21"/>
          <w:szCs w:val="21"/>
          <w:b w:val="1"/>
          <w:bCs w:val="1"/>
          <w:color w:val="435F86"/>
        </w:rPr>
        <w:t xml:space="preserve">Biographical Information: </w:t>
      </w:r>
      <w:r>
        <w:rPr>
          <w:rFonts w:ascii="Arial" w:cs="Arial" w:eastAsia="Arial" w:hAnsi="Arial"/>
          <w:sz w:val="21"/>
          <w:szCs w:val="21"/>
          <w:color w:val="000000"/>
        </w:rPr>
        <w:t>Ruoxi Chen has served as a member of our</w:t>
      </w:r>
      <w:r>
        <w:rPr>
          <w:rFonts w:ascii="Arial" w:cs="Arial" w:eastAsia="Arial" w:hAnsi="Arial"/>
          <w:sz w:val="21"/>
          <w:szCs w:val="21"/>
          <w:b w:val="1"/>
          <w:bCs w:val="1"/>
          <w:color w:val="435F86"/>
        </w:rPr>
        <w:t xml:space="preserve"> </w:t>
      </w:r>
      <w:r>
        <w:rPr>
          <w:rFonts w:ascii="Arial" w:cs="Arial" w:eastAsia="Arial" w:hAnsi="Arial"/>
          <w:sz w:val="21"/>
          <w:szCs w:val="21"/>
          <w:color w:val="000000"/>
        </w:rPr>
        <w:t>Board since November 2020. Mr. Chen joined Warburg Pincus, a private equity investment firm, in 2011 and is currently a Managing Director focusing on investments in the healthcare sector. Prior to joining Warburg Pincus, Mr. Chen worked at the Carlyle Group in the U.S. Buyout Fund and in investment banking at Citigroup.</w:t>
      </w:r>
    </w:p>
    <w:p>
      <w:pPr>
        <w:spacing w:after="0" w:line="63" w:lineRule="exact"/>
        <w:rPr>
          <w:sz w:val="20"/>
          <w:szCs w:val="20"/>
          <w:color w:val="auto"/>
        </w:rPr>
      </w:pPr>
    </w:p>
    <w:p>
      <w:pPr>
        <w:ind w:left="40" w:right="199"/>
        <w:spacing w:after="0" w:line="256" w:lineRule="auto"/>
        <w:rPr>
          <w:sz w:val="20"/>
          <w:szCs w:val="20"/>
          <w:color w:val="auto"/>
        </w:rPr>
      </w:pPr>
      <w:r>
        <w:rPr>
          <w:rFonts w:ascii="Arial" w:cs="Arial" w:eastAsia="Arial" w:hAnsi="Arial"/>
          <w:sz w:val="21"/>
          <w:szCs w:val="21"/>
          <w:color w:val="auto"/>
        </w:rPr>
        <w:t>Mr. Chen serves on the board of directors of a variety of private, life sciences companies and previously served on the board of directors of Silk Road Medical Inc. from April 2019 to December 2020. He holds a B.S. in economics and computer science, magna cum laude, from Duke University and an M.B.A. from Harvard Business School.</w:t>
      </w:r>
    </w:p>
    <w:p>
      <w:pPr>
        <w:spacing w:after="0" w:line="62" w:lineRule="exact"/>
        <w:rPr>
          <w:sz w:val="20"/>
          <w:szCs w:val="20"/>
          <w:color w:val="auto"/>
        </w:rPr>
      </w:pPr>
    </w:p>
    <w:p>
      <w:pPr>
        <w:jc w:val="both"/>
        <w:ind w:left="40" w:right="279"/>
        <w:spacing w:after="0" w:line="260"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Mr. Chen was selected to serve on our Board because of his</w:t>
      </w:r>
      <w:r>
        <w:rPr>
          <w:rFonts w:ascii="Arial" w:cs="Arial" w:eastAsia="Arial" w:hAnsi="Arial"/>
          <w:sz w:val="21"/>
          <w:szCs w:val="21"/>
          <w:b w:val="1"/>
          <w:bCs w:val="1"/>
          <w:color w:val="435F86"/>
        </w:rPr>
        <w:t xml:space="preserve"> </w:t>
      </w:r>
      <w:r>
        <w:rPr>
          <w:rFonts w:ascii="Arial" w:cs="Arial" w:eastAsia="Arial" w:hAnsi="Arial"/>
          <w:sz w:val="21"/>
          <w:szCs w:val="21"/>
          <w:color w:val="000000"/>
        </w:rPr>
        <w:t>extensive knowledge of strategy and business development in the healthcare sector, his wide-ranging experience as a director and deep familiarity with our Company.</w:t>
      </w:r>
    </w:p>
    <w:p>
      <w:pPr>
        <w:spacing w:after="0" w:line="213" w:lineRule="exact"/>
        <w:rPr>
          <w:sz w:val="20"/>
          <w:szCs w:val="20"/>
          <w:color w:val="auto"/>
        </w:rPr>
      </w:pPr>
    </w:p>
    <w:p>
      <w:pPr>
        <w:ind w:right="279"/>
        <w:spacing w:after="0" w:line="265" w:lineRule="auto"/>
        <w:rPr>
          <w:sz w:val="20"/>
          <w:szCs w:val="20"/>
          <w:color w:val="auto"/>
        </w:rPr>
      </w:pPr>
      <w:r>
        <w:rPr>
          <w:rFonts w:ascii="Arial" w:cs="Arial" w:eastAsia="Arial" w:hAnsi="Arial"/>
          <w:sz w:val="20"/>
          <w:szCs w:val="20"/>
          <w:b w:val="1"/>
          <w:bCs w:val="1"/>
          <w:color w:val="435F86"/>
        </w:rPr>
        <w:t xml:space="preserve">Biographical Information: </w:t>
      </w:r>
      <w:r>
        <w:rPr>
          <w:rFonts w:ascii="Arial" w:cs="Arial" w:eastAsia="Arial" w:hAnsi="Arial"/>
          <w:sz w:val="20"/>
          <w:szCs w:val="20"/>
          <w:color w:val="000000"/>
        </w:rPr>
        <w:t>Karen A. Flynn has served as a member of our</w:t>
      </w:r>
      <w:r>
        <w:rPr>
          <w:rFonts w:ascii="Arial" w:cs="Arial" w:eastAsia="Arial" w:hAnsi="Arial"/>
          <w:sz w:val="20"/>
          <w:szCs w:val="20"/>
          <w:b w:val="1"/>
          <w:bCs w:val="1"/>
          <w:color w:val="435F86"/>
        </w:rPr>
        <w:t xml:space="preserve"> </w:t>
      </w:r>
      <w:r>
        <w:rPr>
          <w:rFonts w:ascii="Arial" w:cs="Arial" w:eastAsia="Arial" w:hAnsi="Arial"/>
          <w:sz w:val="20"/>
          <w:szCs w:val="20"/>
          <w:color w:val="000000"/>
        </w:rPr>
        <w:t>Board since November 2023. Ms. Flynn served as President, Biomodalities at Catalent Pharma Solutions (“Catalent”), a pharmaceutical contract development and manufacturing services company, from April 2023 to October 2023 and President, Biologics and Chief Commercial Officer at Catalant from January 2020 to September 2022. Before Catalent, Ms. Flynn was Senior Vice President and Chief Commercial Officer for West Pharmaceutical Services, Inc. from 2016 to 2019.</w:t>
      </w:r>
    </w:p>
    <w:p>
      <w:pPr>
        <w:spacing w:after="0" w:line="58" w:lineRule="exact"/>
        <w:rPr>
          <w:sz w:val="20"/>
          <w:szCs w:val="20"/>
          <w:color w:val="auto"/>
        </w:rPr>
      </w:pPr>
    </w:p>
    <w:p>
      <w:pPr>
        <w:ind w:right="199"/>
        <w:spacing w:after="0" w:line="264" w:lineRule="auto"/>
        <w:rPr>
          <w:sz w:val="20"/>
          <w:szCs w:val="20"/>
          <w:color w:val="auto"/>
        </w:rPr>
      </w:pPr>
      <w:r>
        <w:rPr>
          <w:rFonts w:ascii="Arial" w:cs="Arial" w:eastAsia="Arial" w:hAnsi="Arial"/>
          <w:sz w:val="20"/>
          <w:szCs w:val="20"/>
          <w:color w:val="auto"/>
        </w:rPr>
        <w:t>Ms. Flynn serves on the board of directors of Quanterix Corporation (NASDAQ: QTRRX), GermFree Laboratories and Stevanato Group (NYSE: STVN). Previously, she was a member of the board of directors of Societal CDMO, Inc. from September 2015 to January 2020. She also serves on the board of trustees for The Franklin Institute and with the University of Notre Dame’s Hesburgh Women of Impact mentorship program. Ms. Flynn holds a B.S. in pre-professional studies from the University of Notre Dame, a Master of Science in Business Administration from Boston University and a Master of Science in Engineering from the University of Pennsylvania.</w:t>
      </w:r>
    </w:p>
    <w:p>
      <w:pPr>
        <w:spacing w:after="0" w:line="60" w:lineRule="exact"/>
        <w:rPr>
          <w:sz w:val="20"/>
          <w:szCs w:val="20"/>
          <w:color w:val="auto"/>
        </w:rPr>
      </w:pPr>
    </w:p>
    <w:p>
      <w:pPr>
        <w:ind w:right="239"/>
        <w:spacing w:after="0" w:line="267"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Ms. Flynn was selected to serve on our Board because of her</w:t>
      </w:r>
      <w:r>
        <w:rPr>
          <w:rFonts w:ascii="Arial" w:cs="Arial" w:eastAsia="Arial" w:hAnsi="Arial"/>
          <w:sz w:val="21"/>
          <w:szCs w:val="21"/>
          <w:b w:val="1"/>
          <w:bCs w:val="1"/>
          <w:color w:val="435F86"/>
        </w:rPr>
        <w:t xml:space="preserve"> </w:t>
      </w:r>
      <w:r>
        <w:rPr>
          <w:rFonts w:ascii="Arial" w:cs="Arial" w:eastAsia="Arial" w:hAnsi="Arial"/>
          <w:sz w:val="21"/>
          <w:szCs w:val="21"/>
          <w:color w:val="000000"/>
        </w:rPr>
        <w:t>extensive experience in commercial strategy, strategic planning, innovation, quality management and the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947420</wp:posOffset>
            </wp:positionV>
            <wp:extent cx="494665" cy="165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823595</wp:posOffset>
            </wp:positionV>
            <wp:extent cx="55384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440"/>
            <w:col w:w="701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Proposal 1: Election of Three Director Nominees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Nominees for Election as Class II Directors</w:t>
      </w:r>
    </w:p>
    <w:p>
      <w:pPr>
        <w:sectPr>
          <w:pgSz w:w="11900" w:h="16838" w:orient="portrait"/>
          <w:cols w:equalWidth="0" w:num="1">
            <w:col w:w="10300"/>
          </w:cols>
          <w:pgMar w:left="800" w:top="9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80"/>
        <w:spacing w:after="0"/>
        <w:rPr>
          <w:sz w:val="20"/>
          <w:szCs w:val="20"/>
          <w:color w:val="auto"/>
        </w:rPr>
      </w:pPr>
      <w:r>
        <w:rPr>
          <w:rFonts w:ascii="Arial" w:cs="Arial" w:eastAsia="Arial" w:hAnsi="Arial"/>
          <w:sz w:val="19"/>
          <w:szCs w:val="19"/>
          <w:b w:val="1"/>
          <w:bCs w:val="1"/>
          <w:color w:val="435F86"/>
        </w:rPr>
        <w:t>Ann Klee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-1464945</wp:posOffset>
            </wp:positionV>
            <wp:extent cx="1079500" cy="1318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79500" cy="1318895"/>
                    </a:xfrm>
                    <a:prstGeom prst="rect">
                      <a:avLst/>
                    </a:prstGeom>
                    <a:noFill/>
                  </pic:spPr>
                </pic:pic>
              </a:graphicData>
            </a:graphic>
          </wp:anchor>
        </w:drawing>
      </w:r>
    </w:p>
    <w:p>
      <w:pPr>
        <w:spacing w:after="0" w:line="28"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63</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Director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200" w:right="940"/>
        <w:spacing w:after="0" w:line="277" w:lineRule="auto"/>
        <w:rPr>
          <w:sz w:val="20"/>
          <w:szCs w:val="20"/>
          <w:color w:val="auto"/>
        </w:rPr>
      </w:pPr>
      <w:r>
        <w:rPr>
          <w:rFonts w:ascii="Arial" w:cs="Arial" w:eastAsia="Arial" w:hAnsi="Arial"/>
          <w:sz w:val="19"/>
          <w:szCs w:val="19"/>
          <w:b w:val="1"/>
          <w:bCs w:val="1"/>
          <w:color w:val="435F86"/>
        </w:rPr>
        <w:t xml:space="preserve">Biographical Information: </w:t>
      </w:r>
      <w:r>
        <w:rPr>
          <w:rFonts w:ascii="Arial" w:cs="Arial" w:eastAsia="Arial" w:hAnsi="Arial"/>
          <w:sz w:val="19"/>
          <w:szCs w:val="19"/>
          <w:color w:val="000000"/>
        </w:rPr>
        <w:t>Ann R. Klee has served as a member of our</w:t>
      </w:r>
      <w:r>
        <w:rPr>
          <w:rFonts w:ascii="Arial" w:cs="Arial" w:eastAsia="Arial" w:hAnsi="Arial"/>
          <w:sz w:val="19"/>
          <w:szCs w:val="19"/>
          <w:b w:val="1"/>
          <w:bCs w:val="1"/>
          <w:color w:val="435F86"/>
        </w:rPr>
        <w:t xml:space="preserve"> </w:t>
      </w:r>
      <w:r>
        <w:rPr>
          <w:rFonts w:ascii="Arial" w:cs="Arial" w:eastAsia="Arial" w:hAnsi="Arial"/>
          <w:sz w:val="19"/>
          <w:szCs w:val="19"/>
          <w:color w:val="000000"/>
        </w:rPr>
        <w:t>Board since October 2020 and was a member of Topco Parent’s Board of Managers from May 2020 to November 2020. Ms. Klee served as the Executive Vice President, Business Development &amp; External Affairs at Suffolk Construction, a construction contracting company, from February 2020 until March 2021. Prior to that, she was Vice President, Environment Health &amp; Safety at General Electric (“GE”), a multinational conglomerate, from February 2008 to September 2019, and Vice President, Boston Development</w:t>
      </w:r>
    </w:p>
    <w:p>
      <w:pPr>
        <w:spacing w:after="0" w:line="1" w:lineRule="exact"/>
        <w:rPr>
          <w:sz w:val="20"/>
          <w:szCs w:val="20"/>
          <w:color w:val="auto"/>
        </w:rPr>
      </w:pPr>
    </w:p>
    <w:p>
      <w:pPr>
        <w:ind w:left="200" w:right="800" w:hanging="1"/>
        <w:spacing w:after="0" w:line="262" w:lineRule="auto"/>
        <w:tabs>
          <w:tab w:leader="none" w:pos="386" w:val="left"/>
        </w:tabs>
        <w:numPr>
          <w:ilvl w:val="0"/>
          <w:numId w:val="14"/>
        </w:numPr>
        <w:rPr>
          <w:rFonts w:ascii="Arial" w:cs="Arial" w:eastAsia="Arial" w:hAnsi="Arial"/>
          <w:sz w:val="20"/>
          <w:szCs w:val="20"/>
          <w:color w:val="auto"/>
        </w:rPr>
      </w:pPr>
      <w:r>
        <w:rPr>
          <w:rFonts w:ascii="Arial" w:cs="Arial" w:eastAsia="Arial" w:hAnsi="Arial"/>
          <w:sz w:val="20"/>
          <w:szCs w:val="20"/>
          <w:color w:val="auto"/>
        </w:rPr>
        <w:t>Operations at GE, from January 2016 to September 2019. She was also the President of the GE Foundation from August 2015 to September 2019, where she oversaw GE’s $140 million annual charitable contributions. Before GE, she was a partner at Crowell &amp; Moring in Washington, D.C. from 2006 to 2007, where she served as co-chair of the firm’s Environment and Natural Resources group. Prior to that, she served as General Counsel to the US EPA, as Counselor and Special Assistant to the Secretary of the U.S. Department of the Interior and as Chief Counsel to the U.S. Senate’s Environment and Public Works Committee.</w:t>
      </w:r>
    </w:p>
    <w:p>
      <w:pPr>
        <w:spacing w:after="0" w:line="57" w:lineRule="exact"/>
        <w:rPr>
          <w:sz w:val="20"/>
          <w:szCs w:val="20"/>
          <w:color w:val="auto"/>
        </w:rPr>
      </w:pPr>
    </w:p>
    <w:p>
      <w:pPr>
        <w:ind w:left="200" w:right="940"/>
        <w:spacing w:after="0" w:line="269" w:lineRule="auto"/>
        <w:rPr>
          <w:sz w:val="20"/>
          <w:szCs w:val="20"/>
          <w:color w:val="auto"/>
        </w:rPr>
      </w:pPr>
      <w:r>
        <w:rPr>
          <w:rFonts w:ascii="Arial" w:cs="Arial" w:eastAsia="Arial" w:hAnsi="Arial"/>
          <w:sz w:val="20"/>
          <w:szCs w:val="20"/>
          <w:color w:val="auto"/>
        </w:rPr>
        <w:t>Ms. Klee serves on the board of directors of Wabtec Corporation (NYSE: WAB) and is the chair of the Compensation and Talent Development Committee and the Environmental, Social and Governance subcommittee of the Governance and Sustainability Committee. She holds a B.A. with High Honors in classics from Swarthmore College and a J.D. from the University of Pennsylvania Carey Law School.</w:t>
      </w:r>
    </w:p>
    <w:p>
      <w:pPr>
        <w:spacing w:after="0" w:line="50" w:lineRule="exact"/>
        <w:rPr>
          <w:sz w:val="20"/>
          <w:szCs w:val="20"/>
          <w:color w:val="auto"/>
        </w:rPr>
      </w:pPr>
    </w:p>
    <w:p>
      <w:pPr>
        <w:jc w:val="both"/>
        <w:ind w:left="200" w:right="860"/>
        <w:spacing w:after="0" w:line="260"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Ms. Klee was selected to serve on our Board because of her</w:t>
      </w:r>
      <w:r>
        <w:rPr>
          <w:rFonts w:ascii="Arial" w:cs="Arial" w:eastAsia="Arial" w:hAnsi="Arial"/>
          <w:sz w:val="21"/>
          <w:szCs w:val="21"/>
          <w:b w:val="1"/>
          <w:bCs w:val="1"/>
          <w:color w:val="435F86"/>
        </w:rPr>
        <w:t xml:space="preserve"> </w:t>
      </w:r>
      <w:r>
        <w:rPr>
          <w:rFonts w:ascii="Arial" w:cs="Arial" w:eastAsia="Arial" w:hAnsi="Arial"/>
          <w:sz w:val="21"/>
          <w:szCs w:val="21"/>
          <w:color w:val="000000"/>
        </w:rPr>
        <w:t>extensive experience as an environmental lawyer managing complex litigation and for her expertise in environmental law, regulation and policy and corporate responsibility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143510</wp:posOffset>
            </wp:positionV>
            <wp:extent cx="5011420" cy="7416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1420" cy="741680"/>
                    </a:xfrm>
                    <a:prstGeom prst="rect">
                      <a:avLst/>
                    </a:prstGeom>
                    <a:noFill/>
                  </pic:spPr>
                </pic:pic>
              </a:graphicData>
            </a:graphic>
          </wp:anchor>
        </w:drawing>
      </w:r>
    </w:p>
    <w:p>
      <w:pPr>
        <w:spacing w:after="0" w:line="361" w:lineRule="exact"/>
        <w:rPr>
          <w:sz w:val="20"/>
          <w:szCs w:val="20"/>
          <w:color w:val="auto"/>
        </w:rPr>
      </w:pPr>
    </w:p>
    <w:p>
      <w:pPr>
        <w:jc w:val="both"/>
        <w:ind w:right="1760"/>
        <w:spacing w:after="0" w:line="292" w:lineRule="auto"/>
        <w:rPr>
          <w:sz w:val="20"/>
          <w:szCs w:val="20"/>
          <w:color w:val="auto"/>
        </w:rPr>
      </w:pPr>
      <w:r>
        <w:rPr>
          <w:rFonts w:ascii="Arial" w:cs="Arial" w:eastAsia="Arial" w:hAnsi="Arial"/>
          <w:sz w:val="21"/>
          <w:szCs w:val="21"/>
          <w:b w:val="1"/>
          <w:bCs w:val="1"/>
          <w:color w:val="FFFFFF"/>
        </w:rPr>
        <w:t>The Board recommends a vote “FOR” the election of each of the director nominees set forth above to serve until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1542415</wp:posOffset>
            </wp:positionV>
            <wp:extent cx="55384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0"/>
            <w:col w:w="7860"/>
          </w:cols>
          <w:pgMar w:left="800" w:top="93"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14</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Proposal 1: Election of Three Director Nominees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Directors Continuing in Office</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Directors Continuing in Office</w:t>
      </w:r>
    </w:p>
    <w:p>
      <w:pPr>
        <w:spacing w:after="0" w:line="215" w:lineRule="exact"/>
        <w:rPr>
          <w:sz w:val="20"/>
          <w:szCs w:val="20"/>
          <w:color w:val="auto"/>
        </w:rPr>
      </w:pPr>
    </w:p>
    <w:p>
      <w:pPr>
        <w:ind w:left="780" w:right="199"/>
        <w:spacing w:after="0" w:line="249" w:lineRule="auto"/>
        <w:rPr>
          <w:sz w:val="20"/>
          <w:szCs w:val="20"/>
          <w:color w:val="auto"/>
        </w:rPr>
      </w:pPr>
      <w:r>
        <w:rPr>
          <w:rFonts w:ascii="Arial" w:cs="Arial" w:eastAsia="Arial" w:hAnsi="Arial"/>
          <w:sz w:val="21"/>
          <w:szCs w:val="21"/>
          <w:color w:val="auto"/>
        </w:rPr>
        <w:t>Eight directors are serving for terms that will continue after the Annual Meeting until the Annual Meeting of Stockholders in 2026 or 2027, as applicable. The following brief biographical descriptions provide information regarding these directors’ individual experience, qualifications, attributes and skills and a brief statement of those aspects of our directors’ backgrounds that led us to conclude that they should serve as directors.</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Class III Directors (Terms Expire at 2026 Annual Meeting)</w:t>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0"/>
        <w:spacing w:after="0"/>
        <w:rPr>
          <w:sz w:val="20"/>
          <w:szCs w:val="20"/>
          <w:color w:val="auto"/>
        </w:rPr>
      </w:pPr>
      <w:r>
        <w:rPr>
          <w:rFonts w:ascii="Arial" w:cs="Arial" w:eastAsia="Arial" w:hAnsi="Arial"/>
          <w:sz w:val="21"/>
          <w:szCs w:val="21"/>
          <w:b w:val="1"/>
          <w:bCs w:val="1"/>
          <w:color w:val="435F86"/>
        </w:rPr>
        <w:t>Sean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-1463040</wp:posOffset>
            </wp:positionV>
            <wp:extent cx="1062990" cy="131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62990" cy="1310640"/>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435F86"/>
        </w:rPr>
        <w:t>Cunningham</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49</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542925</wp:posOffset>
            </wp:positionV>
            <wp:extent cx="1079500" cy="129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795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900"/>
        <w:spacing w:after="0"/>
        <w:rPr>
          <w:sz w:val="20"/>
          <w:szCs w:val="20"/>
          <w:color w:val="auto"/>
        </w:rPr>
      </w:pPr>
      <w:r>
        <w:rPr>
          <w:rFonts w:ascii="Arial" w:cs="Arial" w:eastAsia="Arial" w:hAnsi="Arial"/>
          <w:sz w:val="19"/>
          <w:szCs w:val="19"/>
          <w:b w:val="1"/>
          <w:bCs w:val="1"/>
          <w:color w:val="435F86"/>
        </w:rPr>
        <w:t>Robert Knauss</w:t>
      </w:r>
    </w:p>
    <w:p>
      <w:pPr>
        <w:spacing w:after="0" w:line="61" w:lineRule="exact"/>
        <w:rPr>
          <w:sz w:val="20"/>
          <w:szCs w:val="20"/>
          <w:color w:val="auto"/>
        </w:rPr>
      </w:pPr>
    </w:p>
    <w:p>
      <w:pPr>
        <w:jc w:val="center"/>
        <w:ind w:left="90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71</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59"/>
        <w:spacing w:after="0" w:line="254" w:lineRule="auto"/>
        <w:rPr>
          <w:sz w:val="20"/>
          <w:szCs w:val="20"/>
          <w:color w:val="auto"/>
        </w:rPr>
      </w:pPr>
      <w:r>
        <w:rPr>
          <w:rFonts w:ascii="Arial" w:cs="Arial" w:eastAsia="Arial" w:hAnsi="Arial"/>
          <w:sz w:val="21"/>
          <w:szCs w:val="21"/>
          <w:b w:val="1"/>
          <w:bCs w:val="1"/>
          <w:color w:val="435F86"/>
        </w:rPr>
        <w:t xml:space="preserve">Biographical Information: </w:t>
      </w:r>
      <w:r>
        <w:rPr>
          <w:rFonts w:ascii="Arial" w:cs="Arial" w:eastAsia="Arial" w:hAnsi="Arial"/>
          <w:sz w:val="21"/>
          <w:szCs w:val="21"/>
          <w:color w:val="000000"/>
        </w:rPr>
        <w:t>Sean L. Cunningham has served as a member of</w:t>
      </w:r>
      <w:r>
        <w:rPr>
          <w:rFonts w:ascii="Arial" w:cs="Arial" w:eastAsia="Arial" w:hAnsi="Arial"/>
          <w:sz w:val="21"/>
          <w:szCs w:val="21"/>
          <w:b w:val="1"/>
          <w:bCs w:val="1"/>
          <w:color w:val="435F86"/>
        </w:rPr>
        <w:t xml:space="preserve"> </w:t>
      </w:r>
      <w:r>
        <w:rPr>
          <w:rFonts w:ascii="Arial" w:cs="Arial" w:eastAsia="Arial" w:hAnsi="Arial"/>
          <w:sz w:val="21"/>
          <w:szCs w:val="21"/>
          <w:color w:val="000000"/>
        </w:rPr>
        <w:t>our Board since 2015 and was a member of Topco Parent’s Board of Managers from 2015 to November 2020. Mr. Cunningham joined GTCR, a private equity investment firm, in 2001 and is currently a Managing Director of the firm. Prior to joining GTCR, he worked as a consultant with The Boston Consulting Group.</w:t>
      </w:r>
    </w:p>
    <w:p>
      <w:pPr>
        <w:spacing w:after="0" w:line="63" w:lineRule="exact"/>
        <w:rPr>
          <w:sz w:val="20"/>
          <w:szCs w:val="20"/>
          <w:color w:val="auto"/>
        </w:rPr>
      </w:pPr>
    </w:p>
    <w:p>
      <w:pPr>
        <w:ind w:right="479"/>
        <w:spacing w:after="0" w:line="255" w:lineRule="auto"/>
        <w:rPr>
          <w:sz w:val="20"/>
          <w:szCs w:val="20"/>
          <w:color w:val="auto"/>
        </w:rPr>
      </w:pPr>
      <w:r>
        <w:rPr>
          <w:rFonts w:ascii="Arial" w:cs="Arial" w:eastAsia="Arial" w:hAnsi="Arial"/>
          <w:sz w:val="21"/>
          <w:szCs w:val="21"/>
          <w:color w:val="auto"/>
        </w:rPr>
        <w:t>Mr. Cunningham serves on the board of directors of Maravai LifeSciences (NASDAQ: MRVI). He holds A.B. and B.E. degrees in engineering sciences from Dartmouth College and an M.B.A. from the Wharton School at the University of Pennsylvania.</w:t>
      </w:r>
    </w:p>
    <w:p>
      <w:pPr>
        <w:spacing w:after="0" w:line="77" w:lineRule="exact"/>
        <w:rPr>
          <w:sz w:val="20"/>
          <w:szCs w:val="20"/>
          <w:color w:val="auto"/>
        </w:rPr>
      </w:pPr>
    </w:p>
    <w:p>
      <w:pPr>
        <w:ind w:right="219"/>
        <w:spacing w:after="0" w:line="255"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Mr. Cunningham was selected to serve on our Board because</w:t>
      </w:r>
      <w:r>
        <w:rPr>
          <w:rFonts w:ascii="Arial" w:cs="Arial" w:eastAsia="Arial" w:hAnsi="Arial"/>
          <w:sz w:val="21"/>
          <w:szCs w:val="21"/>
          <w:b w:val="1"/>
          <w:bCs w:val="1"/>
          <w:color w:val="435F86"/>
        </w:rPr>
        <w:t xml:space="preserve"> </w:t>
      </w:r>
      <w:r>
        <w:rPr>
          <w:rFonts w:ascii="Arial" w:cs="Arial" w:eastAsia="Arial" w:hAnsi="Arial"/>
          <w:sz w:val="21"/>
          <w:szCs w:val="21"/>
          <w:color w:val="000000"/>
        </w:rPr>
        <w:t>of his wide range of experience overseeing and assessing the performance of companies in our industry, decades-long investment practice and extensive knowledge of strategy and business development.</w:t>
      </w:r>
    </w:p>
    <w:p>
      <w:pPr>
        <w:spacing w:after="0" w:line="207" w:lineRule="exact"/>
        <w:rPr>
          <w:sz w:val="20"/>
          <w:szCs w:val="20"/>
          <w:color w:val="auto"/>
        </w:rPr>
      </w:pPr>
    </w:p>
    <w:p>
      <w:pPr>
        <w:ind w:left="20" w:right="179"/>
        <w:spacing w:after="0" w:line="263" w:lineRule="auto"/>
        <w:rPr>
          <w:sz w:val="20"/>
          <w:szCs w:val="20"/>
          <w:color w:val="auto"/>
        </w:rPr>
      </w:pPr>
      <w:r>
        <w:rPr>
          <w:rFonts w:ascii="Arial" w:cs="Arial" w:eastAsia="Arial" w:hAnsi="Arial"/>
          <w:sz w:val="20"/>
          <w:szCs w:val="20"/>
          <w:b w:val="1"/>
          <w:bCs w:val="1"/>
          <w:color w:val="435F86"/>
        </w:rPr>
        <w:t xml:space="preserve">Biographical Information: </w:t>
      </w:r>
      <w:r>
        <w:rPr>
          <w:rFonts w:ascii="Arial" w:cs="Arial" w:eastAsia="Arial" w:hAnsi="Arial"/>
          <w:sz w:val="20"/>
          <w:szCs w:val="20"/>
          <w:color w:val="000000"/>
        </w:rPr>
        <w:t>Robert B. Knauss has served as a member of our</w:t>
      </w:r>
      <w:r>
        <w:rPr>
          <w:rFonts w:ascii="Arial" w:cs="Arial" w:eastAsia="Arial" w:hAnsi="Arial"/>
          <w:sz w:val="20"/>
          <w:szCs w:val="20"/>
          <w:b w:val="1"/>
          <w:bCs w:val="1"/>
          <w:color w:val="435F86"/>
        </w:rPr>
        <w:t xml:space="preserve"> </w:t>
      </w:r>
      <w:r>
        <w:rPr>
          <w:rFonts w:ascii="Arial" w:cs="Arial" w:eastAsia="Arial" w:hAnsi="Arial"/>
          <w:sz w:val="20"/>
          <w:szCs w:val="20"/>
          <w:color w:val="000000"/>
        </w:rPr>
        <w:t>Board since October 2022. Mr. Knauss joined Warburg Pincus in 2013 and is currently a Managing Director advising on legal, policy, regulatory and compliance matters. Prior to that, Mr. Knauss served as the firm’s General Counsel from 2013 to 2020. Prior to joining Warburg Pincus, Mr. Knauss was a Corporate Partner at Munger, Tolles &amp; Olson LLP, primarily focusing on mergers and acquisitions, corporate finance and securities and private equity. Prior to joining Munger, Tolles &amp; Olson in 1981, he served as a Law Clerk for Justice William H. Rehnquist of the Supreme Court of the United States and the Honorable Walter R. Mansfield of the United States Court of Appeals for the Second Circuit. Mr. Knauss holds a B.A. from Harvard University and a J.D. from the University of Michigan Law School.</w:t>
      </w:r>
    </w:p>
    <w:p>
      <w:pPr>
        <w:spacing w:after="0" w:line="65" w:lineRule="exact"/>
        <w:rPr>
          <w:sz w:val="20"/>
          <w:szCs w:val="20"/>
          <w:color w:val="auto"/>
        </w:rPr>
      </w:pPr>
    </w:p>
    <w:p>
      <w:pPr>
        <w:ind w:left="20" w:right="179"/>
        <w:spacing w:after="0" w:line="277" w:lineRule="auto"/>
        <w:rPr>
          <w:sz w:val="20"/>
          <w:szCs w:val="20"/>
          <w:color w:val="auto"/>
        </w:rPr>
      </w:pPr>
      <w:r>
        <w:rPr>
          <w:rFonts w:ascii="Arial" w:cs="Arial" w:eastAsia="Arial" w:hAnsi="Arial"/>
          <w:sz w:val="20"/>
          <w:szCs w:val="20"/>
          <w:b w:val="1"/>
          <w:bCs w:val="1"/>
          <w:color w:val="435F86"/>
        </w:rPr>
        <w:t xml:space="preserve">Qualifications: </w:t>
      </w:r>
      <w:r>
        <w:rPr>
          <w:rFonts w:ascii="Arial" w:cs="Arial" w:eastAsia="Arial" w:hAnsi="Arial"/>
          <w:sz w:val="20"/>
          <w:szCs w:val="20"/>
          <w:color w:val="000000"/>
        </w:rPr>
        <w:t>Mr. Knauss was selected to serve on our Board because of</w:t>
      </w:r>
      <w:r>
        <w:rPr>
          <w:rFonts w:ascii="Arial" w:cs="Arial" w:eastAsia="Arial" w:hAnsi="Arial"/>
          <w:sz w:val="20"/>
          <w:szCs w:val="20"/>
          <w:b w:val="1"/>
          <w:bCs w:val="1"/>
          <w:color w:val="435F86"/>
        </w:rPr>
        <w:t xml:space="preserve"> </w:t>
      </w:r>
      <w:r>
        <w:rPr>
          <w:rFonts w:ascii="Arial" w:cs="Arial" w:eastAsia="Arial" w:hAnsi="Arial"/>
          <w:sz w:val="20"/>
          <w:szCs w:val="20"/>
          <w:color w:val="000000"/>
        </w:rPr>
        <w:t>his significant experience overseeing legal, regulatory and compliance matters, his knowledge of overseas markets, and his expertise with respect to corporate responsibility, cybersecurity,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323215</wp:posOffset>
            </wp:positionV>
            <wp:extent cx="494665" cy="165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199390</wp:posOffset>
            </wp:positionV>
            <wp:extent cx="5538470"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20" w:space="300"/>
            <w:col w:w="7039"/>
          </w:cols>
          <w:pgMar w:left="800" w:top="93" w:right="1440"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Proposal 1: Election of Three Director Nominees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Directors Continuing in Office</w:t>
      </w:r>
    </w:p>
    <w:p>
      <w:pPr>
        <w:sectPr>
          <w:pgSz w:w="11900" w:h="16838" w:orient="portrait"/>
          <w:cols w:equalWidth="0" w:num="1">
            <w:col w:w="10300"/>
          </w:cols>
          <w:pgMar w:left="800" w:top="9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860"/>
        <w:spacing w:after="0"/>
        <w:rPr>
          <w:sz w:val="20"/>
          <w:szCs w:val="20"/>
          <w:color w:val="auto"/>
        </w:rPr>
      </w:pPr>
      <w:r>
        <w:rPr>
          <w:rFonts w:ascii="Arial" w:cs="Arial" w:eastAsia="Arial" w:hAnsi="Arial"/>
          <w:sz w:val="19"/>
          <w:szCs w:val="19"/>
          <w:b w:val="1"/>
          <w:bCs w:val="1"/>
          <w:color w:val="435F86"/>
        </w:rPr>
        <w:t>Vincent Petrella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-1506220</wp:posOffset>
            </wp:positionV>
            <wp:extent cx="1071245" cy="1368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71245" cy="1368425"/>
                    </a:xfrm>
                    <a:prstGeom prst="rect">
                      <a:avLst/>
                    </a:prstGeom>
                    <a:noFill/>
                  </pic:spPr>
                </pic:pic>
              </a:graphicData>
            </a:graphic>
          </wp:anchor>
        </w:drawing>
      </w:r>
    </w:p>
    <w:p>
      <w:pPr>
        <w:spacing w:after="0" w:line="28" w:lineRule="exact"/>
        <w:rPr>
          <w:sz w:val="20"/>
          <w:szCs w:val="20"/>
          <w:color w:val="auto"/>
        </w:rPr>
      </w:pPr>
    </w:p>
    <w:p>
      <w:pPr>
        <w:jc w:val="center"/>
        <w:ind w:left="86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64</w:t>
      </w:r>
    </w:p>
    <w:p>
      <w:pPr>
        <w:spacing w:after="0" w:line="5" w:lineRule="exact"/>
        <w:rPr>
          <w:sz w:val="20"/>
          <w:szCs w:val="20"/>
          <w:color w:val="auto"/>
        </w:rPr>
      </w:pPr>
    </w:p>
    <w:p>
      <w:pPr>
        <w:jc w:val="center"/>
        <w:ind w:left="900"/>
        <w:spacing w:after="0"/>
        <w:rPr>
          <w:sz w:val="20"/>
          <w:szCs w:val="20"/>
          <w:color w:val="auto"/>
        </w:rPr>
      </w:pPr>
      <w:r>
        <w:rPr>
          <w:rFonts w:ascii="Arial" w:cs="Arial" w:eastAsia="Arial" w:hAnsi="Arial"/>
          <w:sz w:val="21"/>
          <w:szCs w:val="21"/>
          <w:b w:val="1"/>
          <w:bCs w:val="1"/>
          <w:color w:val="auto"/>
        </w:rPr>
        <w:t>Lead</w:t>
      </w:r>
    </w:p>
    <w:p>
      <w:pPr>
        <w:spacing w:after="0" w:line="5" w:lineRule="exact"/>
        <w:rPr>
          <w:sz w:val="20"/>
          <w:szCs w:val="20"/>
          <w:color w:val="auto"/>
        </w:rPr>
      </w:pPr>
    </w:p>
    <w:p>
      <w:pPr>
        <w:jc w:val="center"/>
        <w:ind w:left="900"/>
        <w:spacing w:after="0"/>
        <w:rPr>
          <w:sz w:val="20"/>
          <w:szCs w:val="20"/>
          <w:color w:val="auto"/>
        </w:rPr>
      </w:pPr>
      <w:r>
        <w:rPr>
          <w:rFonts w:ascii="Arial" w:cs="Arial" w:eastAsia="Arial" w:hAnsi="Arial"/>
          <w:sz w:val="21"/>
          <w:szCs w:val="21"/>
          <w:b w:val="1"/>
          <w:bCs w:val="1"/>
          <w:color w:val="auto"/>
        </w:rPr>
        <w:t>Independent</w:t>
      </w:r>
    </w:p>
    <w:p>
      <w:pPr>
        <w:spacing w:after="0" w:line="5" w:lineRule="exact"/>
        <w:rPr>
          <w:sz w:val="20"/>
          <w:szCs w:val="20"/>
          <w:color w:val="auto"/>
        </w:rPr>
      </w:pPr>
    </w:p>
    <w:p>
      <w:pPr>
        <w:jc w:val="center"/>
        <w:ind w:left="90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822960</wp:posOffset>
            </wp:positionV>
            <wp:extent cx="1079500" cy="13271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79500" cy="132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435F86"/>
        </w:rPr>
        <w:t>Christopher</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435F86"/>
        </w:rPr>
        <w:t>Simon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61</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820"/>
        <w:spacing w:after="0" w:line="252" w:lineRule="auto"/>
        <w:rPr>
          <w:sz w:val="20"/>
          <w:szCs w:val="20"/>
          <w:color w:val="auto"/>
        </w:rPr>
      </w:pPr>
      <w:r>
        <w:rPr>
          <w:rFonts w:ascii="Arial" w:cs="Arial" w:eastAsia="Arial" w:hAnsi="Arial"/>
          <w:sz w:val="21"/>
          <w:szCs w:val="21"/>
          <w:b w:val="1"/>
          <w:bCs w:val="1"/>
          <w:color w:val="435F86"/>
        </w:rPr>
        <w:t xml:space="preserve">Biographical Information: </w:t>
      </w:r>
      <w:r>
        <w:rPr>
          <w:rFonts w:ascii="Arial" w:cs="Arial" w:eastAsia="Arial" w:hAnsi="Arial"/>
          <w:sz w:val="21"/>
          <w:szCs w:val="21"/>
          <w:color w:val="000000"/>
        </w:rPr>
        <w:t>Vincent K. Petrella has served as a member of our</w:t>
      </w:r>
      <w:r>
        <w:rPr>
          <w:rFonts w:ascii="Arial" w:cs="Arial" w:eastAsia="Arial" w:hAnsi="Arial"/>
          <w:sz w:val="21"/>
          <w:szCs w:val="21"/>
          <w:b w:val="1"/>
          <w:bCs w:val="1"/>
          <w:color w:val="435F86"/>
        </w:rPr>
        <w:t xml:space="preserve"> </w:t>
      </w:r>
      <w:r>
        <w:rPr>
          <w:rFonts w:ascii="Arial" w:cs="Arial" w:eastAsia="Arial" w:hAnsi="Arial"/>
          <w:sz w:val="21"/>
          <w:szCs w:val="21"/>
          <w:color w:val="000000"/>
        </w:rPr>
        <w:t>Board since November 2020 and was elected Lead Independent Director in January 2025. Mr. Petrella served as the Executive Vice President, Chief Financial Officer and Treasurer at Lincoln Electric Holdings, Inc. (“Lincoln Electric”), a welding, cutting and brazing products manufacturer, from January 2004 to April 2020. Prior to that, he served as Vice President, Corporate Controller from 1997 to 2003 and Internal Audit Manager from 1995 to 1997. Before Lincoln Electric, Mr. Petrella was an auditor at PricewaterhouseCoopers.</w:t>
      </w:r>
    </w:p>
    <w:p>
      <w:pPr>
        <w:spacing w:after="0" w:line="67" w:lineRule="exact"/>
        <w:rPr>
          <w:sz w:val="20"/>
          <w:szCs w:val="20"/>
          <w:color w:val="auto"/>
        </w:rPr>
      </w:pPr>
    </w:p>
    <w:p>
      <w:pPr>
        <w:ind w:right="860"/>
        <w:spacing w:after="0" w:line="291" w:lineRule="auto"/>
        <w:rPr>
          <w:sz w:val="20"/>
          <w:szCs w:val="20"/>
          <w:color w:val="auto"/>
        </w:rPr>
      </w:pPr>
      <w:r>
        <w:rPr>
          <w:rFonts w:ascii="Arial" w:cs="Arial" w:eastAsia="Arial" w:hAnsi="Arial"/>
          <w:sz w:val="19"/>
          <w:szCs w:val="19"/>
          <w:color w:val="auto"/>
        </w:rPr>
        <w:t>Mr. Petrella serves on the board of directors of Applied Industrial Technologies, Inc. (NYSE: AIT) and The Gorman-Rupp Company (NYSE: GRC). Mr. Petrella holds a B.A. in business administration (accounting) from Baldwin Wallace University and is a Certified Public Accountant in Ohio (inactive).</w:t>
      </w:r>
    </w:p>
    <w:p>
      <w:pPr>
        <w:spacing w:after="0" w:line="44" w:lineRule="exact"/>
        <w:rPr>
          <w:sz w:val="20"/>
          <w:szCs w:val="20"/>
          <w:color w:val="auto"/>
        </w:rPr>
      </w:pPr>
    </w:p>
    <w:p>
      <w:pPr>
        <w:ind w:right="800"/>
        <w:spacing w:after="0" w:line="255"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Mr. Petrella was selected to serve on our Board because of his</w:t>
      </w:r>
      <w:r>
        <w:rPr>
          <w:rFonts w:ascii="Arial" w:cs="Arial" w:eastAsia="Arial" w:hAnsi="Arial"/>
          <w:sz w:val="21"/>
          <w:szCs w:val="21"/>
          <w:b w:val="1"/>
          <w:bCs w:val="1"/>
          <w:color w:val="435F86"/>
        </w:rPr>
        <w:t xml:space="preserve"> </w:t>
      </w:r>
      <w:r>
        <w:rPr>
          <w:rFonts w:ascii="Arial" w:cs="Arial" w:eastAsia="Arial" w:hAnsi="Arial"/>
          <w:sz w:val="21"/>
          <w:szCs w:val="21"/>
          <w:color w:val="000000"/>
        </w:rPr>
        <w:t>significant global finance, accounting and international business development experience, his expertise with respect to audit committees and his wide-ranging experience as a director.</w:t>
      </w:r>
    </w:p>
    <w:p>
      <w:pPr>
        <w:spacing w:after="0" w:line="220" w:lineRule="exact"/>
        <w:rPr>
          <w:sz w:val="20"/>
          <w:szCs w:val="20"/>
          <w:color w:val="auto"/>
        </w:rPr>
      </w:pPr>
    </w:p>
    <w:p>
      <w:pPr>
        <w:ind w:right="860"/>
        <w:spacing w:after="0" w:line="263" w:lineRule="auto"/>
        <w:rPr>
          <w:sz w:val="20"/>
          <w:szCs w:val="20"/>
          <w:color w:val="auto"/>
        </w:rPr>
      </w:pPr>
      <w:r>
        <w:rPr>
          <w:rFonts w:ascii="Arial" w:cs="Arial" w:eastAsia="Arial" w:hAnsi="Arial"/>
          <w:sz w:val="20"/>
          <w:szCs w:val="20"/>
          <w:b w:val="1"/>
          <w:bCs w:val="1"/>
          <w:color w:val="435F86"/>
        </w:rPr>
        <w:t xml:space="preserve">Biographical Information: </w:t>
      </w:r>
      <w:r>
        <w:rPr>
          <w:rFonts w:ascii="Arial" w:cs="Arial" w:eastAsia="Arial" w:hAnsi="Arial"/>
          <w:sz w:val="20"/>
          <w:szCs w:val="20"/>
          <w:color w:val="000000"/>
        </w:rPr>
        <w:t>Christopher A. Simon has served as a member of</w:t>
      </w:r>
      <w:r>
        <w:rPr>
          <w:rFonts w:ascii="Arial" w:cs="Arial" w:eastAsia="Arial" w:hAnsi="Arial"/>
          <w:sz w:val="20"/>
          <w:szCs w:val="20"/>
          <w:b w:val="1"/>
          <w:bCs w:val="1"/>
          <w:color w:val="435F86"/>
        </w:rPr>
        <w:t xml:space="preserve"> </w:t>
      </w:r>
      <w:r>
        <w:rPr>
          <w:rFonts w:ascii="Arial" w:cs="Arial" w:eastAsia="Arial" w:hAnsi="Arial"/>
          <w:sz w:val="20"/>
          <w:szCs w:val="20"/>
          <w:color w:val="000000"/>
        </w:rPr>
        <w:t>our Board since August 2024. Mr. Simon has served as the President and Chief Executive Officer of Haemonetics Corporation (NYSE: HAE), a global medical technology company, since May 2016. Prior to that, Mr. Simon served as a Senior Partner of McKinsey &amp; Company, a strategy and management consulting firm, where he led the Global Medical Products Practice. Prior to his career at McKinsey &amp; Company, Mr. Simon served in commercial roles with Baxter International Inc. (formerly, Baxter Healthcare Corporation), a healthcare company, and as a U.S. Army Infantry Officer in Korea and with the 1st Ranger Battalion.</w:t>
      </w:r>
    </w:p>
    <w:p>
      <w:pPr>
        <w:spacing w:after="0" w:line="63" w:lineRule="exact"/>
        <w:rPr>
          <w:sz w:val="20"/>
          <w:szCs w:val="20"/>
          <w:color w:val="auto"/>
        </w:rPr>
      </w:pPr>
    </w:p>
    <w:p>
      <w:pPr>
        <w:ind w:right="980"/>
        <w:spacing w:after="0" w:line="272" w:lineRule="auto"/>
        <w:rPr>
          <w:sz w:val="20"/>
          <w:szCs w:val="20"/>
          <w:color w:val="auto"/>
        </w:rPr>
      </w:pPr>
      <w:r>
        <w:rPr>
          <w:rFonts w:ascii="Arial" w:cs="Arial" w:eastAsia="Arial" w:hAnsi="Arial"/>
          <w:sz w:val="20"/>
          <w:szCs w:val="20"/>
          <w:color w:val="auto"/>
        </w:rPr>
        <w:t>Mr. Simon serves on the board of directors of Haemonetics Corporation and AdvaMed, a private, global trade association of companies that develop, produce, manufacture and market medical technologies. Mr. Simon holds a B.S. in economics from the Wharton School at the University of Pennsylvania and an M.B.A. from Harvard Business School.</w:t>
      </w:r>
    </w:p>
    <w:p>
      <w:pPr>
        <w:spacing w:after="0" w:line="47" w:lineRule="exact"/>
        <w:rPr>
          <w:sz w:val="20"/>
          <w:szCs w:val="20"/>
          <w:color w:val="auto"/>
        </w:rPr>
      </w:pPr>
    </w:p>
    <w:p>
      <w:pPr>
        <w:ind w:right="900"/>
        <w:spacing w:after="0" w:line="280" w:lineRule="auto"/>
        <w:rPr>
          <w:sz w:val="20"/>
          <w:szCs w:val="20"/>
          <w:color w:val="auto"/>
        </w:rPr>
      </w:pPr>
      <w:r>
        <w:rPr>
          <w:rFonts w:ascii="Arial" w:cs="Arial" w:eastAsia="Arial" w:hAnsi="Arial"/>
          <w:sz w:val="20"/>
          <w:szCs w:val="20"/>
          <w:b w:val="1"/>
          <w:bCs w:val="1"/>
          <w:color w:val="435F86"/>
        </w:rPr>
        <w:t xml:space="preserve">Qualifications: </w:t>
      </w:r>
      <w:r>
        <w:rPr>
          <w:rFonts w:ascii="Arial" w:cs="Arial" w:eastAsia="Arial" w:hAnsi="Arial"/>
          <w:sz w:val="20"/>
          <w:szCs w:val="20"/>
          <w:color w:val="000000"/>
        </w:rPr>
        <w:t>Mr. Simon was selected to serve on our Board because of his</w:t>
      </w:r>
      <w:r>
        <w:rPr>
          <w:rFonts w:ascii="Arial" w:cs="Arial" w:eastAsia="Arial" w:hAnsi="Arial"/>
          <w:sz w:val="20"/>
          <w:szCs w:val="20"/>
          <w:b w:val="1"/>
          <w:bCs w:val="1"/>
          <w:color w:val="435F86"/>
        </w:rPr>
        <w:t xml:space="preserve"> </w:t>
      </w:r>
      <w:r>
        <w:rPr>
          <w:rFonts w:ascii="Arial" w:cs="Arial" w:eastAsia="Arial" w:hAnsi="Arial"/>
          <w:sz w:val="20"/>
          <w:szCs w:val="20"/>
          <w:color w:val="000000"/>
        </w:rPr>
        <w:t>extensive knowledge of healthcare supply chains and his management and business development experience in the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642620</wp:posOffset>
            </wp:positionV>
            <wp:extent cx="55384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40" w:space="280"/>
            <w:col w:w="7680"/>
          </w:cols>
          <w:pgMar w:left="800" w:top="93"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16</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Proposal 1: Election of Three Director Nominees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Directors Continuing in Office</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Class I Directors (Terms Expire at 2027 Annual Meeting)</w:t>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60"/>
        <w:spacing w:after="0"/>
        <w:rPr>
          <w:sz w:val="20"/>
          <w:szCs w:val="20"/>
          <w:color w:val="auto"/>
        </w:rPr>
      </w:pPr>
      <w:r>
        <w:rPr>
          <w:rFonts w:ascii="Arial" w:cs="Arial" w:eastAsia="Arial" w:hAnsi="Arial"/>
          <w:sz w:val="20"/>
          <w:szCs w:val="20"/>
          <w:b w:val="1"/>
          <w:bCs w:val="1"/>
          <w:color w:val="435F86"/>
        </w:rPr>
        <w:t>Constantine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-1447165</wp:posOffset>
            </wp:positionV>
            <wp:extent cx="1079500" cy="131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79500" cy="1310640"/>
                    </a:xfrm>
                    <a:prstGeom prst="rect">
                      <a:avLst/>
                    </a:prstGeom>
                    <a:noFill/>
                  </pic:spPr>
                </pic:pic>
              </a:graphicData>
            </a:graphic>
          </wp:anchor>
        </w:drawing>
      </w:r>
    </w:p>
    <w:p>
      <w:pPr>
        <w:spacing w:after="0" w:line="17" w:lineRule="exact"/>
        <w:rPr>
          <w:sz w:val="20"/>
          <w:szCs w:val="20"/>
          <w:color w:val="auto"/>
        </w:rPr>
      </w:pPr>
    </w:p>
    <w:p>
      <w:pPr>
        <w:ind w:left="1320"/>
        <w:spacing w:after="0"/>
        <w:rPr>
          <w:sz w:val="20"/>
          <w:szCs w:val="20"/>
          <w:color w:val="auto"/>
        </w:rPr>
      </w:pPr>
      <w:r>
        <w:rPr>
          <w:rFonts w:ascii="Arial" w:cs="Arial" w:eastAsia="Arial" w:hAnsi="Arial"/>
          <w:sz w:val="21"/>
          <w:szCs w:val="21"/>
          <w:b w:val="1"/>
          <w:bCs w:val="1"/>
          <w:color w:val="435F86"/>
        </w:rPr>
        <w:t>Mihas</w:t>
      </w:r>
    </w:p>
    <w:p>
      <w:pPr>
        <w:spacing w:after="0" w:line="18" w:lineRule="exact"/>
        <w:rPr>
          <w:sz w:val="20"/>
          <w:szCs w:val="20"/>
          <w:color w:val="auto"/>
        </w:rPr>
      </w:pPr>
    </w:p>
    <w:p>
      <w:pPr>
        <w:ind w:left="124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58</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872490</wp:posOffset>
            </wp:positionV>
            <wp:extent cx="1087755" cy="1376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87755" cy="1376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1000"/>
        <w:spacing w:after="0"/>
        <w:rPr>
          <w:sz w:val="20"/>
          <w:szCs w:val="20"/>
          <w:color w:val="auto"/>
        </w:rPr>
      </w:pPr>
      <w:r>
        <w:rPr>
          <w:rFonts w:ascii="Arial" w:cs="Arial" w:eastAsia="Arial" w:hAnsi="Arial"/>
          <w:sz w:val="20"/>
          <w:szCs w:val="20"/>
          <w:b w:val="1"/>
          <w:bCs w:val="1"/>
          <w:color w:val="435F86"/>
        </w:rPr>
        <w:t>James Neary</w:t>
      </w:r>
    </w:p>
    <w:p>
      <w:pPr>
        <w:spacing w:after="0" w:line="37" w:lineRule="exact"/>
        <w:rPr>
          <w:sz w:val="20"/>
          <w:szCs w:val="20"/>
          <w:color w:val="auto"/>
        </w:rPr>
      </w:pPr>
    </w:p>
    <w:p>
      <w:pPr>
        <w:jc w:val="center"/>
        <w:ind w:left="100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60</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both"/>
        <w:ind w:right="239"/>
        <w:spacing w:after="0" w:line="278" w:lineRule="auto"/>
        <w:rPr>
          <w:sz w:val="20"/>
          <w:szCs w:val="20"/>
          <w:color w:val="auto"/>
        </w:rPr>
      </w:pPr>
      <w:r>
        <w:rPr>
          <w:rFonts w:ascii="Arial" w:cs="Arial" w:eastAsia="Arial" w:hAnsi="Arial"/>
          <w:sz w:val="19"/>
          <w:szCs w:val="19"/>
          <w:b w:val="1"/>
          <w:bCs w:val="1"/>
          <w:color w:val="435F86"/>
        </w:rPr>
        <w:t xml:space="preserve">Biographical Information: </w:t>
      </w:r>
      <w:r>
        <w:rPr>
          <w:rFonts w:ascii="Arial" w:cs="Arial" w:eastAsia="Arial" w:hAnsi="Arial"/>
          <w:sz w:val="19"/>
          <w:szCs w:val="19"/>
          <w:color w:val="000000"/>
        </w:rPr>
        <w:t>Constantine S. Mihas has served as a member of</w:t>
      </w:r>
      <w:r>
        <w:rPr>
          <w:rFonts w:ascii="Arial" w:cs="Arial" w:eastAsia="Arial" w:hAnsi="Arial"/>
          <w:sz w:val="19"/>
          <w:szCs w:val="19"/>
          <w:b w:val="1"/>
          <w:bCs w:val="1"/>
          <w:color w:val="435F86"/>
        </w:rPr>
        <w:t xml:space="preserve"> </w:t>
      </w:r>
      <w:r>
        <w:rPr>
          <w:rFonts w:ascii="Arial" w:cs="Arial" w:eastAsia="Arial" w:hAnsi="Arial"/>
          <w:sz w:val="19"/>
          <w:szCs w:val="19"/>
          <w:color w:val="000000"/>
        </w:rPr>
        <w:t>our Board since October 2020 and was a member of Topco Parent’s Board of Managers from 2015 to November 2020. Mr. Mihas joined GTCR in 2001 and is currently a Managing Director and Co-Chief Executive Officer of the firm.</w:t>
      </w:r>
    </w:p>
    <w:p>
      <w:pPr>
        <w:spacing w:after="0" w:line="1" w:lineRule="exact"/>
        <w:rPr>
          <w:sz w:val="20"/>
          <w:szCs w:val="20"/>
          <w:color w:val="auto"/>
        </w:rPr>
      </w:pPr>
    </w:p>
    <w:p>
      <w:pPr>
        <w:ind w:right="299"/>
        <w:spacing w:after="0" w:line="249" w:lineRule="auto"/>
        <w:rPr>
          <w:sz w:val="20"/>
          <w:szCs w:val="20"/>
          <w:color w:val="auto"/>
        </w:rPr>
      </w:pPr>
      <w:r>
        <w:rPr>
          <w:rFonts w:ascii="Arial" w:cs="Arial" w:eastAsia="Arial" w:hAnsi="Arial"/>
          <w:sz w:val="21"/>
          <w:szCs w:val="21"/>
          <w:color w:val="auto"/>
        </w:rPr>
        <w:t>Mr. Mihas is a member of the Healthcare group at GTCR and has been instrumental in building the firm’s expertise in life sciences and medical devices. Prior to joining GTCR, Mr. Mihas was Chief Executive Officer and a co-founder of Delray Farms, a specialty food retailer. Prior to that, he was with McKinsey &amp; Company.</w:t>
      </w:r>
    </w:p>
    <w:p>
      <w:pPr>
        <w:spacing w:after="0" w:line="83" w:lineRule="exact"/>
        <w:rPr>
          <w:sz w:val="20"/>
          <w:szCs w:val="20"/>
          <w:color w:val="auto"/>
        </w:rPr>
      </w:pPr>
    </w:p>
    <w:p>
      <w:pPr>
        <w:ind w:right="179"/>
        <w:spacing w:after="0" w:line="272" w:lineRule="auto"/>
        <w:rPr>
          <w:sz w:val="20"/>
          <w:szCs w:val="20"/>
          <w:color w:val="auto"/>
        </w:rPr>
      </w:pPr>
      <w:r>
        <w:rPr>
          <w:rFonts w:ascii="Arial" w:cs="Arial" w:eastAsia="Arial" w:hAnsi="Arial"/>
          <w:sz w:val="20"/>
          <w:szCs w:val="20"/>
          <w:color w:val="auto"/>
        </w:rPr>
        <w:t>Mr. Mihas serves on the board of directors of Maravai LifeSciences (NASDAQ: MRVI) and several private companies. Mr. Mihas holds a B.S. with high distinction in finance and economics from the University of Illinois, Chicago and an M.B.A. with distinction from the Harvard Business School.</w:t>
      </w:r>
    </w:p>
    <w:p>
      <w:pPr>
        <w:spacing w:after="0" w:line="48" w:lineRule="exact"/>
        <w:rPr>
          <w:sz w:val="20"/>
          <w:szCs w:val="20"/>
          <w:color w:val="auto"/>
        </w:rPr>
      </w:pPr>
    </w:p>
    <w:p>
      <w:pPr>
        <w:jc w:val="both"/>
        <w:ind w:right="299"/>
        <w:spacing w:after="0" w:line="267"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Mr. Mihas was selected to serve on our Board because of his</w:t>
      </w:r>
      <w:r>
        <w:rPr>
          <w:rFonts w:ascii="Arial" w:cs="Arial" w:eastAsia="Arial" w:hAnsi="Arial"/>
          <w:sz w:val="21"/>
          <w:szCs w:val="21"/>
          <w:b w:val="1"/>
          <w:bCs w:val="1"/>
          <w:color w:val="435F86"/>
        </w:rPr>
        <w:t xml:space="preserve"> </w:t>
      </w:r>
      <w:r>
        <w:rPr>
          <w:rFonts w:ascii="Arial" w:cs="Arial" w:eastAsia="Arial" w:hAnsi="Arial"/>
          <w:sz w:val="21"/>
          <w:szCs w:val="21"/>
          <w:color w:val="000000"/>
        </w:rPr>
        <w:t>significant financial and investment experience, wide-ranging experience as a director and deep familiarity with our Company.</w:t>
      </w:r>
    </w:p>
    <w:p>
      <w:pPr>
        <w:spacing w:after="0" w:line="193" w:lineRule="exact"/>
        <w:rPr>
          <w:sz w:val="20"/>
          <w:szCs w:val="20"/>
          <w:color w:val="auto"/>
        </w:rPr>
      </w:pPr>
    </w:p>
    <w:p>
      <w:pPr>
        <w:ind w:left="20" w:right="159"/>
        <w:spacing w:after="0" w:line="252" w:lineRule="auto"/>
        <w:rPr>
          <w:sz w:val="20"/>
          <w:szCs w:val="20"/>
          <w:color w:val="auto"/>
        </w:rPr>
      </w:pPr>
      <w:r>
        <w:rPr>
          <w:rFonts w:ascii="Arial" w:cs="Arial" w:eastAsia="Arial" w:hAnsi="Arial"/>
          <w:sz w:val="21"/>
          <w:szCs w:val="21"/>
          <w:b w:val="1"/>
          <w:bCs w:val="1"/>
          <w:color w:val="435F86"/>
        </w:rPr>
        <w:t xml:space="preserve">Biographical Information: </w:t>
      </w:r>
      <w:r>
        <w:rPr>
          <w:rFonts w:ascii="Arial" w:cs="Arial" w:eastAsia="Arial" w:hAnsi="Arial"/>
          <w:sz w:val="21"/>
          <w:szCs w:val="21"/>
          <w:color w:val="000000"/>
        </w:rPr>
        <w:t>James C. Neary has served as a member of our</w:t>
      </w:r>
      <w:r>
        <w:rPr>
          <w:rFonts w:ascii="Arial" w:cs="Arial" w:eastAsia="Arial" w:hAnsi="Arial"/>
          <w:sz w:val="21"/>
          <w:szCs w:val="21"/>
          <w:b w:val="1"/>
          <w:bCs w:val="1"/>
          <w:color w:val="435F86"/>
        </w:rPr>
        <w:t xml:space="preserve"> </w:t>
      </w:r>
      <w:r>
        <w:rPr>
          <w:rFonts w:ascii="Arial" w:cs="Arial" w:eastAsia="Arial" w:hAnsi="Arial"/>
          <w:sz w:val="21"/>
          <w:szCs w:val="21"/>
          <w:color w:val="000000"/>
        </w:rPr>
        <w:t>Board since October 2020 and was a member of Topco Parent’s Board of Managers from 2015 to November 2020. Mr. Neary is a Managing Director and partner at Warburg Pincus and joined the firm in 2000. Mr. Neary is Co-Head of US Private Equity and a member of the firm’s Executive Committee and previously led or co-led the firm’s technology, industrial and business services and healthcare groups.</w:t>
      </w:r>
    </w:p>
    <w:p>
      <w:pPr>
        <w:spacing w:after="0" w:line="68" w:lineRule="exact"/>
        <w:rPr>
          <w:sz w:val="20"/>
          <w:szCs w:val="20"/>
          <w:color w:val="auto"/>
        </w:rPr>
      </w:pPr>
    </w:p>
    <w:p>
      <w:pPr>
        <w:ind w:left="20" w:right="219"/>
        <w:spacing w:after="0" w:line="267" w:lineRule="auto"/>
        <w:rPr>
          <w:sz w:val="20"/>
          <w:szCs w:val="20"/>
          <w:color w:val="auto"/>
        </w:rPr>
      </w:pPr>
      <w:r>
        <w:rPr>
          <w:rFonts w:ascii="Arial" w:cs="Arial" w:eastAsia="Arial" w:hAnsi="Arial"/>
          <w:sz w:val="20"/>
          <w:szCs w:val="20"/>
          <w:color w:val="auto"/>
        </w:rPr>
        <w:t>Mr. Neary serves on the board of directors of WEX Inc. (NYSE: WEX), a payment processing and information management services company, and is a member of the Leadership Development and Compensation Committee and Finance Committee. He previously served on the board of directors of Endurance International Group Holdings, Inc. from 2013 to 2021. He holds a B.A. in economics and political science from Tufts University and an M.B.A. from the J.L. Kellogg Graduate School of Management at Northwestern University, where he was the Eugene Lerner Finance Scholar.</w:t>
      </w:r>
    </w:p>
    <w:p>
      <w:pPr>
        <w:spacing w:after="0" w:line="56" w:lineRule="exact"/>
        <w:rPr>
          <w:sz w:val="20"/>
          <w:szCs w:val="20"/>
          <w:color w:val="auto"/>
        </w:rPr>
      </w:pPr>
    </w:p>
    <w:p>
      <w:pPr>
        <w:ind w:left="20" w:right="279"/>
        <w:spacing w:after="0" w:line="261"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Mr. Neary was selected to serve on our Board because of his</w:t>
      </w:r>
      <w:r>
        <w:rPr>
          <w:rFonts w:ascii="Arial" w:cs="Arial" w:eastAsia="Arial" w:hAnsi="Arial"/>
          <w:sz w:val="21"/>
          <w:szCs w:val="21"/>
          <w:b w:val="1"/>
          <w:bCs w:val="1"/>
          <w:color w:val="435F86"/>
        </w:rPr>
        <w:t xml:space="preserve"> </w:t>
      </w:r>
      <w:r>
        <w:rPr>
          <w:rFonts w:ascii="Arial" w:cs="Arial" w:eastAsia="Arial" w:hAnsi="Arial"/>
          <w:sz w:val="21"/>
          <w:szCs w:val="21"/>
          <w:color w:val="000000"/>
        </w:rPr>
        <w:t>extensive knowledge of strategy and business development, wide-ranging experience as a director and deep familiarity with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818515</wp:posOffset>
            </wp:positionV>
            <wp:extent cx="494665" cy="165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686435</wp:posOffset>
            </wp:positionV>
            <wp:extent cx="553847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380"/>
            <w:col w:w="7039"/>
          </w:cols>
          <w:pgMar w:left="800" w:top="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6"/>
          <w:szCs w:val="16"/>
          <w:b w:val="1"/>
          <w:bCs w:val="1"/>
          <w:color w:val="auto"/>
        </w:rPr>
        <w:t>Proposal 1: Election of Three Director Nominees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Directors Continuing in Office</w:t>
      </w:r>
    </w:p>
    <w:p>
      <w:pPr>
        <w:sectPr>
          <w:pgSz w:w="11900" w:h="16838" w:orient="portrait"/>
          <w:cols w:equalWidth="0" w:num="1">
            <w:col w:w="10300"/>
          </w:cols>
          <w:pgMar w:left="800" w:top="93"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435F86"/>
        </w:rPr>
        <w:t>Michael Petras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-1471295</wp:posOffset>
            </wp:positionV>
            <wp:extent cx="1096010" cy="131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96010" cy="1310640"/>
                    </a:xfrm>
                    <a:prstGeom prst="rect">
                      <a:avLst/>
                    </a:prstGeom>
                    <a:noFill/>
                  </pic:spPr>
                </pic:pic>
              </a:graphicData>
            </a:graphic>
          </wp:anchor>
        </w:drawing>
      </w:r>
    </w:p>
    <w:p>
      <w:pPr>
        <w:spacing w:after="0" w:line="5" w:lineRule="exact"/>
        <w:rPr>
          <w:sz w:val="20"/>
          <w:szCs w:val="20"/>
          <w:color w:val="auto"/>
        </w:rPr>
      </w:pPr>
    </w:p>
    <w:p>
      <w:pPr>
        <w:jc w:val="center"/>
        <w:ind w:left="78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57</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20"/>
          <w:szCs w:val="20"/>
          <w:b w:val="1"/>
          <w:bCs w:val="1"/>
          <w:color w:val="auto"/>
        </w:rPr>
        <w:t>Chairman &amp; CEO</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800"/>
        <w:spacing w:after="0" w:line="264" w:lineRule="auto"/>
        <w:rPr>
          <w:sz w:val="20"/>
          <w:szCs w:val="20"/>
          <w:color w:val="auto"/>
        </w:rPr>
      </w:pPr>
      <w:r>
        <w:rPr>
          <w:rFonts w:ascii="Arial" w:cs="Arial" w:eastAsia="Arial" w:hAnsi="Arial"/>
          <w:sz w:val="20"/>
          <w:szCs w:val="20"/>
          <w:b w:val="1"/>
          <w:bCs w:val="1"/>
          <w:color w:val="435F86"/>
        </w:rPr>
        <w:t xml:space="preserve">Biographical Information: </w:t>
      </w:r>
      <w:r>
        <w:rPr>
          <w:rFonts w:ascii="Arial" w:cs="Arial" w:eastAsia="Arial" w:hAnsi="Arial"/>
          <w:sz w:val="20"/>
          <w:szCs w:val="20"/>
          <w:color w:val="000000"/>
        </w:rPr>
        <w:t>Michael B. Petras, Jr. has served as our Chief</w:t>
      </w:r>
      <w:r>
        <w:rPr>
          <w:rFonts w:ascii="Arial" w:cs="Arial" w:eastAsia="Arial" w:hAnsi="Arial"/>
          <w:sz w:val="20"/>
          <w:szCs w:val="20"/>
          <w:b w:val="1"/>
          <w:bCs w:val="1"/>
          <w:color w:val="435F86"/>
        </w:rPr>
        <w:t xml:space="preserve"> </w:t>
      </w:r>
      <w:r>
        <w:rPr>
          <w:rFonts w:ascii="Arial" w:cs="Arial" w:eastAsia="Arial" w:hAnsi="Arial"/>
          <w:sz w:val="20"/>
          <w:szCs w:val="20"/>
          <w:color w:val="000000"/>
        </w:rPr>
        <w:t>Executive Officer since June 2016 and as the Chairman of our Board since October 2020. Mr. Petras was also a member of Topco Parent’s Board of Managers from June 2016 to November 2020 and the Chairman of Topco Parent’s Board of Managers from January 2019 to November 2020. Prior to that, Mr. Petras served as Chief Executive Officer of Post-Acute Solutions at Cardinal Health, Inc., a multinational healthcare services company, from 2015 to 2016, and Chief Executive Officer of Cardinal Health at-Home, from 2013 to 2015. Mr. Petras was also the Chief Executive Officer for AssuraMed Holdings, Inc., a medical products supplier, from 2011 to 2013, which was sold to Cardinal Health. Prior to that, Mr. Petras was President and Chief Executive Officer at GE Lighting, a General Electric Company business unit, from 2008 to 2011. During his over 20-year career at GE, he held several management positions in multiple disciplines.</w:t>
      </w:r>
    </w:p>
    <w:p>
      <w:pPr>
        <w:spacing w:after="0" w:line="54" w:lineRule="exact"/>
        <w:rPr>
          <w:sz w:val="20"/>
          <w:szCs w:val="20"/>
          <w:color w:val="auto"/>
        </w:rPr>
      </w:pPr>
    </w:p>
    <w:p>
      <w:pPr>
        <w:ind w:right="820"/>
        <w:spacing w:after="0" w:line="253" w:lineRule="auto"/>
        <w:rPr>
          <w:sz w:val="20"/>
          <w:szCs w:val="20"/>
          <w:color w:val="auto"/>
        </w:rPr>
      </w:pPr>
      <w:r>
        <w:rPr>
          <w:rFonts w:ascii="Arial" w:cs="Arial" w:eastAsia="Arial" w:hAnsi="Arial"/>
          <w:sz w:val="21"/>
          <w:szCs w:val="21"/>
          <w:color w:val="auto"/>
        </w:rPr>
        <w:t>Mr. Petras was named to the board of directors of the Cleveland Clinic in 2016 and elected Vice Chair of the board of directors in 2020. Mr. Petras also serves on the board of directors of John Carroll University. Mr. Petras holds a B.S.B.A. in finance from John Carroll University and an M.B.A. in marketing from Case Western Reserve University.</w:t>
      </w:r>
    </w:p>
    <w:p>
      <w:pPr>
        <w:spacing w:after="0" w:line="77" w:lineRule="exact"/>
        <w:rPr>
          <w:sz w:val="20"/>
          <w:szCs w:val="20"/>
          <w:color w:val="auto"/>
        </w:rPr>
      </w:pPr>
    </w:p>
    <w:p>
      <w:pPr>
        <w:ind w:right="860"/>
        <w:spacing w:after="0" w:line="255"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Mr. Petras was selected to serve on our Board because of his</w:t>
      </w:r>
      <w:r>
        <w:rPr>
          <w:rFonts w:ascii="Arial" w:cs="Arial" w:eastAsia="Arial" w:hAnsi="Arial"/>
          <w:sz w:val="21"/>
          <w:szCs w:val="21"/>
          <w:b w:val="1"/>
          <w:bCs w:val="1"/>
          <w:color w:val="435F86"/>
        </w:rPr>
        <w:t xml:space="preserve"> </w:t>
      </w:r>
      <w:r>
        <w:rPr>
          <w:rFonts w:ascii="Arial" w:cs="Arial" w:eastAsia="Arial" w:hAnsi="Arial"/>
          <w:sz w:val="21"/>
          <w:szCs w:val="21"/>
          <w:color w:val="000000"/>
        </w:rPr>
        <w:t>perspective as our Chief Executive Officer as well as his extensive commercial, financial and general management experience across many global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3238500</wp:posOffset>
            </wp:positionV>
            <wp:extent cx="553847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200"/>
            <w:col w:w="7640"/>
          </w:cols>
          <w:pgMar w:left="800" w:top="93"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18</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Proposal 1: Election of Three Director Nominees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Directors Continuing in Office</w:t>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860"/>
        <w:spacing w:after="0"/>
        <w:rPr>
          <w:sz w:val="20"/>
          <w:szCs w:val="20"/>
          <w:color w:val="auto"/>
        </w:rPr>
      </w:pPr>
      <w:r>
        <w:rPr>
          <w:rFonts w:ascii="Arial" w:cs="Arial" w:eastAsia="Arial" w:hAnsi="Arial"/>
          <w:sz w:val="19"/>
          <w:szCs w:val="19"/>
          <w:b w:val="1"/>
          <w:bCs w:val="1"/>
          <w:color w:val="435F86"/>
        </w:rPr>
        <w:t>David Wheadon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-1440180</wp:posOffset>
            </wp:positionV>
            <wp:extent cx="1079500" cy="129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9500" cy="1294130"/>
                    </a:xfrm>
                    <a:prstGeom prst="rect">
                      <a:avLst/>
                    </a:prstGeom>
                    <a:noFill/>
                  </pic:spPr>
                </pic:pic>
              </a:graphicData>
            </a:graphic>
          </wp:anchor>
        </w:drawing>
      </w:r>
    </w:p>
    <w:p>
      <w:pPr>
        <w:spacing w:after="0" w:line="28" w:lineRule="exact"/>
        <w:rPr>
          <w:sz w:val="20"/>
          <w:szCs w:val="20"/>
          <w:color w:val="auto"/>
        </w:rPr>
      </w:pPr>
    </w:p>
    <w:p>
      <w:pPr>
        <w:jc w:val="center"/>
        <w:ind w:left="860"/>
        <w:spacing w:after="0"/>
        <w:rPr>
          <w:sz w:val="20"/>
          <w:szCs w:val="20"/>
          <w:color w:val="auto"/>
        </w:rPr>
      </w:pPr>
      <w:r>
        <w:rPr>
          <w:rFonts w:ascii="Arial" w:cs="Arial" w:eastAsia="Arial" w:hAnsi="Arial"/>
          <w:sz w:val="21"/>
          <w:szCs w:val="21"/>
          <w:b w:val="1"/>
          <w:bCs w:val="1"/>
          <w:color w:val="435F86"/>
        </w:rPr>
        <w:t xml:space="preserve">Age: </w:t>
      </w:r>
      <w:r>
        <w:rPr>
          <w:rFonts w:ascii="Arial" w:cs="Arial" w:eastAsia="Arial" w:hAnsi="Arial"/>
          <w:sz w:val="21"/>
          <w:szCs w:val="21"/>
          <w:b w:val="1"/>
          <w:bCs w:val="1"/>
          <w:color w:val="000000"/>
        </w:rPr>
        <w:t>67</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Director</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right="159"/>
        <w:spacing w:after="0" w:line="264" w:lineRule="auto"/>
        <w:rPr>
          <w:sz w:val="20"/>
          <w:szCs w:val="20"/>
          <w:color w:val="auto"/>
        </w:rPr>
      </w:pPr>
      <w:r>
        <w:rPr>
          <w:rFonts w:ascii="Arial" w:cs="Arial" w:eastAsia="Arial" w:hAnsi="Arial"/>
          <w:sz w:val="20"/>
          <w:szCs w:val="20"/>
          <w:b w:val="1"/>
          <w:bCs w:val="1"/>
          <w:color w:val="435F86"/>
        </w:rPr>
        <w:t xml:space="preserve">Biographical Information: </w:t>
      </w:r>
      <w:r>
        <w:rPr>
          <w:rFonts w:ascii="Arial" w:cs="Arial" w:eastAsia="Arial" w:hAnsi="Arial"/>
          <w:sz w:val="20"/>
          <w:szCs w:val="20"/>
          <w:color w:val="000000"/>
        </w:rPr>
        <w:t>David E. Wheadon, M.D. has served as a</w:t>
      </w:r>
      <w:r>
        <w:rPr>
          <w:rFonts w:ascii="Arial" w:cs="Arial" w:eastAsia="Arial" w:hAnsi="Arial"/>
          <w:sz w:val="20"/>
          <w:szCs w:val="20"/>
          <w:b w:val="1"/>
          <w:bCs w:val="1"/>
          <w:color w:val="435F86"/>
        </w:rPr>
        <w:t xml:space="preserve"> </w:t>
      </w:r>
      <w:r>
        <w:rPr>
          <w:rFonts w:ascii="Arial" w:cs="Arial" w:eastAsia="Arial" w:hAnsi="Arial"/>
          <w:sz w:val="20"/>
          <w:szCs w:val="20"/>
          <w:color w:val="000000"/>
        </w:rPr>
        <w:t>member of our Board since May 2021. Dr. Wheadon served as Senior Vice President of Global Regulatory Affairs, Patient Safety, and Quality Assurance at AstraZeneca Plc from December 2014 to July 2019. Prior to that, he was Executive Vice President, Research and Advocacy at Juvenile Diabetes Research Foundation International Inc., from May 2013 to December 2014, and Senior Vice President, Scientific and Regulatory Affairs at Pharmaceutical Research and Manufacturers of America (PhRMA), from January 2009 to May 2013. Dr. Wheadon also served as Vice President, Global Pharmaceutical Regulatory and Medical Science and Group Vice President, Global Pharmaceutical Regulatory Affairs at Abbott Laboratories from 2005 to 2009. Prior to joining Abbott Laboratories, Dr. Wheadon held senior regulatory and clinical development leadership positions at GlaxoSmithKline Plc and Eli Lilly and Company.</w:t>
      </w:r>
    </w:p>
    <w:p>
      <w:pPr>
        <w:spacing w:after="0" w:line="54" w:lineRule="exact"/>
        <w:rPr>
          <w:sz w:val="20"/>
          <w:szCs w:val="20"/>
          <w:color w:val="auto"/>
        </w:rPr>
      </w:pPr>
    </w:p>
    <w:p>
      <w:pPr>
        <w:ind w:right="239"/>
        <w:spacing w:after="0" w:line="250" w:lineRule="auto"/>
        <w:rPr>
          <w:sz w:val="20"/>
          <w:szCs w:val="20"/>
          <w:color w:val="auto"/>
        </w:rPr>
      </w:pPr>
      <w:r>
        <w:rPr>
          <w:rFonts w:ascii="Arial" w:cs="Arial" w:eastAsia="Arial" w:hAnsi="Arial"/>
          <w:sz w:val="21"/>
          <w:szCs w:val="21"/>
          <w:color w:val="auto"/>
        </w:rPr>
        <w:t>Dr. Wheadon serves on the board of directors of Vaxart, Inc. (NASDAQ: VXRT) and Indivior, Inc (NASDAQ: INDV). Dr. Wheadon previously served on the board of directors of Karuna Therapeutics, Inc., Chemocentryx, Inc. and Assertio Holdings, Inc. He also serves on the board of directors of ConnectiveRx and on the board of trustees of Mount Sinai Health System. Dr. Wheadon holds an A.B. in biology, cum laude, from Harvard College and an M.D. from Johns Hopkins University. He completed his post-doctoral psychiatry fellowship at the Boston VA Medical Center and Tufts New England Medical Center.</w:t>
      </w:r>
    </w:p>
    <w:p>
      <w:pPr>
        <w:spacing w:after="0" w:line="72" w:lineRule="exact"/>
        <w:rPr>
          <w:sz w:val="20"/>
          <w:szCs w:val="20"/>
          <w:color w:val="auto"/>
        </w:rPr>
      </w:pPr>
    </w:p>
    <w:p>
      <w:pPr>
        <w:ind w:right="279"/>
        <w:spacing w:after="0" w:line="260" w:lineRule="auto"/>
        <w:rPr>
          <w:sz w:val="20"/>
          <w:szCs w:val="20"/>
          <w:color w:val="auto"/>
        </w:rPr>
      </w:pPr>
      <w:r>
        <w:rPr>
          <w:rFonts w:ascii="Arial" w:cs="Arial" w:eastAsia="Arial" w:hAnsi="Arial"/>
          <w:sz w:val="21"/>
          <w:szCs w:val="21"/>
          <w:b w:val="1"/>
          <w:bCs w:val="1"/>
          <w:color w:val="435F86"/>
        </w:rPr>
        <w:t xml:space="preserve">Qualifications: </w:t>
      </w:r>
      <w:r>
        <w:rPr>
          <w:rFonts w:ascii="Arial" w:cs="Arial" w:eastAsia="Arial" w:hAnsi="Arial"/>
          <w:sz w:val="21"/>
          <w:szCs w:val="21"/>
          <w:color w:val="000000"/>
        </w:rPr>
        <w:t>Dr. Wheadon was selected to serve on our Board because of</w:t>
      </w:r>
      <w:r>
        <w:rPr>
          <w:rFonts w:ascii="Arial" w:cs="Arial" w:eastAsia="Arial" w:hAnsi="Arial"/>
          <w:sz w:val="21"/>
          <w:szCs w:val="21"/>
          <w:b w:val="1"/>
          <w:bCs w:val="1"/>
          <w:color w:val="435F86"/>
        </w:rPr>
        <w:t xml:space="preserve"> </w:t>
      </w:r>
      <w:r>
        <w:rPr>
          <w:rFonts w:ascii="Arial" w:cs="Arial" w:eastAsia="Arial" w:hAnsi="Arial"/>
          <w:sz w:val="21"/>
          <w:szCs w:val="21"/>
          <w:color w:val="000000"/>
        </w:rPr>
        <w:t>his extensive experience in the biopharmaceutical industry and for his expertise in global health policy and regulatory affairs, product quality and patient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2508885</wp:posOffset>
            </wp:positionV>
            <wp:extent cx="494665" cy="165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-1178560</wp:posOffset>
            </wp:positionH>
            <wp:positionV relativeFrom="paragraph">
              <wp:posOffset>2385060</wp:posOffset>
            </wp:positionV>
            <wp:extent cx="55384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80"/>
            <w:col w:w="7019"/>
          </w:cols>
          <w:pgMar w:left="800" w:top="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Structure and Role of the Board</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CORPORATE GOVERNANCE</w:t>
      </w:r>
    </w:p>
    <w:p>
      <w:pPr>
        <w:spacing w:after="0" w:line="131"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auto"/>
        </w:rPr>
        <w:t>Structure and Role of the Board</w:t>
      </w:r>
    </w:p>
    <w:p>
      <w:pPr>
        <w:spacing w:after="0" w:line="141"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Board Structure and Leadership</w:t>
      </w:r>
    </w:p>
    <w:p>
      <w:pPr>
        <w:spacing w:after="0" w:line="215" w:lineRule="exact"/>
        <w:rPr>
          <w:sz w:val="20"/>
          <w:szCs w:val="20"/>
          <w:color w:val="auto"/>
        </w:rPr>
      </w:pPr>
    </w:p>
    <w:p>
      <w:pPr>
        <w:ind w:left="780" w:right="820"/>
        <w:spacing w:after="0" w:line="261" w:lineRule="auto"/>
        <w:rPr>
          <w:sz w:val="20"/>
          <w:szCs w:val="20"/>
          <w:color w:val="auto"/>
        </w:rPr>
      </w:pPr>
      <w:r>
        <w:rPr>
          <w:rFonts w:ascii="Arial" w:cs="Arial" w:eastAsia="Arial" w:hAnsi="Arial"/>
          <w:sz w:val="20"/>
          <w:szCs w:val="20"/>
          <w:color w:val="auto"/>
        </w:rPr>
        <w:t>In accordance with our amended and restated certificate of incorporation, and as the General Corporation Law of the State of Delaware (“DGCL”) permits, our Board is divided into three classes, a structure that has been in place since our IPO. While the Board believes this structure continues to be in the best interests of the Company and our shareholders at this time, the NCG Committee annually considers the Board’s classified structure and will make recommendations to the Board with respect thereto as the NCG Committee deems appropriate.</w:t>
      </w:r>
    </w:p>
    <w:p>
      <w:pPr>
        <w:spacing w:after="0" w:line="161" w:lineRule="exact"/>
        <w:rPr>
          <w:sz w:val="20"/>
          <w:szCs w:val="20"/>
          <w:color w:val="auto"/>
        </w:rPr>
      </w:pPr>
    </w:p>
    <w:p>
      <w:pPr>
        <w:ind w:left="780" w:right="920"/>
        <w:spacing w:after="0" w:line="258" w:lineRule="auto"/>
        <w:rPr>
          <w:sz w:val="20"/>
          <w:szCs w:val="20"/>
          <w:color w:val="auto"/>
        </w:rPr>
      </w:pPr>
      <w:r>
        <w:rPr>
          <w:rFonts w:ascii="Arial" w:cs="Arial" w:eastAsia="Arial" w:hAnsi="Arial"/>
          <w:sz w:val="20"/>
          <w:szCs w:val="20"/>
          <w:color w:val="auto"/>
        </w:rPr>
        <w:t>Our Corporate Governance Guidelines provide that the Chair of our Board may be an officer of the Company. It is presently the Company’s policy that the positions of the Chair and the CEO be held by the same person except in unusual circumstances. The principal duty of the Chair is to lead and oversee the Board. Mr. Petras has served as our CEO since June 2016. He served as chairman of the Board of Managers of Topco Parent from January 2019 through November 2020 and has been Chairman of the Board since October 2020. The Board believes that combining the Chair and CEO roles continues to be the most effective leadership structure because of Mr. Petras’ extensive knowledge of and experience in the Company’s operations, his knowledge of the industries we serve and his collaborative working and leadership style.</w:t>
      </w:r>
    </w:p>
    <w:p>
      <w:pPr>
        <w:spacing w:after="0" w:line="163" w:lineRule="exact"/>
        <w:rPr>
          <w:sz w:val="20"/>
          <w:szCs w:val="20"/>
          <w:color w:val="auto"/>
        </w:rPr>
      </w:pPr>
    </w:p>
    <w:p>
      <w:pPr>
        <w:ind w:left="780" w:right="1020"/>
        <w:spacing w:after="0" w:line="273" w:lineRule="auto"/>
        <w:rPr>
          <w:sz w:val="20"/>
          <w:szCs w:val="20"/>
          <w:color w:val="auto"/>
        </w:rPr>
      </w:pPr>
      <w:r>
        <w:rPr>
          <w:rFonts w:ascii="Arial" w:cs="Arial" w:eastAsia="Arial" w:hAnsi="Arial"/>
          <w:sz w:val="19"/>
          <w:szCs w:val="19"/>
          <w:color w:val="auto"/>
        </w:rPr>
        <w:t>The NCG Committee annually considers the Board’s leadership structure, including the combined Chair and CEO roles and whether to appoint a lead director, and makes recommendations to the Board with respect thereto as the NCG Committee deems appropriate. As recommended by the NCG Committee, the Board elected Mr. Petrella to serve as Lead Independent Director in January 2025. The Board believes a Lead Independent Director improves the Board’s overall performance by enhancing the efficiency of the Board’s oversight and governance responsibilities and by supporting the relationship between the Chairman and CEO and the independent directors. The responsibilities of the Lead Independent Director include:</w:t>
      </w:r>
    </w:p>
    <w:p>
      <w:pPr>
        <w:spacing w:after="0" w:line="50" w:lineRule="exact"/>
        <w:rPr>
          <w:sz w:val="20"/>
          <w:szCs w:val="20"/>
          <w:color w:val="auto"/>
        </w:rPr>
      </w:pPr>
    </w:p>
    <w:p>
      <w:pPr>
        <w:ind w:left="1120" w:right="820" w:hanging="337"/>
        <w:spacing w:after="0" w:line="249" w:lineRule="auto"/>
        <w:tabs>
          <w:tab w:leader="none" w:pos="1120" w:val="left"/>
        </w:tabs>
        <w:numPr>
          <w:ilvl w:val="0"/>
          <w:numId w:val="15"/>
        </w:numPr>
        <w:rPr>
          <w:rFonts w:ascii="Arial" w:cs="Arial" w:eastAsia="Arial" w:hAnsi="Arial"/>
          <w:sz w:val="21"/>
          <w:szCs w:val="21"/>
          <w:color w:val="435F86"/>
        </w:rPr>
      </w:pPr>
      <w:r>
        <w:rPr>
          <w:rFonts w:ascii="Arial" w:cs="Arial" w:eastAsia="Arial" w:hAnsi="Arial"/>
          <w:sz w:val="21"/>
          <w:szCs w:val="21"/>
          <w:color w:val="auto"/>
        </w:rPr>
        <w:t>Coordinating the activities of the other independent directors, including having the authority to call and establishing the agenda for meetings of the independent directors and/or other non-management directors, with or without the presence of management, and facilitating discussions among the independent directors on key issues and concerns (including CEO and management succession planning);</w:t>
      </w:r>
    </w:p>
    <w:p>
      <w:pPr>
        <w:spacing w:after="0" w:line="58" w:lineRule="exact"/>
        <w:rPr>
          <w:rFonts w:ascii="Arial" w:cs="Arial" w:eastAsia="Arial" w:hAnsi="Arial"/>
          <w:sz w:val="21"/>
          <w:szCs w:val="21"/>
          <w:color w:val="435F86"/>
        </w:rPr>
      </w:pPr>
    </w:p>
    <w:p>
      <w:pPr>
        <w:ind w:left="1120" w:right="1300" w:hanging="337"/>
        <w:spacing w:after="0" w:line="277" w:lineRule="auto"/>
        <w:tabs>
          <w:tab w:leader="none" w:pos="1120" w:val="left"/>
        </w:tabs>
        <w:numPr>
          <w:ilvl w:val="0"/>
          <w:numId w:val="15"/>
        </w:numPr>
        <w:rPr>
          <w:rFonts w:ascii="Arial" w:cs="Arial" w:eastAsia="Arial" w:hAnsi="Arial"/>
          <w:sz w:val="21"/>
          <w:szCs w:val="21"/>
          <w:color w:val="435F86"/>
        </w:rPr>
      </w:pPr>
      <w:r>
        <w:rPr>
          <w:rFonts w:ascii="Arial" w:cs="Arial" w:eastAsia="Arial" w:hAnsi="Arial"/>
          <w:sz w:val="21"/>
          <w:szCs w:val="21"/>
          <w:color w:val="auto"/>
        </w:rPr>
        <w:t>Presiding at all meetings of the Board at which the Chair is not present, including executive sessions;</w:t>
      </w:r>
    </w:p>
    <w:p>
      <w:pPr>
        <w:spacing w:after="0" w:line="39" w:lineRule="exact"/>
        <w:rPr>
          <w:rFonts w:ascii="Arial" w:cs="Arial" w:eastAsia="Arial" w:hAnsi="Arial"/>
          <w:sz w:val="21"/>
          <w:szCs w:val="21"/>
          <w:color w:val="435F86"/>
        </w:rPr>
      </w:pPr>
    </w:p>
    <w:p>
      <w:pPr>
        <w:ind w:left="1120" w:right="1340" w:hanging="337"/>
        <w:spacing w:after="0" w:line="264" w:lineRule="auto"/>
        <w:tabs>
          <w:tab w:leader="none" w:pos="1120" w:val="left"/>
        </w:tabs>
        <w:numPr>
          <w:ilvl w:val="0"/>
          <w:numId w:val="15"/>
        </w:numPr>
        <w:rPr>
          <w:rFonts w:ascii="Arial" w:cs="Arial" w:eastAsia="Arial" w:hAnsi="Arial"/>
          <w:sz w:val="21"/>
          <w:szCs w:val="21"/>
          <w:color w:val="435F86"/>
        </w:rPr>
      </w:pPr>
      <w:r>
        <w:rPr>
          <w:rFonts w:ascii="Arial" w:cs="Arial" w:eastAsia="Arial" w:hAnsi="Arial"/>
          <w:sz w:val="21"/>
          <w:szCs w:val="21"/>
          <w:color w:val="auto"/>
        </w:rPr>
        <w:t>Serving as liaison between the Chair and the independent directors, including by providing feedback from executive sessions to the Chair;</w:t>
      </w:r>
    </w:p>
    <w:p>
      <w:pPr>
        <w:spacing w:after="0" w:line="52" w:lineRule="exact"/>
        <w:rPr>
          <w:rFonts w:ascii="Arial" w:cs="Arial" w:eastAsia="Arial" w:hAnsi="Arial"/>
          <w:sz w:val="21"/>
          <w:szCs w:val="21"/>
          <w:color w:val="435F86"/>
        </w:rPr>
      </w:pPr>
    </w:p>
    <w:p>
      <w:pPr>
        <w:ind w:left="1120" w:right="880" w:hanging="337"/>
        <w:spacing w:after="0" w:line="277" w:lineRule="auto"/>
        <w:tabs>
          <w:tab w:leader="none" w:pos="1120" w:val="left"/>
        </w:tabs>
        <w:numPr>
          <w:ilvl w:val="0"/>
          <w:numId w:val="15"/>
        </w:numPr>
        <w:rPr>
          <w:rFonts w:ascii="Arial" w:cs="Arial" w:eastAsia="Arial" w:hAnsi="Arial"/>
          <w:sz w:val="21"/>
          <w:szCs w:val="21"/>
          <w:color w:val="435F86"/>
        </w:rPr>
      </w:pPr>
      <w:r>
        <w:rPr>
          <w:rFonts w:ascii="Arial" w:cs="Arial" w:eastAsia="Arial" w:hAnsi="Arial"/>
          <w:sz w:val="21"/>
          <w:szCs w:val="21"/>
          <w:color w:val="auto"/>
        </w:rPr>
        <w:t>Consulting with the Chair on the agenda for Board meetings, Board pre-read materials, meeting calendars and schedules;</w:t>
      </w:r>
    </w:p>
    <w:p>
      <w:pPr>
        <w:spacing w:after="0" w:line="26" w:lineRule="exact"/>
        <w:rPr>
          <w:rFonts w:ascii="Arial" w:cs="Arial" w:eastAsia="Arial" w:hAnsi="Arial"/>
          <w:sz w:val="21"/>
          <w:szCs w:val="21"/>
          <w:color w:val="435F86"/>
        </w:rPr>
      </w:pPr>
    </w:p>
    <w:p>
      <w:pPr>
        <w:ind w:left="1120" w:hanging="337"/>
        <w:spacing w:after="0"/>
        <w:tabs>
          <w:tab w:leader="none" w:pos="1120" w:val="left"/>
        </w:tabs>
        <w:numPr>
          <w:ilvl w:val="0"/>
          <w:numId w:val="15"/>
        </w:numPr>
        <w:rPr>
          <w:rFonts w:ascii="Arial" w:cs="Arial" w:eastAsia="Arial" w:hAnsi="Arial"/>
          <w:sz w:val="21"/>
          <w:szCs w:val="21"/>
          <w:color w:val="435F86"/>
        </w:rPr>
      </w:pPr>
      <w:r>
        <w:rPr>
          <w:rFonts w:ascii="Arial" w:cs="Arial" w:eastAsia="Arial" w:hAnsi="Arial"/>
          <w:sz w:val="21"/>
          <w:szCs w:val="21"/>
          <w:color w:val="auto"/>
        </w:rPr>
        <w:t>Approving information sent to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168275</wp:posOffset>
            </wp:positionV>
            <wp:extent cx="553847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20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Structure and Role of the Board</w:t>
      </w:r>
    </w:p>
    <w:p>
      <w:pPr>
        <w:spacing w:after="0" w:line="238" w:lineRule="exact"/>
        <w:rPr>
          <w:sz w:val="20"/>
          <w:szCs w:val="20"/>
          <w:color w:val="auto"/>
        </w:rPr>
      </w:pPr>
    </w:p>
    <w:p>
      <w:pPr>
        <w:ind w:left="1120" w:hanging="337"/>
        <w:spacing w:after="0"/>
        <w:tabs>
          <w:tab w:leader="none" w:pos="1120" w:val="left"/>
        </w:tabs>
        <w:numPr>
          <w:ilvl w:val="0"/>
          <w:numId w:val="16"/>
        </w:numPr>
        <w:rPr>
          <w:rFonts w:ascii="Arial" w:cs="Arial" w:eastAsia="Arial" w:hAnsi="Arial"/>
          <w:sz w:val="21"/>
          <w:szCs w:val="21"/>
          <w:color w:val="435F86"/>
        </w:rPr>
      </w:pPr>
      <w:r>
        <w:rPr>
          <w:rFonts w:ascii="Arial" w:cs="Arial" w:eastAsia="Arial" w:hAnsi="Arial"/>
          <w:sz w:val="21"/>
          <w:szCs w:val="21"/>
          <w:color w:val="auto"/>
        </w:rPr>
        <w:t>Being available for consultation and direct communication with major stockholders.</w:t>
      </w:r>
    </w:p>
    <w:p>
      <w:pPr>
        <w:spacing w:after="0" w:line="30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Certain Sponsor Rights</w:t>
      </w:r>
    </w:p>
    <w:p>
      <w:pPr>
        <w:spacing w:after="0" w:line="215" w:lineRule="exact"/>
        <w:rPr>
          <w:sz w:val="20"/>
          <w:szCs w:val="20"/>
          <w:color w:val="auto"/>
        </w:rPr>
      </w:pPr>
    </w:p>
    <w:p>
      <w:pPr>
        <w:ind w:left="780" w:right="399"/>
        <w:spacing w:after="0" w:line="251" w:lineRule="auto"/>
        <w:rPr>
          <w:sz w:val="20"/>
          <w:szCs w:val="20"/>
          <w:color w:val="auto"/>
        </w:rPr>
      </w:pPr>
      <w:r>
        <w:rPr>
          <w:rFonts w:ascii="Arial" w:cs="Arial" w:eastAsia="Arial" w:hAnsi="Arial"/>
          <w:sz w:val="21"/>
          <w:szCs w:val="21"/>
          <w:color w:val="auto"/>
        </w:rPr>
        <w:t>While the Company no longer qualifies as a “controlled company” pursuant to Nasdaq corporate governance standards, we remain subject to certain rights afforded to Warburg Pincus and GTCR pursuant to the terms of the Stockholders Agreement. Specifically, our Stockholders Agreement provides that Warburg Pincus is entitled to designate up to:</w:t>
      </w:r>
    </w:p>
    <w:p>
      <w:pPr>
        <w:spacing w:after="0" w:line="54" w:lineRule="exact"/>
        <w:rPr>
          <w:sz w:val="20"/>
          <w:szCs w:val="20"/>
          <w:color w:val="auto"/>
        </w:rPr>
      </w:pPr>
    </w:p>
    <w:p>
      <w:pPr>
        <w:ind w:left="1120" w:right="359" w:hanging="337"/>
        <w:spacing w:after="0" w:line="291" w:lineRule="auto"/>
        <w:tabs>
          <w:tab w:leader="none" w:pos="1120" w:val="left"/>
        </w:tabs>
        <w:numPr>
          <w:ilvl w:val="0"/>
          <w:numId w:val="17"/>
        </w:numPr>
        <w:rPr>
          <w:rFonts w:ascii="Arial" w:cs="Arial" w:eastAsia="Arial" w:hAnsi="Arial"/>
          <w:sz w:val="20"/>
          <w:szCs w:val="20"/>
          <w:color w:val="435F86"/>
        </w:rPr>
      </w:pPr>
      <w:r>
        <w:rPr>
          <w:rFonts w:ascii="Arial" w:cs="Arial" w:eastAsia="Arial" w:hAnsi="Arial"/>
          <w:sz w:val="20"/>
          <w:szCs w:val="20"/>
          <w:color w:val="auto"/>
        </w:rPr>
        <w:t>five directors for election to our Board for so long as Warburg Pincus holds 80% or more of the shares of our common stock that Warburg Pincus immediately following our IPO;</w:t>
      </w:r>
    </w:p>
    <w:p>
      <w:pPr>
        <w:ind w:left="1120" w:right="319" w:hanging="337"/>
        <w:spacing w:after="0" w:line="303" w:lineRule="auto"/>
        <w:tabs>
          <w:tab w:leader="none" w:pos="1120" w:val="left"/>
        </w:tabs>
        <w:numPr>
          <w:ilvl w:val="0"/>
          <w:numId w:val="17"/>
        </w:numPr>
        <w:rPr>
          <w:rFonts w:ascii="Arial" w:cs="Arial" w:eastAsia="Arial" w:hAnsi="Arial"/>
          <w:sz w:val="20"/>
          <w:szCs w:val="20"/>
          <w:color w:val="435F86"/>
        </w:rPr>
      </w:pPr>
      <w:r>
        <w:rPr>
          <w:rFonts w:ascii="Arial" w:cs="Arial" w:eastAsia="Arial" w:hAnsi="Arial"/>
          <w:sz w:val="20"/>
          <w:szCs w:val="20"/>
          <w:color w:val="auto"/>
        </w:rPr>
        <w:t>four directors for election to our Board for so long as Warburg Pincus holds 60% or more of the shares of our common stock that Warburg Pincus held immediately following our IPO;</w:t>
      </w:r>
    </w:p>
    <w:p>
      <w:pPr>
        <w:spacing w:after="0" w:line="3" w:lineRule="exact"/>
        <w:rPr>
          <w:rFonts w:ascii="Arial" w:cs="Arial" w:eastAsia="Arial" w:hAnsi="Arial"/>
          <w:sz w:val="20"/>
          <w:szCs w:val="20"/>
          <w:color w:val="435F86"/>
        </w:rPr>
      </w:pPr>
    </w:p>
    <w:p>
      <w:pPr>
        <w:ind w:left="1120" w:right="219" w:hanging="337"/>
        <w:spacing w:after="0" w:line="303" w:lineRule="auto"/>
        <w:tabs>
          <w:tab w:leader="none" w:pos="1120" w:val="left"/>
        </w:tabs>
        <w:numPr>
          <w:ilvl w:val="0"/>
          <w:numId w:val="17"/>
        </w:numPr>
        <w:rPr>
          <w:rFonts w:ascii="Arial" w:cs="Arial" w:eastAsia="Arial" w:hAnsi="Arial"/>
          <w:sz w:val="20"/>
          <w:szCs w:val="20"/>
          <w:color w:val="435F86"/>
        </w:rPr>
      </w:pPr>
      <w:r>
        <w:rPr>
          <w:rFonts w:ascii="Arial" w:cs="Arial" w:eastAsia="Arial" w:hAnsi="Arial"/>
          <w:sz w:val="20"/>
          <w:szCs w:val="20"/>
          <w:color w:val="auto"/>
        </w:rPr>
        <w:t>three directors for election to our Board for so long as Warburg Pincus holds 40% or more of the shares of our common stock that Warburg Pincus held immediately following our IPO;</w:t>
      </w:r>
    </w:p>
    <w:p>
      <w:pPr>
        <w:spacing w:after="0" w:line="16" w:lineRule="exact"/>
        <w:rPr>
          <w:rFonts w:ascii="Arial" w:cs="Arial" w:eastAsia="Arial" w:hAnsi="Arial"/>
          <w:sz w:val="20"/>
          <w:szCs w:val="20"/>
          <w:color w:val="435F86"/>
        </w:rPr>
      </w:pPr>
    </w:p>
    <w:p>
      <w:pPr>
        <w:ind w:left="1120" w:right="359" w:hanging="337"/>
        <w:spacing w:after="0" w:line="317" w:lineRule="auto"/>
        <w:tabs>
          <w:tab w:leader="none" w:pos="1120" w:val="left"/>
        </w:tabs>
        <w:numPr>
          <w:ilvl w:val="0"/>
          <w:numId w:val="17"/>
        </w:numPr>
        <w:rPr>
          <w:rFonts w:ascii="Arial" w:cs="Arial" w:eastAsia="Arial" w:hAnsi="Arial"/>
          <w:sz w:val="19"/>
          <w:szCs w:val="19"/>
          <w:color w:val="435F86"/>
        </w:rPr>
      </w:pPr>
      <w:r>
        <w:rPr>
          <w:rFonts w:ascii="Arial" w:cs="Arial" w:eastAsia="Arial" w:hAnsi="Arial"/>
          <w:sz w:val="19"/>
          <w:szCs w:val="19"/>
          <w:color w:val="auto"/>
        </w:rPr>
        <w:t>two directors for election to our Board for so long as Warburg Pincus holds 20% or more of the shares of our common stock that Warburg Pincus held immediately following our IPO; and</w:t>
      </w:r>
    </w:p>
    <w:p>
      <w:pPr>
        <w:spacing w:after="0" w:line="6" w:lineRule="exact"/>
        <w:rPr>
          <w:rFonts w:ascii="Arial" w:cs="Arial" w:eastAsia="Arial" w:hAnsi="Arial"/>
          <w:sz w:val="19"/>
          <w:szCs w:val="19"/>
          <w:color w:val="435F86"/>
        </w:rPr>
      </w:pPr>
    </w:p>
    <w:p>
      <w:pPr>
        <w:ind w:left="1120" w:right="339" w:hanging="337"/>
        <w:spacing w:after="0" w:line="226" w:lineRule="auto"/>
        <w:tabs>
          <w:tab w:leader="none" w:pos="1120" w:val="left"/>
        </w:tabs>
        <w:numPr>
          <w:ilvl w:val="0"/>
          <w:numId w:val="17"/>
        </w:numPr>
        <w:rPr>
          <w:rFonts w:ascii="Arial" w:cs="Arial" w:eastAsia="Arial" w:hAnsi="Arial"/>
          <w:sz w:val="20"/>
          <w:szCs w:val="20"/>
          <w:color w:val="435F86"/>
        </w:rPr>
      </w:pPr>
      <w:r>
        <w:rPr>
          <w:rFonts w:ascii="Arial" w:cs="Arial" w:eastAsia="Arial" w:hAnsi="Arial"/>
          <w:sz w:val="20"/>
          <w:szCs w:val="20"/>
          <w:color w:val="auto"/>
        </w:rPr>
        <w:t>one director for election to our Board for so long as Warburg Pincus holds 6</w:t>
      </w:r>
      <w:r>
        <w:rPr>
          <w:rFonts w:ascii="Arial" w:cs="Arial" w:eastAsia="Arial" w:hAnsi="Arial"/>
          <w:sz w:val="28"/>
          <w:szCs w:val="28"/>
          <w:color w:val="auto"/>
          <w:vertAlign w:val="superscript"/>
        </w:rPr>
        <w:t>2</w:t>
      </w:r>
      <w:r>
        <w:rPr>
          <w:rFonts w:ascii="Arial" w:cs="Arial" w:eastAsia="Arial" w:hAnsi="Arial"/>
          <w:sz w:val="20"/>
          <w:szCs w:val="20"/>
          <w:color w:val="auto"/>
        </w:rPr>
        <w:t>∕</w:t>
      </w:r>
      <w:r>
        <w:rPr>
          <w:rFonts w:ascii="Arial" w:cs="Arial" w:eastAsia="Arial" w:hAnsi="Arial"/>
          <w:sz w:val="14"/>
          <w:szCs w:val="14"/>
          <w:color w:val="auto"/>
        </w:rPr>
        <w:t>3</w:t>
      </w:r>
      <w:r>
        <w:rPr>
          <w:rFonts w:ascii="Arial" w:cs="Arial" w:eastAsia="Arial" w:hAnsi="Arial"/>
          <w:sz w:val="20"/>
          <w:szCs w:val="20"/>
          <w:color w:val="auto"/>
        </w:rPr>
        <w:t>% or more of the shares of our common stock that Warburg Pincus held immediately following our IPO.</w:t>
      </w:r>
    </w:p>
    <w:p>
      <w:pPr>
        <w:spacing w:after="0" w:line="64" w:lineRule="exact"/>
        <w:rPr>
          <w:sz w:val="20"/>
          <w:szCs w:val="20"/>
          <w:color w:val="auto"/>
        </w:rPr>
      </w:pPr>
    </w:p>
    <w:p>
      <w:pPr>
        <w:ind w:left="780" w:right="219"/>
        <w:spacing w:after="0" w:line="264" w:lineRule="auto"/>
        <w:rPr>
          <w:sz w:val="20"/>
          <w:szCs w:val="20"/>
          <w:color w:val="auto"/>
        </w:rPr>
      </w:pPr>
      <w:r>
        <w:rPr>
          <w:rFonts w:ascii="Arial" w:cs="Arial" w:eastAsia="Arial" w:hAnsi="Arial"/>
          <w:sz w:val="21"/>
          <w:szCs w:val="21"/>
          <w:color w:val="auto"/>
        </w:rPr>
        <w:t>As of March 28, 2025, Warburg Pincus held 62.1% of the shares of our common stock that Warburg Pincus held immediately following our IPO.</w:t>
      </w:r>
    </w:p>
    <w:p>
      <w:pPr>
        <w:spacing w:after="0" w:line="40" w:lineRule="exact"/>
        <w:rPr>
          <w:sz w:val="20"/>
          <w:szCs w:val="20"/>
          <w:color w:val="auto"/>
        </w:rPr>
      </w:pPr>
    </w:p>
    <w:p>
      <w:pPr>
        <w:ind w:left="780"/>
        <w:spacing w:after="0"/>
        <w:rPr>
          <w:sz w:val="20"/>
          <w:szCs w:val="20"/>
          <w:color w:val="auto"/>
        </w:rPr>
      </w:pPr>
      <w:r>
        <w:rPr>
          <w:rFonts w:ascii="Arial" w:cs="Arial" w:eastAsia="Arial" w:hAnsi="Arial"/>
          <w:sz w:val="21"/>
          <w:szCs w:val="21"/>
          <w:color w:val="auto"/>
        </w:rPr>
        <w:t>Our Stockholders Agreement also provides that GTCR is entitled to designate up to:</w:t>
      </w:r>
    </w:p>
    <w:p>
      <w:pPr>
        <w:spacing w:after="0" w:line="96" w:lineRule="exact"/>
        <w:rPr>
          <w:sz w:val="20"/>
          <w:szCs w:val="20"/>
          <w:color w:val="auto"/>
        </w:rPr>
      </w:pPr>
    </w:p>
    <w:p>
      <w:pPr>
        <w:ind w:left="1120" w:right="179" w:hanging="337"/>
        <w:spacing w:after="0" w:line="277" w:lineRule="auto"/>
        <w:tabs>
          <w:tab w:leader="none" w:pos="1120" w:val="left"/>
        </w:tabs>
        <w:numPr>
          <w:ilvl w:val="0"/>
          <w:numId w:val="18"/>
        </w:numPr>
        <w:rPr>
          <w:rFonts w:ascii="Arial" w:cs="Arial" w:eastAsia="Arial" w:hAnsi="Arial"/>
          <w:sz w:val="21"/>
          <w:szCs w:val="21"/>
          <w:color w:val="435F86"/>
        </w:rPr>
      </w:pPr>
      <w:r>
        <w:rPr>
          <w:rFonts w:ascii="Arial" w:cs="Arial" w:eastAsia="Arial" w:hAnsi="Arial"/>
          <w:sz w:val="21"/>
          <w:szCs w:val="21"/>
          <w:color w:val="auto"/>
        </w:rPr>
        <w:t>three directors for election to our Board for so long as GTCR holds 70% or more of the shares of our common stock that GTCR held immediately following our IPO;</w:t>
      </w:r>
    </w:p>
    <w:p>
      <w:pPr>
        <w:spacing w:after="0" w:line="39" w:lineRule="exact"/>
        <w:rPr>
          <w:rFonts w:ascii="Arial" w:cs="Arial" w:eastAsia="Arial" w:hAnsi="Arial"/>
          <w:sz w:val="21"/>
          <w:szCs w:val="21"/>
          <w:color w:val="435F86"/>
        </w:rPr>
      </w:pPr>
    </w:p>
    <w:p>
      <w:pPr>
        <w:ind w:left="1120" w:right="319" w:hanging="337"/>
        <w:spacing w:after="0" w:line="264" w:lineRule="auto"/>
        <w:tabs>
          <w:tab w:leader="none" w:pos="1120" w:val="left"/>
        </w:tabs>
        <w:numPr>
          <w:ilvl w:val="0"/>
          <w:numId w:val="18"/>
        </w:numPr>
        <w:rPr>
          <w:rFonts w:ascii="Arial" w:cs="Arial" w:eastAsia="Arial" w:hAnsi="Arial"/>
          <w:sz w:val="21"/>
          <w:szCs w:val="21"/>
          <w:color w:val="435F86"/>
        </w:rPr>
      </w:pPr>
      <w:r>
        <w:rPr>
          <w:rFonts w:ascii="Arial" w:cs="Arial" w:eastAsia="Arial" w:hAnsi="Arial"/>
          <w:sz w:val="21"/>
          <w:szCs w:val="21"/>
          <w:color w:val="auto"/>
        </w:rPr>
        <w:t>two directors for election to our Board for so long as GTCR holds 40% or more of the shares of our common stock that GTCR held immediately following our IPO; and</w:t>
      </w:r>
    </w:p>
    <w:p>
      <w:pPr>
        <w:spacing w:after="0" w:line="52" w:lineRule="exact"/>
        <w:rPr>
          <w:rFonts w:ascii="Arial" w:cs="Arial" w:eastAsia="Arial" w:hAnsi="Arial"/>
          <w:sz w:val="21"/>
          <w:szCs w:val="21"/>
          <w:color w:val="435F86"/>
        </w:rPr>
      </w:pPr>
    </w:p>
    <w:p>
      <w:pPr>
        <w:ind w:left="1120" w:right="399" w:hanging="337"/>
        <w:spacing w:after="0" w:line="277" w:lineRule="auto"/>
        <w:tabs>
          <w:tab w:leader="none" w:pos="1120" w:val="left"/>
        </w:tabs>
        <w:numPr>
          <w:ilvl w:val="0"/>
          <w:numId w:val="18"/>
        </w:numPr>
        <w:rPr>
          <w:rFonts w:ascii="Arial" w:cs="Arial" w:eastAsia="Arial" w:hAnsi="Arial"/>
          <w:sz w:val="21"/>
          <w:szCs w:val="21"/>
          <w:color w:val="435F86"/>
        </w:rPr>
      </w:pPr>
      <w:r>
        <w:rPr>
          <w:rFonts w:ascii="Arial" w:cs="Arial" w:eastAsia="Arial" w:hAnsi="Arial"/>
          <w:sz w:val="21"/>
          <w:szCs w:val="21"/>
          <w:color w:val="auto"/>
        </w:rPr>
        <w:t>one director for election to our Board for so long as GTCR holds 10% or more of the shares of our common stock that GTCR held immediately following our IPO.</w:t>
      </w:r>
    </w:p>
    <w:p>
      <w:pPr>
        <w:spacing w:after="0" w:line="14" w:lineRule="exact"/>
        <w:rPr>
          <w:sz w:val="20"/>
          <w:szCs w:val="20"/>
          <w:color w:val="auto"/>
        </w:rPr>
      </w:pPr>
    </w:p>
    <w:p>
      <w:pPr>
        <w:ind w:left="780" w:right="799"/>
        <w:spacing w:after="0" w:line="277" w:lineRule="auto"/>
        <w:rPr>
          <w:sz w:val="20"/>
          <w:szCs w:val="20"/>
          <w:color w:val="auto"/>
        </w:rPr>
      </w:pPr>
      <w:r>
        <w:rPr>
          <w:rFonts w:ascii="Arial" w:cs="Arial" w:eastAsia="Arial" w:hAnsi="Arial"/>
          <w:sz w:val="21"/>
          <w:szCs w:val="21"/>
          <w:color w:val="auto"/>
        </w:rPr>
        <w:t>As of March 28, 2025, GTCR held 62.1% of the shares of our common stock that GTCR held immediately following our IPO.</w:t>
      </w:r>
    </w:p>
    <w:p>
      <w:pPr>
        <w:spacing w:after="0" w:line="14" w:lineRule="exact"/>
        <w:rPr>
          <w:sz w:val="20"/>
          <w:szCs w:val="20"/>
          <w:color w:val="auto"/>
        </w:rPr>
      </w:pPr>
    </w:p>
    <w:p>
      <w:pPr>
        <w:ind w:left="780" w:right="259"/>
        <w:spacing w:after="0"/>
        <w:rPr>
          <w:sz w:val="20"/>
          <w:szCs w:val="20"/>
          <w:color w:val="auto"/>
        </w:rPr>
      </w:pPr>
      <w:r>
        <w:rPr>
          <w:rFonts w:ascii="Arial" w:cs="Arial" w:eastAsia="Arial" w:hAnsi="Arial"/>
          <w:sz w:val="20"/>
          <w:szCs w:val="20"/>
          <w:color w:val="auto"/>
        </w:rPr>
        <w:t>Our amended and restated certificate of incorporation provides that only our Board may change the authorized number of directors, subject to the rights of any holders of any series of our preferred stock, provided that, without the consent of Warburg Pincus or GTCR, the authorized number of directors may not exceed eleven as long either Warburg Pincus or GTCR is entitled to designate at least one director. Any additional directorships resulting from an increase in the number of directors are to be distributed among the three classes of directors so that, as nearly as possible, each class will consist of one-third of the directors. This classification of our Board may have the effect of delaying or preventing changes in our control or management.</w:t>
      </w:r>
    </w:p>
    <w:p>
      <w:pPr>
        <w:spacing w:after="0" w:line="172" w:lineRule="exact"/>
        <w:rPr>
          <w:sz w:val="20"/>
          <w:szCs w:val="20"/>
          <w:color w:val="auto"/>
        </w:rPr>
      </w:pPr>
    </w:p>
    <w:p>
      <w:pPr>
        <w:ind w:left="780" w:right="239"/>
        <w:spacing w:after="0" w:line="267" w:lineRule="auto"/>
        <w:rPr>
          <w:sz w:val="20"/>
          <w:szCs w:val="20"/>
          <w:color w:val="auto"/>
        </w:rPr>
      </w:pPr>
      <w:r>
        <w:rPr>
          <w:rFonts w:ascii="Arial" w:cs="Arial" w:eastAsia="Arial" w:hAnsi="Arial"/>
          <w:sz w:val="19"/>
          <w:szCs w:val="19"/>
          <w:color w:val="auto"/>
        </w:rPr>
        <w:t>Subject to restrictions under applicable law or the Nasdaq listing rules, our Stockholders Agreement also provides that Warburg Pincus and GTCR are each entitled to representation on each Board committee proportionate to the number of directors they are entitled to designate on our Board. Consistent with Nasdaq’s heightened independence standards for audit committees, however,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289560</wp:posOffset>
            </wp:positionV>
            <wp:extent cx="494665" cy="165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157480</wp:posOffset>
            </wp:positionV>
            <wp:extent cx="55384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Corporate Governance</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Certain Sponsor Rights</w:t>
      </w:r>
      <w:r>
        <w:rPr>
          <w:rFonts w:ascii="Arial" w:cs="Arial" w:eastAsia="Arial" w:hAnsi="Arial"/>
          <w:sz w:val="17"/>
          <w:szCs w:val="17"/>
          <w:b w:val="1"/>
          <w:bCs w:val="1"/>
          <w:color w:val="auto"/>
        </w:rPr>
        <w:t>​</w:t>
      </w:r>
    </w:p>
    <w:p>
      <w:pPr>
        <w:spacing w:after="0" w:line="208" w:lineRule="exact"/>
        <w:rPr>
          <w:sz w:val="20"/>
          <w:szCs w:val="20"/>
          <w:color w:val="auto"/>
        </w:rPr>
      </w:pPr>
    </w:p>
    <w:p>
      <w:pPr>
        <w:ind w:left="780" w:right="860"/>
        <w:spacing w:after="0" w:line="235" w:lineRule="auto"/>
        <w:rPr>
          <w:sz w:val="20"/>
          <w:szCs w:val="20"/>
          <w:color w:val="auto"/>
        </w:rPr>
      </w:pPr>
      <w:r>
        <w:rPr>
          <w:rFonts w:ascii="Arial" w:cs="Arial" w:eastAsia="Arial" w:hAnsi="Arial"/>
          <w:sz w:val="21"/>
          <w:szCs w:val="21"/>
          <w:color w:val="auto"/>
        </w:rPr>
        <w:t>Sponsor-designated director sits on our Audit Committee. In addition, Warburg Pincus is entitled to appoint the Chair of our LDC Committee for so long as Warburg Pincus has the right to designate at least one director for election to our Board. See “Stockholders Agreement” for additional information about our Stockholders Agreement.</w:t>
      </w:r>
    </w:p>
    <w:p>
      <w:pPr>
        <w:spacing w:after="0" w:line="170" w:lineRule="exact"/>
        <w:rPr>
          <w:sz w:val="20"/>
          <w:szCs w:val="20"/>
          <w:color w:val="auto"/>
        </w:rPr>
      </w:pPr>
    </w:p>
    <w:p>
      <w:pPr>
        <w:ind w:left="780" w:right="1020"/>
        <w:spacing w:after="0" w:line="230" w:lineRule="auto"/>
        <w:rPr>
          <w:sz w:val="20"/>
          <w:szCs w:val="20"/>
          <w:color w:val="auto"/>
        </w:rPr>
      </w:pPr>
      <w:r>
        <w:rPr>
          <w:rFonts w:ascii="Arial" w:cs="Arial" w:eastAsia="Arial" w:hAnsi="Arial"/>
          <w:sz w:val="21"/>
          <w:szCs w:val="21"/>
          <w:color w:val="auto"/>
        </w:rPr>
        <w:t>Our amended and restated certificate of incorporation provides that our directors may be removed only for cause by the affirmative vote of the holders of at least 75% of the votes that all our shareholders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1"/>
          <w:szCs w:val="21"/>
          <w:color w:val="auto"/>
        </w:rPr>
        <w:t>would be entitled to cast in an annual election of directors.</w:t>
      </w:r>
    </w:p>
    <w:p>
      <w:pPr>
        <w:spacing w:after="0" w:line="258"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Director Independence</w:t>
      </w:r>
    </w:p>
    <w:p>
      <w:pPr>
        <w:spacing w:after="0" w:line="215" w:lineRule="exact"/>
        <w:rPr>
          <w:sz w:val="20"/>
          <w:szCs w:val="20"/>
          <w:color w:val="auto"/>
        </w:rPr>
      </w:pPr>
    </w:p>
    <w:p>
      <w:pPr>
        <w:ind w:left="780" w:right="900"/>
        <w:spacing w:after="0" w:line="256" w:lineRule="auto"/>
        <w:rPr>
          <w:sz w:val="20"/>
          <w:szCs w:val="20"/>
          <w:color w:val="auto"/>
        </w:rPr>
      </w:pPr>
      <w:r>
        <w:rPr>
          <w:rFonts w:ascii="Arial" w:cs="Arial" w:eastAsia="Arial" w:hAnsi="Arial"/>
          <w:sz w:val="20"/>
          <w:szCs w:val="20"/>
          <w:color w:val="auto"/>
        </w:rPr>
        <w:t>Our Board, together with the NCG Committee and the Company’s legal counsel, conducts an annual review of the independence of each director. Based on information the directors provided concerning their backgrounds, employment and affiliations, including family relationships, our Board has determined that none of our directors and director nominees has any relationships that would interfere with her or his exercise of independent judgment in carrying out the responsibilities of a director and that, with the exception of Mr. Petras, all the directors and director nominees are “independent” under the listing standards of the Nasdaq stock exchange. In making these determinations, the Board considered the current and prior relationships that each director and director nominee has with our Company and all other facts and circumstances the Board deemed relevant in determining their independence, including their beneficial ownership of our capital stock and any transactions between them and the Company, as further described in the section titled “Certain Relationships and Related Party Transactions.”</w:t>
      </w:r>
    </w:p>
    <w:p>
      <w:pPr>
        <w:spacing w:after="0" w:line="249"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Board Role in Risk Oversight</w:t>
      </w:r>
    </w:p>
    <w:p>
      <w:pPr>
        <w:spacing w:after="0" w:line="215" w:lineRule="exact"/>
        <w:rPr>
          <w:sz w:val="20"/>
          <w:szCs w:val="20"/>
          <w:color w:val="auto"/>
        </w:rPr>
      </w:pPr>
    </w:p>
    <w:p>
      <w:pPr>
        <w:ind w:left="780" w:right="1000"/>
        <w:spacing w:after="0" w:line="273" w:lineRule="auto"/>
        <w:rPr>
          <w:sz w:val="20"/>
          <w:szCs w:val="20"/>
          <w:color w:val="auto"/>
        </w:rPr>
      </w:pPr>
      <w:r>
        <w:rPr>
          <w:rFonts w:ascii="Arial" w:cs="Arial" w:eastAsia="Arial" w:hAnsi="Arial"/>
          <w:sz w:val="20"/>
          <w:szCs w:val="20"/>
          <w:color w:val="auto"/>
        </w:rPr>
        <w:t>Our Board is responsible for overseeing senior management’s management of enterprise risks, including assessing senior management’s processes for identifying and mitigating enterprise risks. This oversight is carried out at the level of the full Board and through its five committees.</w:t>
      </w:r>
    </w:p>
    <w:p>
      <w:pPr>
        <w:spacing w:after="0" w:line="150" w:lineRule="exact"/>
        <w:rPr>
          <w:sz w:val="20"/>
          <w:szCs w:val="20"/>
          <w:color w:val="auto"/>
        </w:rPr>
      </w:pPr>
    </w:p>
    <w:p>
      <w:pPr>
        <w:ind w:left="780" w:right="880"/>
        <w:spacing w:after="0" w:line="246" w:lineRule="auto"/>
        <w:rPr>
          <w:sz w:val="20"/>
          <w:szCs w:val="20"/>
          <w:color w:val="auto"/>
        </w:rPr>
      </w:pPr>
      <w:r>
        <w:rPr>
          <w:rFonts w:ascii="Arial" w:cs="Arial" w:eastAsia="Arial" w:hAnsi="Arial"/>
          <w:sz w:val="21"/>
          <w:szCs w:val="21"/>
          <w:color w:val="auto"/>
        </w:rPr>
        <w:t>An important element of the Board’s oversight involves regular interaction with senior management. The Board receives regular reports throughout the year from senior management, including from leaders in each of our three business units, to inform the Board of risk exposures related to our strategy and operations, including regarding environmental, health and safety, cybersecurity, sustainability, quality, legal, financial reporting, reputational and human capital management risks. In addition,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1430655</wp:posOffset>
            </wp:positionV>
            <wp:extent cx="553847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22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Board Role in Risk Oversight</w:t>
      </w:r>
    </w:p>
    <w:p>
      <w:pPr>
        <w:spacing w:after="0" w:line="238" w:lineRule="exact"/>
        <w:rPr>
          <w:sz w:val="20"/>
          <w:szCs w:val="20"/>
          <w:color w:val="auto"/>
        </w:rPr>
      </w:pPr>
    </w:p>
    <w:p>
      <w:pPr>
        <w:ind w:left="780" w:right="359"/>
        <w:spacing w:after="0" w:line="277" w:lineRule="auto"/>
        <w:rPr>
          <w:sz w:val="20"/>
          <w:szCs w:val="20"/>
          <w:color w:val="auto"/>
        </w:rPr>
      </w:pPr>
      <w:r>
        <w:rPr>
          <w:rFonts w:ascii="Arial" w:cs="Arial" w:eastAsia="Arial" w:hAnsi="Arial"/>
          <w:sz w:val="21"/>
          <w:szCs w:val="21"/>
          <w:color w:val="auto"/>
        </w:rPr>
        <w:t>has tasked each of its committees with the following risk-related responsibilities, described in more detail in the section entitled “Committees of the Board of Directors.”</w:t>
      </w:r>
    </w:p>
    <w:p>
      <w:pPr>
        <w:spacing w:after="0" w:line="118"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435F86"/>
        </w:rPr>
        <w:t>Primary Areas of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11430</wp:posOffset>
            </wp:positionV>
            <wp:extent cx="5538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89" w:lineRule="exact"/>
        <w:rPr>
          <w:sz w:val="20"/>
          <w:szCs w:val="20"/>
          <w:color w:val="auto"/>
        </w:rPr>
      </w:pPr>
    </w:p>
    <w:tbl>
      <w:tblPr>
        <w:tblLayout w:type="fixed"/>
        <w:tblInd w:w="780" w:type="dxa"/>
        <w:tblCellMar>
          <w:top w:w="0" w:type="dxa"/>
          <w:left w:w="0" w:type="dxa"/>
          <w:bottom w:w="0" w:type="dxa"/>
          <w:right w:w="0" w:type="dxa"/>
        </w:tblCellMar>
      </w:tblPr>
      <w:tr>
        <w:trPr>
          <w:trHeight w:val="247"/>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Audit Committee</w:t>
            </w:r>
          </w:p>
        </w:tc>
        <w:tc>
          <w:tcPr>
            <w:tcW w:w="6640" w:type="dxa"/>
            <w:vAlign w:val="bottom"/>
          </w:tcPr>
          <w:p>
            <w:pPr>
              <w:ind w:left="320"/>
              <w:spacing w:after="0"/>
              <w:rPr>
                <w:sz w:val="20"/>
                <w:szCs w:val="20"/>
                <w:color w:val="auto"/>
              </w:rPr>
            </w:pPr>
            <w:r>
              <w:rPr>
                <w:rFonts w:ascii="Arial" w:cs="Arial" w:eastAsia="Arial" w:hAnsi="Arial"/>
                <w:sz w:val="21"/>
                <w:szCs w:val="21"/>
                <w:color w:val="435F86"/>
                <w:w w:val="97"/>
              </w:rPr>
              <w:t xml:space="preserve">● </w:t>
            </w:r>
            <w:r>
              <w:rPr>
                <w:rFonts w:ascii="Arial" w:cs="Arial" w:eastAsia="Arial" w:hAnsi="Arial"/>
                <w:sz w:val="21"/>
                <w:szCs w:val="21"/>
                <w:color w:val="000000"/>
                <w:w w:val="97"/>
              </w:rPr>
              <w:t>Receives regular briefings from the internal audit function regarding</w:t>
            </w:r>
          </w:p>
        </w:tc>
        <w:tc>
          <w:tcPr>
            <w:tcW w:w="0" w:type="dxa"/>
            <w:vAlign w:val="bottom"/>
          </w:tcPr>
          <w:p>
            <w:pPr>
              <w:spacing w:after="0"/>
              <w:rPr>
                <w:sz w:val="1"/>
                <w:szCs w:val="1"/>
                <w:color w:val="auto"/>
              </w:rPr>
            </w:pPr>
          </w:p>
        </w:tc>
      </w:tr>
      <w:tr>
        <w:trPr>
          <w:trHeight w:val="247"/>
        </w:trPr>
        <w:tc>
          <w:tcPr>
            <w:tcW w:w="2080" w:type="dxa"/>
            <w:vAlign w:val="bottom"/>
          </w:tcPr>
          <w:p>
            <w:pPr>
              <w:spacing w:after="0"/>
              <w:rPr>
                <w:sz w:val="21"/>
                <w:szCs w:val="21"/>
                <w:color w:val="auto"/>
              </w:rPr>
            </w:pPr>
          </w:p>
        </w:tc>
        <w:tc>
          <w:tcPr>
            <w:tcW w:w="6640" w:type="dxa"/>
            <w:vAlign w:val="bottom"/>
          </w:tcPr>
          <w:p>
            <w:pPr>
              <w:ind w:left="520"/>
              <w:spacing w:after="0"/>
              <w:rPr>
                <w:sz w:val="20"/>
                <w:szCs w:val="20"/>
                <w:color w:val="auto"/>
              </w:rPr>
            </w:pPr>
            <w:r>
              <w:rPr>
                <w:rFonts w:ascii="Arial" w:cs="Arial" w:eastAsia="Arial" w:hAnsi="Arial"/>
                <w:sz w:val="21"/>
                <w:szCs w:val="21"/>
                <w:color w:val="auto"/>
              </w:rPr>
              <w:t>our systems of internal control and reviews and discusses the</w:t>
            </w:r>
          </w:p>
        </w:tc>
        <w:tc>
          <w:tcPr>
            <w:tcW w:w="0" w:type="dxa"/>
            <w:vAlign w:val="bottom"/>
          </w:tcPr>
          <w:p>
            <w:pPr>
              <w:spacing w:after="0"/>
              <w:rPr>
                <w:sz w:val="1"/>
                <w:szCs w:val="1"/>
                <w:color w:val="auto"/>
              </w:rPr>
            </w:pPr>
          </w:p>
        </w:tc>
      </w:tr>
      <w:tr>
        <w:trPr>
          <w:trHeight w:val="274"/>
        </w:trPr>
        <w:tc>
          <w:tcPr>
            <w:tcW w:w="2080" w:type="dxa"/>
            <w:vAlign w:val="bottom"/>
          </w:tcPr>
          <w:p>
            <w:pPr>
              <w:spacing w:after="0"/>
              <w:rPr>
                <w:sz w:val="23"/>
                <w:szCs w:val="23"/>
                <w:color w:val="auto"/>
              </w:rPr>
            </w:pPr>
          </w:p>
        </w:tc>
        <w:tc>
          <w:tcPr>
            <w:tcW w:w="6640" w:type="dxa"/>
            <w:vAlign w:val="bottom"/>
          </w:tcPr>
          <w:p>
            <w:pPr>
              <w:ind w:left="520"/>
              <w:spacing w:after="0"/>
              <w:rPr>
                <w:sz w:val="20"/>
                <w:szCs w:val="20"/>
                <w:color w:val="auto"/>
              </w:rPr>
            </w:pPr>
            <w:r>
              <w:rPr>
                <w:rFonts w:ascii="Arial" w:cs="Arial" w:eastAsia="Arial" w:hAnsi="Arial"/>
                <w:sz w:val="21"/>
                <w:szCs w:val="21"/>
                <w:color w:val="auto"/>
              </w:rPr>
              <w:t>capacity and performance of the internal audit function.</w:t>
            </w:r>
          </w:p>
        </w:tc>
        <w:tc>
          <w:tcPr>
            <w:tcW w:w="0" w:type="dxa"/>
            <w:vAlign w:val="bottom"/>
          </w:tcPr>
          <w:p>
            <w:pPr>
              <w:spacing w:after="0"/>
              <w:rPr>
                <w:sz w:val="1"/>
                <w:szCs w:val="1"/>
                <w:color w:val="auto"/>
              </w:rPr>
            </w:pPr>
          </w:p>
        </w:tc>
      </w:tr>
      <w:tr>
        <w:trPr>
          <w:trHeight w:val="362"/>
        </w:trPr>
        <w:tc>
          <w:tcPr>
            <w:tcW w:w="208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21"/>
                <w:szCs w:val="21"/>
                <w:color w:val="435F86"/>
              </w:rPr>
              <w:t xml:space="preserve">● </w:t>
            </w:r>
            <w:r>
              <w:rPr>
                <w:rFonts w:ascii="Arial" w:cs="Arial" w:eastAsia="Arial" w:hAnsi="Arial"/>
                <w:sz w:val="21"/>
                <w:szCs w:val="21"/>
                <w:color w:val="000000"/>
              </w:rPr>
              <w:t>Regularly reviews with management our major financial risk and</w:t>
            </w:r>
          </w:p>
        </w:tc>
        <w:tc>
          <w:tcPr>
            <w:tcW w:w="0" w:type="dxa"/>
            <w:vAlign w:val="bottom"/>
          </w:tcPr>
          <w:p>
            <w:pPr>
              <w:spacing w:after="0"/>
              <w:rPr>
                <w:sz w:val="1"/>
                <w:szCs w:val="1"/>
                <w:color w:val="auto"/>
              </w:rPr>
            </w:pPr>
          </w:p>
        </w:tc>
      </w:tr>
      <w:tr>
        <w:trPr>
          <w:trHeight w:val="274"/>
        </w:trPr>
        <w:tc>
          <w:tcPr>
            <w:tcW w:w="2080" w:type="dxa"/>
            <w:vAlign w:val="bottom"/>
          </w:tcPr>
          <w:p>
            <w:pPr>
              <w:spacing w:after="0"/>
              <w:rPr>
                <w:sz w:val="23"/>
                <w:szCs w:val="23"/>
                <w:color w:val="auto"/>
              </w:rPr>
            </w:pPr>
          </w:p>
        </w:tc>
        <w:tc>
          <w:tcPr>
            <w:tcW w:w="6640" w:type="dxa"/>
            <w:vAlign w:val="bottom"/>
          </w:tcPr>
          <w:p>
            <w:pPr>
              <w:ind w:left="520"/>
              <w:spacing w:after="0"/>
              <w:rPr>
                <w:sz w:val="20"/>
                <w:szCs w:val="20"/>
                <w:color w:val="auto"/>
              </w:rPr>
            </w:pPr>
            <w:r>
              <w:rPr>
                <w:rFonts w:ascii="Arial" w:cs="Arial" w:eastAsia="Arial" w:hAnsi="Arial"/>
                <w:sz w:val="21"/>
                <w:szCs w:val="21"/>
                <w:color w:val="auto"/>
              </w:rPr>
              <w:t>enterprise exposures.</w:t>
            </w:r>
          </w:p>
        </w:tc>
        <w:tc>
          <w:tcPr>
            <w:tcW w:w="0" w:type="dxa"/>
            <w:vAlign w:val="bottom"/>
          </w:tcPr>
          <w:p>
            <w:pPr>
              <w:spacing w:after="0"/>
              <w:rPr>
                <w:sz w:val="1"/>
                <w:szCs w:val="1"/>
                <w:color w:val="auto"/>
              </w:rPr>
            </w:pPr>
          </w:p>
        </w:tc>
      </w:tr>
      <w:tr>
        <w:trPr>
          <w:trHeight w:val="376"/>
        </w:trPr>
        <w:tc>
          <w:tcPr>
            <w:tcW w:w="208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21"/>
                <w:szCs w:val="21"/>
                <w:color w:val="435F86"/>
              </w:rPr>
              <w:t xml:space="preserve">● </w:t>
            </w:r>
            <w:r>
              <w:rPr>
                <w:rFonts w:ascii="Arial" w:cs="Arial" w:eastAsia="Arial" w:hAnsi="Arial"/>
                <w:sz w:val="21"/>
                <w:szCs w:val="21"/>
                <w:color w:val="000000"/>
              </w:rPr>
              <w:t>Regularly reviews significant regulatory and litigation matters.</w:t>
            </w:r>
          </w:p>
        </w:tc>
        <w:tc>
          <w:tcPr>
            <w:tcW w:w="0" w:type="dxa"/>
            <w:vAlign w:val="bottom"/>
          </w:tcPr>
          <w:p>
            <w:pPr>
              <w:spacing w:after="0"/>
              <w:rPr>
                <w:sz w:val="1"/>
                <w:szCs w:val="1"/>
                <w:color w:val="auto"/>
              </w:rPr>
            </w:pPr>
          </w:p>
        </w:tc>
      </w:tr>
      <w:tr>
        <w:trPr>
          <w:trHeight w:val="349"/>
        </w:trPr>
        <w:tc>
          <w:tcPr>
            <w:tcW w:w="208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21"/>
                <w:szCs w:val="21"/>
                <w:color w:val="435F86"/>
                <w:w w:val="99"/>
              </w:rPr>
              <w:t xml:space="preserve">● </w:t>
            </w:r>
            <w:r>
              <w:rPr>
                <w:rFonts w:ascii="Arial" w:cs="Arial" w:eastAsia="Arial" w:hAnsi="Arial"/>
                <w:sz w:val="21"/>
                <w:szCs w:val="21"/>
                <w:color w:val="000000"/>
                <w:w w:val="99"/>
              </w:rPr>
              <w:t>Reviews any significant concerns our stakeholders raise, including</w:t>
            </w:r>
          </w:p>
        </w:tc>
        <w:tc>
          <w:tcPr>
            <w:tcW w:w="0" w:type="dxa"/>
            <w:vAlign w:val="bottom"/>
          </w:tcPr>
          <w:p>
            <w:pPr>
              <w:spacing w:after="0"/>
              <w:rPr>
                <w:sz w:val="1"/>
                <w:szCs w:val="1"/>
                <w:color w:val="auto"/>
              </w:rPr>
            </w:pPr>
          </w:p>
        </w:tc>
      </w:tr>
      <w:tr>
        <w:trPr>
          <w:trHeight w:val="273"/>
        </w:trPr>
        <w:tc>
          <w:tcPr>
            <w:tcW w:w="2080" w:type="dxa"/>
            <w:vAlign w:val="bottom"/>
            <w:tcBorders>
              <w:bottom w:val="single" w:sz="8" w:color="A1AFC2"/>
            </w:tcBorders>
          </w:tcPr>
          <w:p>
            <w:pPr>
              <w:spacing w:after="0"/>
              <w:rPr>
                <w:sz w:val="23"/>
                <w:szCs w:val="23"/>
                <w:color w:val="auto"/>
              </w:rPr>
            </w:pPr>
          </w:p>
        </w:tc>
        <w:tc>
          <w:tcPr>
            <w:tcW w:w="6640" w:type="dxa"/>
            <w:vAlign w:val="bottom"/>
            <w:tcBorders>
              <w:bottom w:val="single" w:sz="8" w:color="A1AFC2"/>
            </w:tcBorders>
          </w:tcPr>
          <w:p>
            <w:pPr>
              <w:ind w:left="520"/>
              <w:spacing w:after="0"/>
              <w:rPr>
                <w:sz w:val="20"/>
                <w:szCs w:val="20"/>
                <w:color w:val="auto"/>
              </w:rPr>
            </w:pPr>
            <w:r>
              <w:rPr>
                <w:rFonts w:ascii="Arial" w:cs="Arial" w:eastAsia="Arial" w:hAnsi="Arial"/>
                <w:sz w:val="21"/>
                <w:szCs w:val="21"/>
                <w:color w:val="auto"/>
              </w:rPr>
              <w:t>reports received through our Global Ethics Line.</w:t>
            </w:r>
          </w:p>
        </w:tc>
        <w:tc>
          <w:tcPr>
            <w:tcW w:w="0" w:type="dxa"/>
            <w:vAlign w:val="bottom"/>
          </w:tcPr>
          <w:p>
            <w:pPr>
              <w:spacing w:after="0"/>
              <w:rPr>
                <w:sz w:val="1"/>
                <w:szCs w:val="1"/>
                <w:color w:val="auto"/>
              </w:rPr>
            </w:pPr>
          </w:p>
        </w:tc>
      </w:tr>
      <w:tr>
        <w:trPr>
          <w:trHeight w:val="252"/>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Leadership</w:t>
            </w:r>
          </w:p>
        </w:tc>
        <w:tc>
          <w:tcPr>
            <w:tcW w:w="6640" w:type="dxa"/>
            <w:vAlign w:val="bottom"/>
          </w:tcPr>
          <w:p>
            <w:pPr>
              <w:ind w:left="320"/>
              <w:spacing w:after="0"/>
              <w:rPr>
                <w:sz w:val="20"/>
                <w:szCs w:val="20"/>
                <w:color w:val="auto"/>
              </w:rPr>
            </w:pPr>
            <w:r>
              <w:rPr>
                <w:rFonts w:ascii="Arial" w:cs="Arial" w:eastAsia="Arial" w:hAnsi="Arial"/>
                <w:sz w:val="21"/>
                <w:szCs w:val="21"/>
                <w:color w:val="435F86"/>
                <w:w w:val="98"/>
              </w:rPr>
              <w:t xml:space="preserve">● </w:t>
            </w:r>
            <w:r>
              <w:rPr>
                <w:rFonts w:ascii="Arial" w:cs="Arial" w:eastAsia="Arial" w:hAnsi="Arial"/>
                <w:sz w:val="21"/>
                <w:szCs w:val="21"/>
                <w:color w:val="000000"/>
                <w:w w:val="98"/>
              </w:rPr>
              <w:t>Oversees the compensation program for our senior executive team</w:t>
            </w:r>
          </w:p>
        </w:tc>
        <w:tc>
          <w:tcPr>
            <w:tcW w:w="0" w:type="dxa"/>
            <w:vAlign w:val="bottom"/>
          </w:tcPr>
          <w:p>
            <w:pPr>
              <w:spacing w:after="0"/>
              <w:rPr>
                <w:sz w:val="1"/>
                <w:szCs w:val="1"/>
                <w:color w:val="auto"/>
              </w:rPr>
            </w:pPr>
          </w:p>
        </w:tc>
      </w:tr>
      <w:tr>
        <w:trPr>
          <w:trHeight w:val="247"/>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Development and</w:t>
            </w:r>
          </w:p>
        </w:tc>
        <w:tc>
          <w:tcPr>
            <w:tcW w:w="6640" w:type="dxa"/>
            <w:vAlign w:val="bottom"/>
          </w:tcPr>
          <w:p>
            <w:pPr>
              <w:ind w:left="520"/>
              <w:spacing w:after="0"/>
              <w:rPr>
                <w:sz w:val="20"/>
                <w:szCs w:val="20"/>
                <w:color w:val="auto"/>
              </w:rPr>
            </w:pPr>
            <w:r>
              <w:rPr>
                <w:rFonts w:ascii="Arial" w:cs="Arial" w:eastAsia="Arial" w:hAnsi="Arial"/>
                <w:sz w:val="21"/>
                <w:szCs w:val="21"/>
                <w:color w:val="auto"/>
              </w:rPr>
              <w:t>and evaluates any major compensation-related risk exposure.</w:t>
            </w:r>
          </w:p>
        </w:tc>
        <w:tc>
          <w:tcPr>
            <w:tcW w:w="0" w:type="dxa"/>
            <w:vAlign w:val="bottom"/>
          </w:tcPr>
          <w:p>
            <w:pPr>
              <w:spacing w:after="0"/>
              <w:rPr>
                <w:sz w:val="1"/>
                <w:szCs w:val="1"/>
                <w:color w:val="auto"/>
              </w:rPr>
            </w:pPr>
          </w:p>
        </w:tc>
      </w:tr>
      <w:tr>
        <w:trPr>
          <w:trHeight w:val="247"/>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Compensation</w:t>
            </w:r>
          </w:p>
        </w:tc>
        <w:tc>
          <w:tcPr>
            <w:tcW w:w="6640" w:type="dxa"/>
            <w:vAlign w:val="bottom"/>
            <w:vMerge w:val="restart"/>
          </w:tcPr>
          <w:p>
            <w:pPr>
              <w:ind w:left="320"/>
              <w:spacing w:after="0"/>
              <w:rPr>
                <w:sz w:val="20"/>
                <w:szCs w:val="20"/>
                <w:color w:val="auto"/>
              </w:rPr>
            </w:pPr>
            <w:r>
              <w:rPr>
                <w:rFonts w:ascii="Arial" w:cs="Arial" w:eastAsia="Arial" w:hAnsi="Arial"/>
                <w:sz w:val="21"/>
                <w:szCs w:val="21"/>
                <w:color w:val="435F86"/>
              </w:rPr>
              <w:t xml:space="preserve">● </w:t>
            </w:r>
            <w:r>
              <w:rPr>
                <w:rFonts w:ascii="Arial" w:cs="Arial" w:eastAsia="Arial" w:hAnsi="Arial"/>
                <w:sz w:val="21"/>
                <w:szCs w:val="21"/>
                <w:color w:val="000000"/>
              </w:rPr>
              <w:t>Reviews senior executive succession plans.</w:t>
            </w:r>
          </w:p>
        </w:tc>
        <w:tc>
          <w:tcPr>
            <w:tcW w:w="0" w:type="dxa"/>
            <w:vAlign w:val="bottom"/>
          </w:tcPr>
          <w:p>
            <w:pPr>
              <w:spacing w:after="0"/>
              <w:rPr>
                <w:sz w:val="1"/>
                <w:szCs w:val="1"/>
                <w:color w:val="auto"/>
              </w:rPr>
            </w:pPr>
          </w:p>
        </w:tc>
      </w:tr>
      <w:tr>
        <w:trPr>
          <w:trHeight w:val="144"/>
        </w:trPr>
        <w:tc>
          <w:tcPr>
            <w:tcW w:w="2080" w:type="dxa"/>
            <w:vAlign w:val="bottom"/>
            <w:vMerge w:val="restart"/>
          </w:tcPr>
          <w:p>
            <w:pPr>
              <w:ind w:left="100"/>
              <w:spacing w:after="0"/>
              <w:rPr>
                <w:sz w:val="20"/>
                <w:szCs w:val="20"/>
                <w:color w:val="auto"/>
              </w:rPr>
            </w:pPr>
            <w:r>
              <w:rPr>
                <w:rFonts w:ascii="Arial" w:cs="Arial" w:eastAsia="Arial" w:hAnsi="Arial"/>
                <w:sz w:val="21"/>
                <w:szCs w:val="21"/>
                <w:b w:val="1"/>
                <w:bCs w:val="1"/>
                <w:color w:val="435F86"/>
              </w:rPr>
              <w:t>Committee</w:t>
            </w:r>
          </w:p>
        </w:tc>
        <w:tc>
          <w:tcPr>
            <w:tcW w:w="6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80" w:type="dxa"/>
            <w:vAlign w:val="bottom"/>
            <w:tcBorders>
              <w:bottom w:val="single" w:sz="8" w:color="A1AFC2"/>
            </w:tcBorders>
            <w:vMerge w:val="continue"/>
          </w:tcPr>
          <w:p>
            <w:pPr>
              <w:spacing w:after="0"/>
              <w:rPr>
                <w:sz w:val="11"/>
                <w:szCs w:val="11"/>
                <w:color w:val="auto"/>
              </w:rPr>
            </w:pPr>
          </w:p>
        </w:tc>
        <w:tc>
          <w:tcPr>
            <w:tcW w:w="6640" w:type="dxa"/>
            <w:vAlign w:val="bottom"/>
            <w:tcBorders>
              <w:bottom w:val="single" w:sz="8" w:color="A1AFC2"/>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Nominating and</w:t>
            </w:r>
          </w:p>
        </w:tc>
        <w:tc>
          <w:tcPr>
            <w:tcW w:w="6640" w:type="dxa"/>
            <w:vAlign w:val="bottom"/>
          </w:tcPr>
          <w:p>
            <w:pPr>
              <w:ind w:left="320"/>
              <w:spacing w:after="0"/>
              <w:rPr>
                <w:sz w:val="20"/>
                <w:szCs w:val="20"/>
                <w:color w:val="auto"/>
              </w:rPr>
            </w:pPr>
            <w:r>
              <w:rPr>
                <w:rFonts w:ascii="Arial" w:cs="Arial" w:eastAsia="Arial" w:hAnsi="Arial"/>
                <w:sz w:val="21"/>
                <w:szCs w:val="21"/>
                <w:color w:val="435F86"/>
                <w:w w:val="95"/>
              </w:rPr>
              <w:t xml:space="preserve">● </w:t>
            </w:r>
            <w:r>
              <w:rPr>
                <w:rFonts w:ascii="Arial" w:cs="Arial" w:eastAsia="Arial" w:hAnsi="Arial"/>
                <w:sz w:val="21"/>
                <w:szCs w:val="21"/>
                <w:color w:val="000000"/>
                <w:w w:val="95"/>
              </w:rPr>
              <w:t>Assesses risks related to our corporate governance practices and the</w:t>
            </w:r>
          </w:p>
        </w:tc>
        <w:tc>
          <w:tcPr>
            <w:tcW w:w="0" w:type="dxa"/>
            <w:vAlign w:val="bottom"/>
          </w:tcPr>
          <w:p>
            <w:pPr>
              <w:spacing w:after="0"/>
              <w:rPr>
                <w:sz w:val="1"/>
                <w:szCs w:val="1"/>
                <w:color w:val="auto"/>
              </w:rPr>
            </w:pPr>
          </w:p>
        </w:tc>
      </w:tr>
      <w:tr>
        <w:trPr>
          <w:trHeight w:val="247"/>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Corporate</w:t>
            </w:r>
          </w:p>
        </w:tc>
        <w:tc>
          <w:tcPr>
            <w:tcW w:w="6640" w:type="dxa"/>
            <w:vAlign w:val="bottom"/>
          </w:tcPr>
          <w:p>
            <w:pPr>
              <w:ind w:left="520"/>
              <w:spacing w:after="0"/>
              <w:rPr>
                <w:sz w:val="20"/>
                <w:szCs w:val="20"/>
                <w:color w:val="auto"/>
              </w:rPr>
            </w:pPr>
            <w:r>
              <w:rPr>
                <w:rFonts w:ascii="Arial" w:cs="Arial" w:eastAsia="Arial" w:hAnsi="Arial"/>
                <w:sz w:val="21"/>
                <w:szCs w:val="21"/>
                <w:color w:val="auto"/>
              </w:rPr>
              <w:t>independence of directors.</w:t>
            </w:r>
          </w:p>
        </w:tc>
        <w:tc>
          <w:tcPr>
            <w:tcW w:w="0" w:type="dxa"/>
            <w:vAlign w:val="bottom"/>
          </w:tcPr>
          <w:p>
            <w:pPr>
              <w:spacing w:after="0"/>
              <w:rPr>
                <w:sz w:val="1"/>
                <w:szCs w:val="1"/>
                <w:color w:val="auto"/>
              </w:rPr>
            </w:pPr>
          </w:p>
        </w:tc>
      </w:tr>
      <w:tr>
        <w:trPr>
          <w:trHeight w:val="247"/>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Governance</w:t>
            </w:r>
          </w:p>
        </w:tc>
        <w:tc>
          <w:tcPr>
            <w:tcW w:w="6640" w:type="dxa"/>
            <w:vAlign w:val="bottom"/>
            <w:vMerge w:val="restart"/>
          </w:tcPr>
          <w:p>
            <w:pPr>
              <w:ind w:left="320"/>
              <w:spacing w:after="0"/>
              <w:rPr>
                <w:sz w:val="20"/>
                <w:szCs w:val="20"/>
                <w:color w:val="auto"/>
              </w:rPr>
            </w:pPr>
            <w:r>
              <w:rPr>
                <w:rFonts w:ascii="Arial" w:cs="Arial" w:eastAsia="Arial" w:hAnsi="Arial"/>
                <w:sz w:val="21"/>
                <w:szCs w:val="21"/>
                <w:color w:val="435F86"/>
                <w:w w:val="99"/>
              </w:rPr>
              <w:t xml:space="preserve">● </w:t>
            </w:r>
            <w:r>
              <w:rPr>
                <w:rFonts w:ascii="Arial" w:cs="Arial" w:eastAsia="Arial" w:hAnsi="Arial"/>
                <w:sz w:val="21"/>
                <w:szCs w:val="21"/>
                <w:color w:val="000000"/>
                <w:w w:val="99"/>
              </w:rPr>
              <w:t>Oversees our corporate responsibility and sustainability programs,</w:t>
            </w:r>
          </w:p>
        </w:tc>
        <w:tc>
          <w:tcPr>
            <w:tcW w:w="0" w:type="dxa"/>
            <w:vAlign w:val="bottom"/>
          </w:tcPr>
          <w:p>
            <w:pPr>
              <w:spacing w:after="0"/>
              <w:rPr>
                <w:sz w:val="1"/>
                <w:szCs w:val="1"/>
                <w:color w:val="auto"/>
              </w:rPr>
            </w:pPr>
          </w:p>
        </w:tc>
      </w:tr>
      <w:tr>
        <w:trPr>
          <w:trHeight w:val="143"/>
        </w:trPr>
        <w:tc>
          <w:tcPr>
            <w:tcW w:w="2080" w:type="dxa"/>
            <w:vAlign w:val="bottom"/>
            <w:vMerge w:val="restart"/>
          </w:tcPr>
          <w:p>
            <w:pPr>
              <w:ind w:left="100"/>
              <w:spacing w:after="0"/>
              <w:rPr>
                <w:sz w:val="20"/>
                <w:szCs w:val="20"/>
                <w:color w:val="auto"/>
              </w:rPr>
            </w:pPr>
            <w:r>
              <w:rPr>
                <w:rFonts w:ascii="Arial" w:cs="Arial" w:eastAsia="Arial" w:hAnsi="Arial"/>
                <w:sz w:val="21"/>
                <w:szCs w:val="21"/>
                <w:b w:val="1"/>
                <w:bCs w:val="1"/>
                <w:color w:val="435F86"/>
              </w:rPr>
              <w:t>Committee</w:t>
            </w:r>
          </w:p>
        </w:tc>
        <w:tc>
          <w:tcPr>
            <w:tcW w:w="6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80" w:type="dxa"/>
            <w:vAlign w:val="bottom"/>
            <w:vMerge w:val="continue"/>
          </w:tcPr>
          <w:p>
            <w:pPr>
              <w:spacing w:after="0"/>
              <w:rPr>
                <w:sz w:val="12"/>
                <w:szCs w:val="12"/>
                <w:color w:val="auto"/>
              </w:rPr>
            </w:pPr>
          </w:p>
        </w:tc>
        <w:tc>
          <w:tcPr>
            <w:tcW w:w="6640" w:type="dxa"/>
            <w:vAlign w:val="bottom"/>
            <w:vMerge w:val="restart"/>
          </w:tcPr>
          <w:p>
            <w:pPr>
              <w:ind w:left="520"/>
              <w:spacing w:after="0"/>
              <w:rPr>
                <w:sz w:val="20"/>
                <w:szCs w:val="20"/>
                <w:color w:val="auto"/>
              </w:rPr>
            </w:pPr>
            <w:r>
              <w:rPr>
                <w:rFonts w:ascii="Arial" w:cs="Arial" w:eastAsia="Arial" w:hAnsi="Arial"/>
                <w:sz w:val="21"/>
                <w:szCs w:val="21"/>
                <w:color w:val="auto"/>
                <w:w w:val="97"/>
              </w:rPr>
              <w:t>including environmental, social, and corporate governance matters.</w:t>
            </w:r>
          </w:p>
        </w:tc>
        <w:tc>
          <w:tcPr>
            <w:tcW w:w="0" w:type="dxa"/>
            <w:vAlign w:val="bottom"/>
          </w:tcPr>
          <w:p>
            <w:pPr>
              <w:spacing w:after="0"/>
              <w:rPr>
                <w:sz w:val="1"/>
                <w:szCs w:val="1"/>
                <w:color w:val="auto"/>
              </w:rPr>
            </w:pPr>
          </w:p>
        </w:tc>
      </w:tr>
      <w:tr>
        <w:trPr>
          <w:trHeight w:val="132"/>
        </w:trPr>
        <w:tc>
          <w:tcPr>
            <w:tcW w:w="2080" w:type="dxa"/>
            <w:vAlign w:val="bottom"/>
            <w:tcBorders>
              <w:bottom w:val="single" w:sz="8" w:color="A1AFC2"/>
            </w:tcBorders>
          </w:tcPr>
          <w:p>
            <w:pPr>
              <w:spacing w:after="0"/>
              <w:rPr>
                <w:sz w:val="11"/>
                <w:szCs w:val="11"/>
                <w:color w:val="auto"/>
              </w:rPr>
            </w:pPr>
          </w:p>
        </w:tc>
        <w:tc>
          <w:tcPr>
            <w:tcW w:w="6640" w:type="dxa"/>
            <w:vAlign w:val="bottom"/>
            <w:tcBorders>
              <w:bottom w:val="single" w:sz="8" w:color="A1AFC2"/>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EO Litigation</w:t>
            </w:r>
          </w:p>
        </w:tc>
        <w:tc>
          <w:tcPr>
            <w:tcW w:w="6640" w:type="dxa"/>
            <w:vAlign w:val="bottom"/>
          </w:tcPr>
          <w:p>
            <w:pPr>
              <w:ind w:left="320"/>
              <w:spacing w:after="0"/>
              <w:rPr>
                <w:sz w:val="20"/>
                <w:szCs w:val="20"/>
                <w:color w:val="auto"/>
              </w:rPr>
            </w:pPr>
            <w:r>
              <w:rPr>
                <w:rFonts w:ascii="Arial" w:cs="Arial" w:eastAsia="Arial" w:hAnsi="Arial"/>
                <w:sz w:val="21"/>
                <w:szCs w:val="21"/>
                <w:color w:val="435F86"/>
                <w:w w:val="96"/>
              </w:rPr>
              <w:t xml:space="preserve">● </w:t>
            </w:r>
            <w:r>
              <w:rPr>
                <w:rFonts w:ascii="Arial" w:cs="Arial" w:eastAsia="Arial" w:hAnsi="Arial"/>
                <w:sz w:val="21"/>
                <w:szCs w:val="21"/>
                <w:color w:val="000000"/>
                <w:w w:val="96"/>
              </w:rPr>
              <w:t>Receives regular briefings regarding ongoing litigation related to EO.</w:t>
            </w:r>
          </w:p>
        </w:tc>
        <w:tc>
          <w:tcPr>
            <w:tcW w:w="0" w:type="dxa"/>
            <w:vAlign w:val="bottom"/>
          </w:tcPr>
          <w:p>
            <w:pPr>
              <w:spacing w:after="0"/>
              <w:rPr>
                <w:sz w:val="1"/>
                <w:szCs w:val="1"/>
                <w:color w:val="auto"/>
              </w:rPr>
            </w:pPr>
          </w:p>
        </w:tc>
      </w:tr>
      <w:tr>
        <w:trPr>
          <w:trHeight w:val="325"/>
        </w:trPr>
        <w:tc>
          <w:tcPr>
            <w:tcW w:w="2080" w:type="dxa"/>
            <w:vAlign w:val="bottom"/>
            <w:tcBorders>
              <w:bottom w:val="single" w:sz="8" w:color="A1AFC2"/>
            </w:tcBorders>
          </w:tcPr>
          <w:p>
            <w:pPr>
              <w:ind w:left="100"/>
              <w:spacing w:after="0"/>
              <w:rPr>
                <w:sz w:val="20"/>
                <w:szCs w:val="20"/>
                <w:color w:val="auto"/>
              </w:rPr>
            </w:pPr>
            <w:r>
              <w:rPr>
                <w:rFonts w:ascii="Arial" w:cs="Arial" w:eastAsia="Arial" w:hAnsi="Arial"/>
                <w:sz w:val="21"/>
                <w:szCs w:val="21"/>
                <w:b w:val="1"/>
                <w:bCs w:val="1"/>
                <w:color w:val="435F86"/>
              </w:rPr>
              <w:t>Committee</w:t>
            </w:r>
          </w:p>
        </w:tc>
        <w:tc>
          <w:tcPr>
            <w:tcW w:w="6640" w:type="dxa"/>
            <w:vAlign w:val="bottom"/>
            <w:tcBorders>
              <w:bottom w:val="single" w:sz="8" w:color="A1AFC2"/>
            </w:tcBorders>
          </w:tcPr>
          <w:p>
            <w:pPr>
              <w:ind w:left="320"/>
              <w:spacing w:after="0"/>
              <w:rPr>
                <w:sz w:val="20"/>
                <w:szCs w:val="20"/>
                <w:color w:val="auto"/>
              </w:rPr>
            </w:pPr>
            <w:r>
              <w:rPr>
                <w:rFonts w:ascii="Arial" w:cs="Arial" w:eastAsia="Arial" w:hAnsi="Arial"/>
                <w:sz w:val="21"/>
                <w:szCs w:val="21"/>
                <w:color w:val="435F86"/>
              </w:rPr>
              <w:t xml:space="preserve">● </w:t>
            </w:r>
            <w:r>
              <w:rPr>
                <w:rFonts w:ascii="Arial" w:cs="Arial" w:eastAsia="Arial" w:hAnsi="Arial"/>
                <w:sz w:val="21"/>
                <w:szCs w:val="21"/>
                <w:color w:val="000000"/>
              </w:rPr>
              <w:t>Oversees our strategy related to EO litigation.</w:t>
            </w:r>
          </w:p>
        </w:tc>
        <w:tc>
          <w:tcPr>
            <w:tcW w:w="0" w:type="dxa"/>
            <w:vAlign w:val="bottom"/>
          </w:tcPr>
          <w:p>
            <w:pPr>
              <w:spacing w:after="0"/>
              <w:rPr>
                <w:sz w:val="1"/>
                <w:szCs w:val="1"/>
                <w:color w:val="auto"/>
              </w:rPr>
            </w:pPr>
          </w:p>
        </w:tc>
      </w:tr>
      <w:tr>
        <w:trPr>
          <w:trHeight w:val="252"/>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Nordion Pricing</w:t>
            </w:r>
          </w:p>
        </w:tc>
        <w:tc>
          <w:tcPr>
            <w:tcW w:w="6640" w:type="dxa"/>
            <w:vAlign w:val="bottom"/>
          </w:tcPr>
          <w:p>
            <w:pPr>
              <w:ind w:left="320"/>
              <w:spacing w:after="0"/>
              <w:rPr>
                <w:sz w:val="20"/>
                <w:szCs w:val="20"/>
                <w:color w:val="auto"/>
              </w:rPr>
            </w:pPr>
            <w:r>
              <w:rPr>
                <w:rFonts w:ascii="Arial" w:cs="Arial" w:eastAsia="Arial" w:hAnsi="Arial"/>
                <w:sz w:val="21"/>
                <w:szCs w:val="21"/>
                <w:color w:val="435F86"/>
              </w:rPr>
              <w:t xml:space="preserve">● </w:t>
            </w:r>
            <w:r>
              <w:rPr>
                <w:rFonts w:ascii="Arial" w:cs="Arial" w:eastAsia="Arial" w:hAnsi="Arial"/>
                <w:sz w:val="21"/>
                <w:szCs w:val="21"/>
                <w:color w:val="000000"/>
              </w:rPr>
              <w:t>Reviews and approves Nordion customer contracts to oversee</w:t>
            </w:r>
          </w:p>
        </w:tc>
        <w:tc>
          <w:tcPr>
            <w:tcW w:w="0" w:type="dxa"/>
            <w:vAlign w:val="bottom"/>
          </w:tcPr>
          <w:p>
            <w:pPr>
              <w:spacing w:after="0"/>
              <w:rPr>
                <w:sz w:val="1"/>
                <w:szCs w:val="1"/>
                <w:color w:val="auto"/>
              </w:rPr>
            </w:pPr>
          </w:p>
        </w:tc>
      </w:tr>
      <w:tr>
        <w:trPr>
          <w:trHeight w:val="247"/>
        </w:trPr>
        <w:tc>
          <w:tcPr>
            <w:tcW w:w="2080" w:type="dxa"/>
            <w:vAlign w:val="bottom"/>
          </w:tcPr>
          <w:p>
            <w:pPr>
              <w:ind w:left="100"/>
              <w:spacing w:after="0"/>
              <w:rPr>
                <w:sz w:val="20"/>
                <w:szCs w:val="20"/>
                <w:color w:val="auto"/>
              </w:rPr>
            </w:pPr>
            <w:r>
              <w:rPr>
                <w:rFonts w:ascii="Arial" w:cs="Arial" w:eastAsia="Arial" w:hAnsi="Arial"/>
                <w:sz w:val="21"/>
                <w:szCs w:val="21"/>
                <w:b w:val="1"/>
                <w:bCs w:val="1"/>
                <w:color w:val="435F86"/>
              </w:rPr>
              <w:t>Committee</w:t>
            </w:r>
          </w:p>
        </w:tc>
        <w:tc>
          <w:tcPr>
            <w:tcW w:w="6640" w:type="dxa"/>
            <w:vAlign w:val="bottom"/>
          </w:tcPr>
          <w:p>
            <w:pPr>
              <w:ind w:left="520"/>
              <w:spacing w:after="0"/>
              <w:rPr>
                <w:sz w:val="20"/>
                <w:szCs w:val="20"/>
                <w:color w:val="auto"/>
              </w:rPr>
            </w:pPr>
            <w:r>
              <w:rPr>
                <w:rFonts w:ascii="Arial" w:cs="Arial" w:eastAsia="Arial" w:hAnsi="Arial"/>
                <w:sz w:val="21"/>
                <w:szCs w:val="21"/>
                <w:color w:val="auto"/>
              </w:rPr>
              <w:t>confidentiality and appropriate risk management and to prevent</w:t>
            </w:r>
          </w:p>
        </w:tc>
        <w:tc>
          <w:tcPr>
            <w:tcW w:w="0" w:type="dxa"/>
            <w:vAlign w:val="bottom"/>
          </w:tcPr>
          <w:p>
            <w:pPr>
              <w:spacing w:after="0"/>
              <w:rPr>
                <w:sz w:val="1"/>
                <w:szCs w:val="1"/>
                <w:color w:val="auto"/>
              </w:rPr>
            </w:pPr>
          </w:p>
        </w:tc>
      </w:tr>
      <w:tr>
        <w:trPr>
          <w:trHeight w:val="247"/>
        </w:trPr>
        <w:tc>
          <w:tcPr>
            <w:tcW w:w="2080" w:type="dxa"/>
            <w:vAlign w:val="bottom"/>
          </w:tcPr>
          <w:p>
            <w:pPr>
              <w:spacing w:after="0"/>
              <w:rPr>
                <w:sz w:val="21"/>
                <w:szCs w:val="21"/>
                <w:color w:val="auto"/>
              </w:rPr>
            </w:pPr>
          </w:p>
        </w:tc>
        <w:tc>
          <w:tcPr>
            <w:tcW w:w="6640" w:type="dxa"/>
            <w:vAlign w:val="bottom"/>
          </w:tcPr>
          <w:p>
            <w:pPr>
              <w:ind w:left="520"/>
              <w:spacing w:after="0"/>
              <w:rPr>
                <w:sz w:val="20"/>
                <w:szCs w:val="20"/>
                <w:color w:val="auto"/>
              </w:rPr>
            </w:pPr>
            <w:r>
              <w:rPr>
                <w:rFonts w:ascii="Arial" w:cs="Arial" w:eastAsia="Arial" w:hAnsi="Arial"/>
                <w:sz w:val="21"/>
                <w:szCs w:val="21"/>
                <w:color w:val="auto"/>
                <w:w w:val="99"/>
              </w:rPr>
              <w:t>confidential information related to Nordion’s customers from being</w:t>
            </w:r>
          </w:p>
        </w:tc>
        <w:tc>
          <w:tcPr>
            <w:tcW w:w="0" w:type="dxa"/>
            <w:vAlign w:val="bottom"/>
          </w:tcPr>
          <w:p>
            <w:pPr>
              <w:spacing w:after="0"/>
              <w:rPr>
                <w:sz w:val="1"/>
                <w:szCs w:val="1"/>
                <w:color w:val="auto"/>
              </w:rPr>
            </w:pPr>
          </w:p>
        </w:tc>
      </w:tr>
      <w:tr>
        <w:trPr>
          <w:trHeight w:val="247"/>
        </w:trPr>
        <w:tc>
          <w:tcPr>
            <w:tcW w:w="2080" w:type="dxa"/>
            <w:vAlign w:val="bottom"/>
          </w:tcPr>
          <w:p>
            <w:pPr>
              <w:spacing w:after="0"/>
              <w:rPr>
                <w:sz w:val="21"/>
                <w:szCs w:val="21"/>
                <w:color w:val="auto"/>
              </w:rPr>
            </w:pPr>
          </w:p>
        </w:tc>
        <w:tc>
          <w:tcPr>
            <w:tcW w:w="6640" w:type="dxa"/>
            <w:vAlign w:val="bottom"/>
          </w:tcPr>
          <w:p>
            <w:pPr>
              <w:ind w:left="520"/>
              <w:spacing w:after="0"/>
              <w:rPr>
                <w:sz w:val="20"/>
                <w:szCs w:val="20"/>
                <w:color w:val="auto"/>
              </w:rPr>
            </w:pPr>
            <w:r>
              <w:rPr>
                <w:rFonts w:ascii="Arial" w:cs="Arial" w:eastAsia="Arial" w:hAnsi="Arial"/>
                <w:sz w:val="21"/>
                <w:szCs w:val="21"/>
                <w:color w:val="auto"/>
              </w:rPr>
              <w:t>shared with individuals involved in the day-to-day operations of</w:t>
            </w:r>
          </w:p>
        </w:tc>
        <w:tc>
          <w:tcPr>
            <w:tcW w:w="0" w:type="dxa"/>
            <w:vAlign w:val="bottom"/>
          </w:tcPr>
          <w:p>
            <w:pPr>
              <w:spacing w:after="0"/>
              <w:rPr>
                <w:sz w:val="1"/>
                <w:szCs w:val="1"/>
                <w:color w:val="auto"/>
              </w:rPr>
            </w:pPr>
          </w:p>
        </w:tc>
      </w:tr>
      <w:tr>
        <w:trPr>
          <w:trHeight w:val="273"/>
        </w:trPr>
        <w:tc>
          <w:tcPr>
            <w:tcW w:w="2080" w:type="dxa"/>
            <w:vAlign w:val="bottom"/>
            <w:tcBorders>
              <w:bottom w:val="single" w:sz="8" w:color="435F86"/>
            </w:tcBorders>
          </w:tcPr>
          <w:p>
            <w:pPr>
              <w:spacing w:after="0"/>
              <w:rPr>
                <w:sz w:val="23"/>
                <w:szCs w:val="23"/>
                <w:color w:val="auto"/>
              </w:rPr>
            </w:pPr>
          </w:p>
        </w:tc>
        <w:tc>
          <w:tcPr>
            <w:tcW w:w="6640" w:type="dxa"/>
            <w:vAlign w:val="bottom"/>
            <w:tcBorders>
              <w:bottom w:val="single" w:sz="8" w:color="435F86"/>
            </w:tcBorders>
          </w:tcPr>
          <w:p>
            <w:pPr>
              <w:ind w:left="520"/>
              <w:spacing w:after="0"/>
              <w:rPr>
                <w:sz w:val="20"/>
                <w:szCs w:val="20"/>
                <w:color w:val="auto"/>
              </w:rPr>
            </w:pPr>
            <w:r>
              <w:rPr>
                <w:rFonts w:ascii="Arial" w:cs="Arial" w:eastAsia="Arial" w:hAnsi="Arial"/>
                <w:sz w:val="21"/>
                <w:szCs w:val="21"/>
                <w:color w:val="auto"/>
              </w:rPr>
              <w:t>Sterigenics.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Board Meetings and Attendance</w:t>
      </w:r>
    </w:p>
    <w:p>
      <w:pPr>
        <w:spacing w:after="0" w:line="228" w:lineRule="exact"/>
        <w:rPr>
          <w:sz w:val="20"/>
          <w:szCs w:val="20"/>
          <w:color w:val="auto"/>
        </w:rPr>
      </w:pPr>
    </w:p>
    <w:p>
      <w:pPr>
        <w:jc w:val="both"/>
        <w:ind w:left="780" w:right="339"/>
        <w:spacing w:after="0" w:line="287" w:lineRule="auto"/>
        <w:rPr>
          <w:sz w:val="20"/>
          <w:szCs w:val="20"/>
          <w:color w:val="auto"/>
        </w:rPr>
      </w:pPr>
      <w:r>
        <w:rPr>
          <w:rFonts w:ascii="Arial" w:cs="Arial" w:eastAsia="Arial" w:hAnsi="Arial"/>
          <w:sz w:val="20"/>
          <w:szCs w:val="20"/>
          <w:color w:val="auto"/>
        </w:rPr>
        <w:t>All directors are expected to attend all meetings of the Board, all meetings of the committees of the Board on which they serve and our annual meeting of stockholders. The Board met eight times in 2024. All directors attended the 2024 Annual Meeting of Stockholders.</w:t>
      </w:r>
    </w:p>
    <w:p>
      <w:pPr>
        <w:spacing w:after="0" w:line="119"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Executive Sessions</w:t>
      </w:r>
    </w:p>
    <w:p>
      <w:pPr>
        <w:spacing w:after="0" w:line="162" w:lineRule="exact"/>
        <w:rPr>
          <w:sz w:val="20"/>
          <w:szCs w:val="20"/>
          <w:color w:val="auto"/>
        </w:rPr>
      </w:pPr>
    </w:p>
    <w:p>
      <w:pPr>
        <w:ind w:left="780" w:right="219"/>
        <w:spacing w:after="0" w:line="254" w:lineRule="auto"/>
        <w:rPr>
          <w:sz w:val="20"/>
          <w:szCs w:val="20"/>
          <w:color w:val="auto"/>
        </w:rPr>
      </w:pPr>
      <w:r>
        <w:rPr>
          <w:rFonts w:ascii="Arial" w:cs="Arial" w:eastAsia="Arial" w:hAnsi="Arial"/>
          <w:sz w:val="21"/>
          <w:szCs w:val="21"/>
          <w:color w:val="auto"/>
        </w:rPr>
        <w:t>Executive sessions are typically scheduled with the Chairman at the beginning of each regular Board meeting and among only the directors immediately after each regular Board meeting. Throughout 2024, directors met in regular executive sessions, both with the Chairman and without the Chairman or any other member of management present. The Audit, NCG and LDC Committees also all met in executive sessions without members of management present. The Audit Committee also held regularly scheduled private sessions with our Chief Financial Officer, internal audit leadership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306705</wp:posOffset>
            </wp:positionV>
            <wp:extent cx="494665" cy="165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182880</wp:posOffset>
            </wp:positionV>
            <wp:extent cx="553847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Board Meetings and Attendance</w:t>
      </w:r>
    </w:p>
    <w:p>
      <w:pPr>
        <w:spacing w:after="0" w:line="238" w:lineRule="exact"/>
        <w:rPr>
          <w:sz w:val="20"/>
          <w:szCs w:val="20"/>
          <w:color w:val="auto"/>
        </w:rPr>
      </w:pPr>
    </w:p>
    <w:p>
      <w:pPr>
        <w:ind w:left="780" w:right="219"/>
        <w:spacing w:after="0" w:line="261" w:lineRule="auto"/>
        <w:rPr>
          <w:sz w:val="20"/>
          <w:szCs w:val="20"/>
          <w:color w:val="auto"/>
        </w:rPr>
      </w:pPr>
      <w:r>
        <w:rPr>
          <w:rFonts w:ascii="Arial" w:cs="Arial" w:eastAsia="Arial" w:hAnsi="Arial"/>
          <w:sz w:val="21"/>
          <w:szCs w:val="21"/>
          <w:color w:val="auto"/>
        </w:rPr>
        <w:t>external auditors. The LDC Committee held regularly scheduled private sessions with our Chief Human Resources Officer and Exequity, LLP (“Exequity”), an independent compensation consultant that reports directly to the LDC Committee.</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Committees of the Board of Directors</w:t>
      </w:r>
    </w:p>
    <w:p>
      <w:pPr>
        <w:spacing w:after="0" w:line="215" w:lineRule="exact"/>
        <w:rPr>
          <w:sz w:val="20"/>
          <w:szCs w:val="20"/>
          <w:color w:val="auto"/>
        </w:rPr>
      </w:pPr>
    </w:p>
    <w:p>
      <w:pPr>
        <w:ind w:left="780" w:right="279"/>
        <w:spacing w:after="0" w:line="257" w:lineRule="auto"/>
        <w:rPr>
          <w:sz w:val="20"/>
          <w:szCs w:val="20"/>
          <w:color w:val="auto"/>
        </w:rPr>
      </w:pPr>
      <w:r>
        <w:rPr>
          <w:rFonts w:ascii="Arial" w:cs="Arial" w:eastAsia="Arial" w:hAnsi="Arial"/>
          <w:sz w:val="20"/>
          <w:szCs w:val="20"/>
          <w:color w:val="auto"/>
        </w:rPr>
        <w:t>We have an Audit Committee, a Leadership Development and Compensation Committee, a Nominating and Governance Committee, an EO Litigation Committee and a Nordion Pricing Committee. The composition and responsibilities of each of the committees of our Board are described below. The NCG Committee is responsible for reviewing committee membership and making recommendations to the Board regarding committee composition, consistent with the Company’s organizational documents, our Stockholders Agreement and applicable law. Members serve on committees until their resignation or until our Board determines otherwise. Our Board may change the membership of committees or establish other committees as it deems necessary or appropriate from time to time. For example, in October 2022, at the recommendation of the NCG Committee, the Board formed the EO Litigation Committee.</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28"/>
          <w:szCs w:val="28"/>
          <w:color w:val="auto"/>
        </w:rPr>
        <w:t>Audit Committee</w:t>
      </w:r>
    </w:p>
    <w:p>
      <w:pPr>
        <w:spacing w:after="0" w:line="149" w:lineRule="exact"/>
        <w:rPr>
          <w:sz w:val="20"/>
          <w:szCs w:val="20"/>
          <w:color w:val="auto"/>
        </w:rPr>
      </w:pPr>
    </w:p>
    <w:p>
      <w:pPr>
        <w:ind w:left="780" w:right="279"/>
        <w:spacing w:after="0" w:line="247" w:lineRule="auto"/>
        <w:rPr>
          <w:sz w:val="20"/>
          <w:szCs w:val="20"/>
          <w:color w:val="auto"/>
        </w:rPr>
      </w:pPr>
      <w:r>
        <w:rPr>
          <w:rFonts w:ascii="Arial" w:cs="Arial" w:eastAsia="Arial" w:hAnsi="Arial"/>
          <w:sz w:val="21"/>
          <w:szCs w:val="21"/>
          <w:color w:val="auto"/>
        </w:rPr>
        <w:t>The Audit Committee’s main purposes are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74" w:lineRule="exact"/>
        <w:rPr>
          <w:sz w:val="20"/>
          <w:szCs w:val="20"/>
          <w:color w:val="auto"/>
        </w:rPr>
      </w:pPr>
    </w:p>
    <w:p>
      <w:pPr>
        <w:ind w:left="780"/>
        <w:spacing w:after="0"/>
        <w:rPr>
          <w:sz w:val="20"/>
          <w:szCs w:val="20"/>
          <w:color w:val="auto"/>
        </w:rPr>
      </w:pPr>
      <w:r>
        <w:rPr>
          <w:rFonts w:ascii="Arial" w:cs="Arial" w:eastAsia="Arial" w:hAnsi="Arial"/>
          <w:sz w:val="21"/>
          <w:szCs w:val="21"/>
          <w:color w:val="auto"/>
        </w:rPr>
        <w:t>In carrying out these purposes, the Audit Committee:</w:t>
      </w:r>
    </w:p>
    <w:p>
      <w:pPr>
        <w:spacing w:after="0" w:line="109" w:lineRule="exact"/>
        <w:rPr>
          <w:sz w:val="20"/>
          <w:szCs w:val="20"/>
          <w:color w:val="auto"/>
        </w:rPr>
      </w:pPr>
    </w:p>
    <w:p>
      <w:pPr>
        <w:ind w:left="1120" w:right="179" w:hanging="337"/>
        <w:spacing w:after="0" w:line="254" w:lineRule="auto"/>
        <w:tabs>
          <w:tab w:leader="none" w:pos="1120" w:val="left"/>
        </w:tabs>
        <w:numPr>
          <w:ilvl w:val="0"/>
          <w:numId w:val="19"/>
        </w:numPr>
        <w:rPr>
          <w:rFonts w:ascii="Arial" w:cs="Arial" w:eastAsia="Arial" w:hAnsi="Arial"/>
          <w:sz w:val="21"/>
          <w:szCs w:val="21"/>
          <w:color w:val="435F86"/>
        </w:rPr>
      </w:pPr>
      <w:r>
        <w:rPr>
          <w:rFonts w:ascii="Arial" w:cs="Arial" w:eastAsia="Arial" w:hAnsi="Arial"/>
          <w:sz w:val="21"/>
          <w:szCs w:val="21"/>
          <w:color w:val="auto"/>
        </w:rPr>
        <w:t>oversees the design, implementation, adequacy and effectiveness of our disclosure controls and procedures, system of internal controls over financial accounting, internal audit function and the preparation and audit of our consolidated financial statements;</w:t>
      </w:r>
    </w:p>
    <w:p>
      <w:pPr>
        <w:spacing w:after="0" w:line="63" w:lineRule="exact"/>
        <w:rPr>
          <w:rFonts w:ascii="Arial" w:cs="Arial" w:eastAsia="Arial" w:hAnsi="Arial"/>
          <w:sz w:val="21"/>
          <w:szCs w:val="21"/>
          <w:color w:val="435F86"/>
        </w:rPr>
      </w:pPr>
    </w:p>
    <w:p>
      <w:pPr>
        <w:ind w:left="1120" w:right="259" w:hanging="337"/>
        <w:spacing w:after="0" w:line="294" w:lineRule="auto"/>
        <w:tabs>
          <w:tab w:leader="none" w:pos="1120" w:val="left"/>
        </w:tabs>
        <w:numPr>
          <w:ilvl w:val="0"/>
          <w:numId w:val="19"/>
        </w:numPr>
        <w:rPr>
          <w:rFonts w:ascii="Arial" w:cs="Arial" w:eastAsia="Arial" w:hAnsi="Arial"/>
          <w:sz w:val="19"/>
          <w:szCs w:val="19"/>
          <w:color w:val="435F86"/>
        </w:rPr>
      </w:pPr>
      <w:r>
        <w:rPr>
          <w:rFonts w:ascii="Arial" w:cs="Arial" w:eastAsia="Arial" w:hAnsi="Arial"/>
          <w:sz w:val="19"/>
          <w:szCs w:val="19"/>
          <w:color w:val="auto"/>
        </w:rPr>
        <w:t>appoints our independent registered public accounting firm annually, reviews the annual audit plan, approves audit and pre-approves any non-audit related services provided to us, evaluates independent auditor qualifications and performance and ensures their independence;</w:t>
      </w:r>
    </w:p>
    <w:p>
      <w:pPr>
        <w:spacing w:after="0" w:line="27" w:lineRule="exact"/>
        <w:rPr>
          <w:rFonts w:ascii="Arial" w:cs="Arial" w:eastAsia="Arial" w:hAnsi="Arial"/>
          <w:sz w:val="19"/>
          <w:szCs w:val="19"/>
          <w:color w:val="435F86"/>
        </w:rPr>
      </w:pPr>
    </w:p>
    <w:p>
      <w:pPr>
        <w:ind w:left="1120" w:right="499" w:hanging="337"/>
        <w:spacing w:after="0" w:line="254" w:lineRule="auto"/>
        <w:tabs>
          <w:tab w:leader="none" w:pos="1120" w:val="left"/>
        </w:tabs>
        <w:numPr>
          <w:ilvl w:val="0"/>
          <w:numId w:val="19"/>
        </w:numPr>
        <w:rPr>
          <w:rFonts w:ascii="Arial" w:cs="Arial" w:eastAsia="Arial" w:hAnsi="Arial"/>
          <w:sz w:val="21"/>
          <w:szCs w:val="21"/>
          <w:color w:val="435F86"/>
        </w:rPr>
      </w:pPr>
      <w:r>
        <w:rPr>
          <w:rFonts w:ascii="Arial" w:cs="Arial" w:eastAsia="Arial" w:hAnsi="Arial"/>
          <w:sz w:val="21"/>
          <w:szCs w:val="21"/>
          <w:color w:val="auto"/>
        </w:rPr>
        <w:t>oversees procedures for the receipt, retention and treatment of complaints about accounting, internal accounting controls or audit matters, and for the confidential and anonymous submission of complaints concerning such matters;</w:t>
      </w:r>
    </w:p>
    <w:p>
      <w:pPr>
        <w:spacing w:after="0" w:line="63" w:lineRule="exact"/>
        <w:rPr>
          <w:rFonts w:ascii="Arial" w:cs="Arial" w:eastAsia="Arial" w:hAnsi="Arial"/>
          <w:sz w:val="21"/>
          <w:szCs w:val="21"/>
          <w:color w:val="435F86"/>
        </w:rPr>
      </w:pPr>
    </w:p>
    <w:p>
      <w:pPr>
        <w:ind w:left="1120" w:right="379" w:hanging="337"/>
        <w:spacing w:after="0" w:line="277" w:lineRule="auto"/>
        <w:tabs>
          <w:tab w:leader="none" w:pos="1120" w:val="left"/>
        </w:tabs>
        <w:numPr>
          <w:ilvl w:val="0"/>
          <w:numId w:val="19"/>
        </w:numPr>
        <w:rPr>
          <w:rFonts w:ascii="Arial" w:cs="Arial" w:eastAsia="Arial" w:hAnsi="Arial"/>
          <w:sz w:val="21"/>
          <w:szCs w:val="21"/>
          <w:color w:val="435F86"/>
        </w:rPr>
      </w:pPr>
      <w:r>
        <w:rPr>
          <w:rFonts w:ascii="Arial" w:cs="Arial" w:eastAsia="Arial" w:hAnsi="Arial"/>
          <w:sz w:val="21"/>
          <w:szCs w:val="21"/>
          <w:color w:val="auto"/>
        </w:rPr>
        <w:t>reviews and approves, or ratifies, in accordance with our policies, all related-party transactions as defined by applicable rules and regulations;</w:t>
      </w:r>
    </w:p>
    <w:p>
      <w:pPr>
        <w:spacing w:after="0" w:line="39" w:lineRule="exact"/>
        <w:rPr>
          <w:rFonts w:ascii="Arial" w:cs="Arial" w:eastAsia="Arial" w:hAnsi="Arial"/>
          <w:sz w:val="21"/>
          <w:szCs w:val="21"/>
          <w:color w:val="435F86"/>
        </w:rPr>
      </w:pPr>
    </w:p>
    <w:p>
      <w:pPr>
        <w:ind w:left="1120" w:right="259" w:hanging="337"/>
        <w:spacing w:after="0" w:line="254" w:lineRule="auto"/>
        <w:tabs>
          <w:tab w:leader="none" w:pos="1120" w:val="left"/>
        </w:tabs>
        <w:numPr>
          <w:ilvl w:val="0"/>
          <w:numId w:val="19"/>
        </w:numPr>
        <w:rPr>
          <w:rFonts w:ascii="Arial" w:cs="Arial" w:eastAsia="Arial" w:hAnsi="Arial"/>
          <w:sz w:val="21"/>
          <w:szCs w:val="21"/>
          <w:color w:val="435F86"/>
        </w:rPr>
      </w:pPr>
      <w:r>
        <w:rPr>
          <w:rFonts w:ascii="Arial" w:cs="Arial" w:eastAsia="Arial" w:hAnsi="Arial"/>
          <w:sz w:val="21"/>
          <w:szCs w:val="21"/>
          <w:color w:val="auto"/>
        </w:rPr>
        <w:t>oversees legal and regulatory matters and reviews and approves the adequacy and effectiveness of our compliance policies and procedures, including the Company’s Global Code of Conduct;</w:t>
      </w:r>
    </w:p>
    <w:p>
      <w:pPr>
        <w:spacing w:after="0" w:line="63" w:lineRule="exact"/>
        <w:rPr>
          <w:rFonts w:ascii="Arial" w:cs="Arial" w:eastAsia="Arial" w:hAnsi="Arial"/>
          <w:sz w:val="21"/>
          <w:szCs w:val="21"/>
          <w:color w:val="435F86"/>
        </w:rPr>
      </w:pPr>
    </w:p>
    <w:p>
      <w:pPr>
        <w:ind w:left="1120" w:right="259" w:hanging="337"/>
        <w:spacing w:after="0" w:line="251" w:lineRule="auto"/>
        <w:tabs>
          <w:tab w:leader="none" w:pos="1120" w:val="left"/>
        </w:tabs>
        <w:numPr>
          <w:ilvl w:val="0"/>
          <w:numId w:val="19"/>
        </w:numPr>
        <w:rPr>
          <w:rFonts w:ascii="Arial" w:cs="Arial" w:eastAsia="Arial" w:hAnsi="Arial"/>
          <w:sz w:val="21"/>
          <w:szCs w:val="21"/>
          <w:color w:val="435F86"/>
        </w:rPr>
      </w:pPr>
      <w:r>
        <w:rPr>
          <w:rFonts w:ascii="Arial" w:cs="Arial" w:eastAsia="Arial" w:hAnsi="Arial"/>
          <w:sz w:val="21"/>
          <w:szCs w:val="21"/>
          <w:color w:val="auto"/>
        </w:rPr>
        <w:t>approves the annual internal audit plan and budget, reviews with internal audit the results of the audit work at least annually and more frequently as provided in the policy for reporting financial accounting and auditing concerns, and at least annually reviews the performance of the internal audit team; and</w:t>
      </w:r>
    </w:p>
    <w:p>
      <w:pPr>
        <w:spacing w:after="0" w:line="54" w:lineRule="exact"/>
        <w:rPr>
          <w:rFonts w:ascii="Arial" w:cs="Arial" w:eastAsia="Arial" w:hAnsi="Arial"/>
          <w:sz w:val="21"/>
          <w:szCs w:val="21"/>
          <w:color w:val="435F86"/>
        </w:rPr>
      </w:pPr>
    </w:p>
    <w:p>
      <w:pPr>
        <w:ind w:left="1120" w:right="959" w:hanging="337"/>
        <w:spacing w:after="0" w:line="277" w:lineRule="auto"/>
        <w:tabs>
          <w:tab w:leader="none" w:pos="1120" w:val="left"/>
        </w:tabs>
        <w:numPr>
          <w:ilvl w:val="0"/>
          <w:numId w:val="19"/>
        </w:numPr>
        <w:rPr>
          <w:rFonts w:ascii="Arial" w:cs="Arial" w:eastAsia="Arial" w:hAnsi="Arial"/>
          <w:sz w:val="21"/>
          <w:szCs w:val="21"/>
          <w:color w:val="435F86"/>
        </w:rPr>
      </w:pPr>
      <w:r>
        <w:rPr>
          <w:rFonts w:ascii="Arial" w:cs="Arial" w:eastAsia="Arial" w:hAnsi="Arial"/>
          <w:sz w:val="21"/>
          <w:szCs w:val="21"/>
          <w:color w:val="auto"/>
        </w:rPr>
        <w:t>oversees Company policies and practices with respect to financial risk assessment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124460</wp:posOffset>
            </wp:positionV>
            <wp:extent cx="55384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53340</wp:posOffset>
            </wp:positionV>
            <wp:extent cx="656971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Committees of the Board of Directors</w:t>
      </w:r>
    </w:p>
    <w:p>
      <w:pPr>
        <w:spacing w:after="0" w:line="23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Audit Committee met five times in 2024. The current members of the Committee are</w:t>
      </w:r>
    </w:p>
    <w:p>
      <w:pPr>
        <w:spacing w:after="0" w:line="25" w:lineRule="exact"/>
        <w:rPr>
          <w:sz w:val="20"/>
          <w:szCs w:val="20"/>
          <w:color w:val="auto"/>
        </w:rPr>
      </w:pPr>
    </w:p>
    <w:p>
      <w:pPr>
        <w:jc w:val="both"/>
        <w:ind w:left="780" w:right="279"/>
        <w:spacing w:after="0" w:line="244" w:lineRule="auto"/>
        <w:rPr>
          <w:sz w:val="20"/>
          <w:szCs w:val="20"/>
          <w:color w:val="auto"/>
        </w:rPr>
      </w:pPr>
      <w:r>
        <w:rPr>
          <w:rFonts w:ascii="Arial" w:cs="Arial" w:eastAsia="Arial" w:hAnsi="Arial"/>
          <w:sz w:val="21"/>
          <w:szCs w:val="21"/>
          <w:color w:val="auto"/>
        </w:rPr>
        <w:t>Mr. Petrella (chair), Ms. Flynn, Ms. Klee and Dr. Wheadon. Each member of the Audit Committee is “independent” as defined under the Nasdaq rules and Rule 10A-3 of the Exchange Act. Our Board has determined that each member of the Audit Committee is financially literate and that Mr. Petrella is a financial expert.</w:t>
      </w:r>
    </w:p>
    <w:p>
      <w:pPr>
        <w:spacing w:after="0" w:line="179" w:lineRule="exact"/>
        <w:rPr>
          <w:sz w:val="20"/>
          <w:szCs w:val="20"/>
          <w:color w:val="auto"/>
        </w:rPr>
      </w:pPr>
    </w:p>
    <w:p>
      <w:pPr>
        <w:ind w:left="780" w:right="239"/>
        <w:spacing w:after="0" w:line="264" w:lineRule="auto"/>
        <w:rPr>
          <w:sz w:val="20"/>
          <w:szCs w:val="20"/>
          <w:color w:val="auto"/>
        </w:rPr>
      </w:pPr>
      <w:r>
        <w:rPr>
          <w:rFonts w:ascii="Arial" w:cs="Arial" w:eastAsia="Arial" w:hAnsi="Arial"/>
          <w:sz w:val="21"/>
          <w:szCs w:val="21"/>
          <w:color w:val="auto"/>
        </w:rPr>
        <w:t>Our Audit Committee operates under a written charter, which is available under the Governance tab on our Investor Relations website at https://investors.soterahealth.com/.</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28"/>
          <w:szCs w:val="28"/>
          <w:color w:val="auto"/>
        </w:rPr>
        <w:t>Leadership Development and Compensation Committee</w:t>
      </w:r>
    </w:p>
    <w:p>
      <w:pPr>
        <w:spacing w:after="0" w:line="149" w:lineRule="exact"/>
        <w:rPr>
          <w:sz w:val="20"/>
          <w:szCs w:val="20"/>
          <w:color w:val="auto"/>
        </w:rPr>
      </w:pPr>
    </w:p>
    <w:p>
      <w:pPr>
        <w:ind w:left="780" w:right="519"/>
        <w:spacing w:after="0" w:line="254" w:lineRule="auto"/>
        <w:rPr>
          <w:sz w:val="20"/>
          <w:szCs w:val="20"/>
          <w:color w:val="auto"/>
        </w:rPr>
      </w:pPr>
      <w:r>
        <w:rPr>
          <w:rFonts w:ascii="Arial" w:cs="Arial" w:eastAsia="Arial" w:hAnsi="Arial"/>
          <w:sz w:val="21"/>
          <w:szCs w:val="21"/>
          <w:color w:val="auto"/>
        </w:rPr>
        <w:t>The main purposes of the LDC Committee are to oversee the compensation of our directors and employees, including our CEO and other executive officers, and to oversee management development and succession planning and related matters.</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In carrying out these duties, the LDC Committee:</w:t>
      </w:r>
    </w:p>
    <w:p>
      <w:pPr>
        <w:spacing w:after="0" w:line="109" w:lineRule="exact"/>
        <w:rPr>
          <w:sz w:val="20"/>
          <w:szCs w:val="20"/>
          <w:color w:val="auto"/>
        </w:rPr>
      </w:pPr>
    </w:p>
    <w:p>
      <w:pPr>
        <w:ind w:left="1120" w:right="439" w:hanging="337"/>
        <w:spacing w:after="0" w:line="254" w:lineRule="auto"/>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reviews and approves our corporate goals relevant to compensation and evaluates the performance of our CEO and other executive officers against those goals and the Company’s values;</w:t>
      </w:r>
    </w:p>
    <w:p>
      <w:pPr>
        <w:spacing w:after="0" w:line="63" w:lineRule="exact"/>
        <w:rPr>
          <w:rFonts w:ascii="Arial" w:cs="Arial" w:eastAsia="Arial" w:hAnsi="Arial"/>
          <w:sz w:val="21"/>
          <w:szCs w:val="21"/>
          <w:color w:val="435F86"/>
        </w:rPr>
      </w:pPr>
    </w:p>
    <w:p>
      <w:pPr>
        <w:ind w:left="1120" w:right="239" w:hanging="337"/>
        <w:spacing w:after="0" w:line="254" w:lineRule="auto"/>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determines the compensation of our CEO and other executive officers based on their evaluations, competitive market data pertaining to compensation at comparable companies and other relevant factors;</w:t>
      </w:r>
    </w:p>
    <w:p>
      <w:pPr>
        <w:spacing w:after="0" w:line="51" w:lineRule="exact"/>
        <w:rPr>
          <w:rFonts w:ascii="Arial" w:cs="Arial" w:eastAsia="Arial" w:hAnsi="Arial"/>
          <w:sz w:val="21"/>
          <w:szCs w:val="21"/>
          <w:color w:val="435F86"/>
        </w:rPr>
      </w:pPr>
    </w:p>
    <w:p>
      <w:pPr>
        <w:ind w:left="1120" w:right="359" w:hanging="337"/>
        <w:spacing w:after="0" w:line="277" w:lineRule="auto"/>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administers and executes discretionary authority over the issuance of equity awards under our equity incentive plan;</w:t>
      </w:r>
    </w:p>
    <w:p>
      <w:pPr>
        <w:spacing w:after="0" w:line="39" w:lineRule="exact"/>
        <w:rPr>
          <w:rFonts w:ascii="Arial" w:cs="Arial" w:eastAsia="Arial" w:hAnsi="Arial"/>
          <w:sz w:val="21"/>
          <w:szCs w:val="21"/>
          <w:color w:val="435F86"/>
        </w:rPr>
      </w:pPr>
    </w:p>
    <w:p>
      <w:pPr>
        <w:ind w:left="1120" w:hanging="337"/>
        <w:spacing w:after="0"/>
        <w:tabs>
          <w:tab w:leader="none" w:pos="1120" w:val="left"/>
        </w:tabs>
        <w:numPr>
          <w:ilvl w:val="0"/>
          <w:numId w:val="20"/>
        </w:numPr>
        <w:rPr>
          <w:rFonts w:ascii="Arial" w:cs="Arial" w:eastAsia="Arial" w:hAnsi="Arial"/>
          <w:sz w:val="20"/>
          <w:szCs w:val="20"/>
          <w:color w:val="435F86"/>
        </w:rPr>
      </w:pPr>
      <w:r>
        <w:rPr>
          <w:rFonts w:ascii="Arial" w:cs="Arial" w:eastAsia="Arial" w:hAnsi="Arial"/>
          <w:sz w:val="20"/>
          <w:szCs w:val="20"/>
          <w:color w:val="auto"/>
        </w:rPr>
        <w:t>evaluates any applicable post-service arrangements for our CEO and other executive officers;</w:t>
      </w:r>
    </w:p>
    <w:p>
      <w:pPr>
        <w:spacing w:after="0" w:line="107" w:lineRule="exact"/>
        <w:rPr>
          <w:rFonts w:ascii="Arial" w:cs="Arial" w:eastAsia="Arial" w:hAnsi="Arial"/>
          <w:sz w:val="20"/>
          <w:szCs w:val="20"/>
          <w:color w:val="435F86"/>
        </w:rPr>
      </w:pPr>
    </w:p>
    <w:p>
      <w:pPr>
        <w:ind w:left="1120" w:hanging="337"/>
        <w:spacing w:after="0"/>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administers the Clawback Policy (as defined below);</w:t>
      </w:r>
    </w:p>
    <w:p>
      <w:pPr>
        <w:spacing w:after="0" w:line="108" w:lineRule="exact"/>
        <w:rPr>
          <w:rFonts w:ascii="Arial" w:cs="Arial" w:eastAsia="Arial" w:hAnsi="Arial"/>
          <w:sz w:val="21"/>
          <w:szCs w:val="21"/>
          <w:color w:val="435F86"/>
        </w:rPr>
      </w:pPr>
    </w:p>
    <w:p>
      <w:pPr>
        <w:ind w:left="1120" w:right="1099" w:hanging="337"/>
        <w:spacing w:after="0" w:line="277" w:lineRule="auto"/>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ensures our executive team and non-employee directors are complying with our stock ownership guidelines;</w:t>
      </w:r>
    </w:p>
    <w:p>
      <w:pPr>
        <w:spacing w:after="0" w:line="26" w:lineRule="exact"/>
        <w:rPr>
          <w:rFonts w:ascii="Arial" w:cs="Arial" w:eastAsia="Arial" w:hAnsi="Arial"/>
          <w:sz w:val="21"/>
          <w:szCs w:val="21"/>
          <w:color w:val="435F86"/>
        </w:rPr>
      </w:pPr>
    </w:p>
    <w:p>
      <w:pPr>
        <w:ind w:left="1120" w:right="379" w:hanging="337"/>
        <w:spacing w:after="0" w:line="261" w:lineRule="auto"/>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reviews on a periodic basis the operation and structure of our compensation program, considering our business strategy, the results of any most recent Say-on-Pay vote and relative competitiveness against the market;</w:t>
      </w:r>
    </w:p>
    <w:p>
      <w:pPr>
        <w:spacing w:after="0" w:line="42" w:lineRule="exact"/>
        <w:rPr>
          <w:rFonts w:ascii="Arial" w:cs="Arial" w:eastAsia="Arial" w:hAnsi="Arial"/>
          <w:sz w:val="21"/>
          <w:szCs w:val="21"/>
          <w:color w:val="435F86"/>
        </w:rPr>
      </w:pPr>
    </w:p>
    <w:p>
      <w:pPr>
        <w:ind w:left="1120" w:hanging="337"/>
        <w:spacing w:after="0"/>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advises the Board with respect to our Board and Board committee compensation;</w:t>
      </w:r>
    </w:p>
    <w:p>
      <w:pPr>
        <w:spacing w:after="0" w:line="108" w:lineRule="exact"/>
        <w:rPr>
          <w:rFonts w:ascii="Arial" w:cs="Arial" w:eastAsia="Arial" w:hAnsi="Arial"/>
          <w:sz w:val="21"/>
          <w:szCs w:val="21"/>
          <w:color w:val="435F86"/>
        </w:rPr>
      </w:pPr>
    </w:p>
    <w:p>
      <w:pPr>
        <w:ind w:left="1120" w:right="619" w:hanging="337"/>
        <w:spacing w:after="0" w:line="294" w:lineRule="auto"/>
        <w:tabs>
          <w:tab w:leader="none" w:pos="1120" w:val="left"/>
        </w:tabs>
        <w:numPr>
          <w:ilvl w:val="0"/>
          <w:numId w:val="20"/>
        </w:numPr>
        <w:rPr>
          <w:rFonts w:ascii="Arial" w:cs="Arial" w:eastAsia="Arial" w:hAnsi="Arial"/>
          <w:sz w:val="19"/>
          <w:szCs w:val="19"/>
          <w:color w:val="435F86"/>
        </w:rPr>
      </w:pPr>
      <w:r>
        <w:rPr>
          <w:rFonts w:ascii="Arial" w:cs="Arial" w:eastAsia="Arial" w:hAnsi="Arial"/>
          <w:sz w:val="19"/>
          <w:szCs w:val="19"/>
          <w:color w:val="auto"/>
        </w:rPr>
        <w:t>produces the Leadership Development and Compensation Committee Report on executive officer compensation and reviews and discusses with management the “Compensation Discussion and Analysis” section proposed for inclusion in our SEC filings; and</w:t>
      </w:r>
    </w:p>
    <w:p>
      <w:pPr>
        <w:spacing w:after="0" w:line="27" w:lineRule="exact"/>
        <w:rPr>
          <w:rFonts w:ascii="Arial" w:cs="Arial" w:eastAsia="Arial" w:hAnsi="Arial"/>
          <w:sz w:val="19"/>
          <w:szCs w:val="19"/>
          <w:color w:val="435F86"/>
        </w:rPr>
      </w:pPr>
    </w:p>
    <w:p>
      <w:pPr>
        <w:ind w:left="1120" w:right="1139" w:hanging="337"/>
        <w:spacing w:after="0" w:line="277" w:lineRule="auto"/>
        <w:tabs>
          <w:tab w:leader="none" w:pos="1120" w:val="left"/>
        </w:tabs>
        <w:numPr>
          <w:ilvl w:val="0"/>
          <w:numId w:val="20"/>
        </w:numPr>
        <w:rPr>
          <w:rFonts w:ascii="Arial" w:cs="Arial" w:eastAsia="Arial" w:hAnsi="Arial"/>
          <w:sz w:val="21"/>
          <w:szCs w:val="21"/>
          <w:color w:val="435F86"/>
        </w:rPr>
      </w:pPr>
      <w:r>
        <w:rPr>
          <w:rFonts w:ascii="Arial" w:cs="Arial" w:eastAsia="Arial" w:hAnsi="Arial"/>
          <w:sz w:val="21"/>
          <w:szCs w:val="21"/>
          <w:color w:val="auto"/>
        </w:rPr>
        <w:t>oversees short-term and long-term management succession planning and leadership assessment and development.</w:t>
      </w:r>
    </w:p>
    <w:p>
      <w:pPr>
        <w:spacing w:after="0" w:line="130" w:lineRule="exact"/>
        <w:rPr>
          <w:sz w:val="20"/>
          <w:szCs w:val="20"/>
          <w:color w:val="auto"/>
        </w:rPr>
      </w:pPr>
    </w:p>
    <w:p>
      <w:pPr>
        <w:ind w:left="780" w:right="319"/>
        <w:spacing w:after="0" w:line="261" w:lineRule="auto"/>
        <w:rPr>
          <w:sz w:val="20"/>
          <w:szCs w:val="20"/>
          <w:color w:val="auto"/>
        </w:rPr>
      </w:pPr>
      <w:r>
        <w:rPr>
          <w:rFonts w:ascii="Arial" w:cs="Arial" w:eastAsia="Arial" w:hAnsi="Arial"/>
          <w:sz w:val="21"/>
          <w:szCs w:val="21"/>
          <w:color w:val="auto"/>
        </w:rPr>
        <w:t>The LDC Committee met five times in 2024. The members of the LDC Committee are Mr. Neary (chair), Mr. Mihas and Mr. Simon. Each member of the LDC committee is “independent” as defined under the Nasdaq rules.</w:t>
      </w:r>
    </w:p>
    <w:p>
      <w:pPr>
        <w:spacing w:after="0" w:line="147" w:lineRule="exact"/>
        <w:rPr>
          <w:sz w:val="20"/>
          <w:szCs w:val="20"/>
          <w:color w:val="auto"/>
        </w:rPr>
      </w:pPr>
    </w:p>
    <w:p>
      <w:pPr>
        <w:ind w:left="780" w:right="299"/>
        <w:spacing w:after="0" w:line="277" w:lineRule="auto"/>
        <w:rPr>
          <w:sz w:val="20"/>
          <w:szCs w:val="20"/>
          <w:color w:val="auto"/>
        </w:rPr>
      </w:pPr>
      <w:r>
        <w:rPr>
          <w:rFonts w:ascii="Arial" w:cs="Arial" w:eastAsia="Arial" w:hAnsi="Arial"/>
          <w:sz w:val="21"/>
          <w:szCs w:val="21"/>
          <w:color w:val="auto"/>
        </w:rPr>
        <w:t>Our LDC Committee operates under a written charter, which is available under the Governance tab on our Investor Relations website at https://investors.soterahealth.com/.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288925</wp:posOffset>
            </wp:positionV>
            <wp:extent cx="494665" cy="165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165735</wp:posOffset>
            </wp:positionV>
            <wp:extent cx="553847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Committees of the Board of Directors</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Nominating and Corporate Governance Committee</w:t>
      </w:r>
    </w:p>
    <w:p>
      <w:pPr>
        <w:spacing w:after="0" w:line="162" w:lineRule="exact"/>
        <w:rPr>
          <w:sz w:val="20"/>
          <w:szCs w:val="20"/>
          <w:color w:val="auto"/>
        </w:rPr>
      </w:pPr>
    </w:p>
    <w:p>
      <w:pPr>
        <w:ind w:left="780" w:right="840"/>
        <w:spacing w:after="0" w:line="288" w:lineRule="auto"/>
        <w:rPr>
          <w:sz w:val="20"/>
          <w:szCs w:val="20"/>
          <w:color w:val="auto"/>
        </w:rPr>
      </w:pPr>
      <w:r>
        <w:rPr>
          <w:rFonts w:ascii="Arial" w:cs="Arial" w:eastAsia="Arial" w:hAnsi="Arial"/>
          <w:sz w:val="19"/>
          <w:szCs w:val="19"/>
          <w:color w:val="auto"/>
        </w:rPr>
        <w:t>The NCG Committee’s main purposes are to identify and evaluate individuals qualified to become Board members consistent with criteria the Board approved, to recommend for the Board’s approval the slate of nominees for proposal to shareholders for election to the Board, to develop and recommend to the Board for approval a set of Corporate Governance Guidelines, to lead the annual review of the performance of the Board and each of its standing committees, and to oversee our program related to corporate responsibility. In carrying out these purposes, the NCG Committee:</w:t>
      </w:r>
    </w:p>
    <w:p>
      <w:pPr>
        <w:spacing w:after="0" w:line="49" w:lineRule="exact"/>
        <w:rPr>
          <w:sz w:val="20"/>
          <w:szCs w:val="20"/>
          <w:color w:val="auto"/>
        </w:rPr>
      </w:pPr>
    </w:p>
    <w:p>
      <w:pPr>
        <w:ind w:left="1120" w:right="1080" w:hanging="337"/>
        <w:spacing w:after="0" w:line="254" w:lineRule="auto"/>
        <w:tabs>
          <w:tab w:leader="none" w:pos="1120" w:val="left"/>
        </w:tabs>
        <w:numPr>
          <w:ilvl w:val="0"/>
          <w:numId w:val="21"/>
        </w:numPr>
        <w:rPr>
          <w:rFonts w:ascii="Arial" w:cs="Arial" w:eastAsia="Arial" w:hAnsi="Arial"/>
          <w:sz w:val="21"/>
          <w:szCs w:val="21"/>
          <w:color w:val="435F86"/>
        </w:rPr>
      </w:pPr>
      <w:r>
        <w:rPr>
          <w:rFonts w:ascii="Arial" w:cs="Arial" w:eastAsia="Arial" w:hAnsi="Arial"/>
          <w:sz w:val="21"/>
          <w:szCs w:val="21"/>
          <w:color w:val="auto"/>
        </w:rPr>
        <w:t>evaluates the composition, size, organization, performance and governance of the Board and each of its committees, and makes recommendations to the Board about the appointment of directors to committees of the Board;</w:t>
      </w:r>
    </w:p>
    <w:p>
      <w:pPr>
        <w:spacing w:after="0" w:line="76" w:lineRule="exact"/>
        <w:rPr>
          <w:rFonts w:ascii="Arial" w:cs="Arial" w:eastAsia="Arial" w:hAnsi="Arial"/>
          <w:sz w:val="21"/>
          <w:szCs w:val="21"/>
          <w:color w:val="435F86"/>
        </w:rPr>
      </w:pPr>
    </w:p>
    <w:p>
      <w:pPr>
        <w:ind w:left="1120" w:right="1320" w:hanging="337"/>
        <w:spacing w:after="0" w:line="261" w:lineRule="auto"/>
        <w:tabs>
          <w:tab w:leader="none" w:pos="1120" w:val="left"/>
        </w:tabs>
        <w:numPr>
          <w:ilvl w:val="0"/>
          <w:numId w:val="21"/>
        </w:numPr>
        <w:rPr>
          <w:rFonts w:ascii="Arial" w:cs="Arial" w:eastAsia="Arial" w:hAnsi="Arial"/>
          <w:sz w:val="21"/>
          <w:szCs w:val="21"/>
          <w:color w:val="435F86"/>
        </w:rPr>
      </w:pPr>
      <w:r>
        <w:rPr>
          <w:rFonts w:ascii="Arial" w:cs="Arial" w:eastAsia="Arial" w:hAnsi="Arial"/>
          <w:sz w:val="21"/>
          <w:szCs w:val="21"/>
          <w:color w:val="auto"/>
        </w:rPr>
        <w:t>monitors developments and oversees our practices and policies related to corporate responsibility and sustainability, including environmental, social, and corporate governance issues;</w:t>
      </w:r>
    </w:p>
    <w:p>
      <w:pPr>
        <w:spacing w:after="0" w:line="68" w:lineRule="exact"/>
        <w:rPr>
          <w:rFonts w:ascii="Arial" w:cs="Arial" w:eastAsia="Arial" w:hAnsi="Arial"/>
          <w:sz w:val="21"/>
          <w:szCs w:val="21"/>
          <w:color w:val="435F86"/>
        </w:rPr>
      </w:pPr>
    </w:p>
    <w:p>
      <w:pPr>
        <w:ind w:left="1120" w:hanging="337"/>
        <w:spacing w:after="0"/>
        <w:tabs>
          <w:tab w:leader="none" w:pos="1120" w:val="left"/>
        </w:tabs>
        <w:numPr>
          <w:ilvl w:val="0"/>
          <w:numId w:val="21"/>
        </w:numPr>
        <w:rPr>
          <w:rFonts w:ascii="Arial" w:cs="Arial" w:eastAsia="Arial" w:hAnsi="Arial"/>
          <w:sz w:val="21"/>
          <w:szCs w:val="21"/>
          <w:color w:val="435F86"/>
        </w:rPr>
      </w:pPr>
      <w:r>
        <w:rPr>
          <w:rFonts w:ascii="Arial" w:cs="Arial" w:eastAsia="Arial" w:hAnsi="Arial"/>
          <w:sz w:val="21"/>
          <w:szCs w:val="21"/>
          <w:color w:val="auto"/>
        </w:rPr>
        <w:t>develops policies and criteria for considering director nominees for election to the Board;</w:t>
      </w:r>
    </w:p>
    <w:p>
      <w:pPr>
        <w:spacing w:after="0" w:line="121" w:lineRule="exact"/>
        <w:rPr>
          <w:rFonts w:ascii="Arial" w:cs="Arial" w:eastAsia="Arial" w:hAnsi="Arial"/>
          <w:sz w:val="21"/>
          <w:szCs w:val="21"/>
          <w:color w:val="435F86"/>
        </w:rPr>
      </w:pPr>
    </w:p>
    <w:p>
      <w:pPr>
        <w:ind w:left="1120" w:hanging="337"/>
        <w:spacing w:after="0"/>
        <w:tabs>
          <w:tab w:leader="none" w:pos="1120" w:val="left"/>
        </w:tabs>
        <w:numPr>
          <w:ilvl w:val="0"/>
          <w:numId w:val="21"/>
        </w:numPr>
        <w:rPr>
          <w:rFonts w:ascii="Arial" w:cs="Arial" w:eastAsia="Arial" w:hAnsi="Arial"/>
          <w:sz w:val="21"/>
          <w:szCs w:val="21"/>
          <w:color w:val="435F86"/>
        </w:rPr>
      </w:pPr>
      <w:r>
        <w:rPr>
          <w:rFonts w:ascii="Arial" w:cs="Arial" w:eastAsia="Arial" w:hAnsi="Arial"/>
          <w:sz w:val="21"/>
          <w:szCs w:val="21"/>
          <w:color w:val="auto"/>
        </w:rPr>
        <w:t>engages in regular succession planning for the Board and its committees;</w:t>
      </w:r>
    </w:p>
    <w:p>
      <w:pPr>
        <w:spacing w:after="0" w:line="121" w:lineRule="exact"/>
        <w:rPr>
          <w:rFonts w:ascii="Arial" w:cs="Arial" w:eastAsia="Arial" w:hAnsi="Arial"/>
          <w:sz w:val="21"/>
          <w:szCs w:val="21"/>
          <w:color w:val="435F86"/>
        </w:rPr>
      </w:pPr>
    </w:p>
    <w:p>
      <w:pPr>
        <w:ind w:left="1120" w:hanging="337"/>
        <w:spacing w:after="0"/>
        <w:tabs>
          <w:tab w:leader="none" w:pos="1120" w:val="left"/>
        </w:tabs>
        <w:numPr>
          <w:ilvl w:val="0"/>
          <w:numId w:val="21"/>
        </w:numPr>
        <w:rPr>
          <w:rFonts w:ascii="Arial" w:cs="Arial" w:eastAsia="Arial" w:hAnsi="Arial"/>
          <w:sz w:val="21"/>
          <w:szCs w:val="21"/>
          <w:color w:val="435F86"/>
        </w:rPr>
      </w:pPr>
      <w:r>
        <w:rPr>
          <w:rFonts w:ascii="Arial" w:cs="Arial" w:eastAsia="Arial" w:hAnsi="Arial"/>
          <w:sz w:val="21"/>
          <w:szCs w:val="21"/>
          <w:color w:val="auto"/>
        </w:rPr>
        <w:t>oversees and conducts director independence determinations; and</w:t>
      </w:r>
    </w:p>
    <w:p>
      <w:pPr>
        <w:spacing w:after="0" w:line="134" w:lineRule="exact"/>
        <w:rPr>
          <w:rFonts w:ascii="Arial" w:cs="Arial" w:eastAsia="Arial" w:hAnsi="Arial"/>
          <w:sz w:val="21"/>
          <w:szCs w:val="21"/>
          <w:color w:val="435F86"/>
        </w:rPr>
      </w:pPr>
    </w:p>
    <w:p>
      <w:pPr>
        <w:ind w:left="1120" w:right="860" w:hanging="337"/>
        <w:spacing w:after="0" w:line="264" w:lineRule="auto"/>
        <w:tabs>
          <w:tab w:leader="none" w:pos="1120" w:val="left"/>
        </w:tabs>
        <w:numPr>
          <w:ilvl w:val="0"/>
          <w:numId w:val="21"/>
        </w:numPr>
        <w:rPr>
          <w:rFonts w:ascii="Arial" w:cs="Arial" w:eastAsia="Arial" w:hAnsi="Arial"/>
          <w:sz w:val="21"/>
          <w:szCs w:val="21"/>
          <w:color w:val="435F86"/>
        </w:rPr>
      </w:pPr>
      <w:r>
        <w:rPr>
          <w:rFonts w:ascii="Arial" w:cs="Arial" w:eastAsia="Arial" w:hAnsi="Arial"/>
          <w:sz w:val="21"/>
          <w:szCs w:val="21"/>
          <w:color w:val="auto"/>
        </w:rPr>
        <w:t>oversees compliance with the Corporate Governance Guidelines and reviews and recommends any changes to the Board on an annual basis.</w:t>
      </w:r>
    </w:p>
    <w:p>
      <w:pPr>
        <w:spacing w:after="0" w:line="170" w:lineRule="exact"/>
        <w:rPr>
          <w:sz w:val="20"/>
          <w:szCs w:val="20"/>
          <w:color w:val="auto"/>
        </w:rPr>
      </w:pPr>
    </w:p>
    <w:p>
      <w:pPr>
        <w:ind w:left="780" w:right="1160"/>
        <w:spacing w:after="0" w:line="267" w:lineRule="auto"/>
        <w:rPr>
          <w:sz w:val="20"/>
          <w:szCs w:val="20"/>
          <w:color w:val="auto"/>
        </w:rPr>
      </w:pPr>
      <w:r>
        <w:rPr>
          <w:rFonts w:ascii="Arial" w:cs="Arial" w:eastAsia="Arial" w:hAnsi="Arial"/>
          <w:sz w:val="21"/>
          <w:szCs w:val="21"/>
          <w:color w:val="auto"/>
        </w:rPr>
        <w:t>The NCG Committee met five times in 2024. The members of the NCG Committee are Ms. Klee (chair), Mr. Chen, Mr. Cunningham and Dr. Wheadon. Each member of the Committee is “independent” as defined under the Nasdaq rules.</w:t>
      </w:r>
    </w:p>
    <w:p>
      <w:pPr>
        <w:spacing w:after="0" w:line="155" w:lineRule="exact"/>
        <w:rPr>
          <w:sz w:val="20"/>
          <w:szCs w:val="20"/>
          <w:color w:val="auto"/>
        </w:rPr>
      </w:pPr>
    </w:p>
    <w:p>
      <w:pPr>
        <w:ind w:left="780" w:right="880"/>
        <w:spacing w:after="0" w:line="277" w:lineRule="auto"/>
        <w:rPr>
          <w:sz w:val="20"/>
          <w:szCs w:val="20"/>
          <w:color w:val="auto"/>
        </w:rPr>
      </w:pPr>
      <w:r>
        <w:rPr>
          <w:rFonts w:ascii="Arial" w:cs="Arial" w:eastAsia="Arial" w:hAnsi="Arial"/>
          <w:sz w:val="21"/>
          <w:szCs w:val="21"/>
          <w:color w:val="auto"/>
        </w:rPr>
        <w:t>Our NCG Committee operates under a written charter, which is available under the Governance tab on our Investor Relations website at https://investors.soterahealth.com/.</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EO Litigation Committee</w:t>
      </w:r>
    </w:p>
    <w:p>
      <w:pPr>
        <w:spacing w:after="0" w:line="162" w:lineRule="exact"/>
        <w:rPr>
          <w:sz w:val="20"/>
          <w:szCs w:val="20"/>
          <w:color w:val="auto"/>
        </w:rPr>
      </w:pPr>
    </w:p>
    <w:p>
      <w:pPr>
        <w:ind w:left="780" w:right="900"/>
        <w:spacing w:after="0" w:line="289" w:lineRule="auto"/>
        <w:rPr>
          <w:sz w:val="20"/>
          <w:szCs w:val="20"/>
          <w:color w:val="auto"/>
        </w:rPr>
      </w:pPr>
      <w:r>
        <w:rPr>
          <w:rFonts w:ascii="Arial" w:cs="Arial" w:eastAsia="Arial" w:hAnsi="Arial"/>
          <w:sz w:val="19"/>
          <w:szCs w:val="19"/>
          <w:color w:val="auto"/>
        </w:rPr>
        <w:t>The EO Litigation Committee was formed in October 2022 to oversee the Company’s management of litigation involving EO. The EO Litigation Committee monitors litigation developments, oversees our overall litigation strategy and reports to and makes recommendations to the Board as may be warranted. The EO Litigation Committee met five times in 2024. The members of the EO Litigation Committee are Mr. Cunningham, Ms. Klee, Mr. Knauss and Mr. Petrella.</w:t>
      </w:r>
    </w:p>
    <w:p>
      <w:pPr>
        <w:spacing w:after="0" w:line="122" w:lineRule="exact"/>
        <w:rPr>
          <w:sz w:val="20"/>
          <w:szCs w:val="20"/>
          <w:color w:val="auto"/>
        </w:rPr>
      </w:pPr>
    </w:p>
    <w:p>
      <w:pPr>
        <w:ind w:left="780"/>
        <w:spacing w:after="0"/>
        <w:rPr>
          <w:sz w:val="20"/>
          <w:szCs w:val="20"/>
          <w:color w:val="auto"/>
        </w:rPr>
      </w:pPr>
      <w:r>
        <w:rPr>
          <w:rFonts w:ascii="Arial" w:cs="Arial" w:eastAsia="Arial" w:hAnsi="Arial"/>
          <w:sz w:val="28"/>
          <w:szCs w:val="28"/>
          <w:color w:val="auto"/>
        </w:rPr>
        <w:t>Nordion Pricing Committee</w:t>
      </w:r>
    </w:p>
    <w:p>
      <w:pPr>
        <w:spacing w:after="0" w:line="162" w:lineRule="exact"/>
        <w:rPr>
          <w:sz w:val="20"/>
          <w:szCs w:val="20"/>
          <w:color w:val="auto"/>
        </w:rPr>
      </w:pPr>
    </w:p>
    <w:p>
      <w:pPr>
        <w:ind w:left="780" w:right="820"/>
        <w:spacing w:after="0" w:line="256" w:lineRule="auto"/>
        <w:rPr>
          <w:sz w:val="20"/>
          <w:szCs w:val="20"/>
          <w:color w:val="auto"/>
        </w:rPr>
      </w:pPr>
      <w:r>
        <w:rPr>
          <w:rFonts w:ascii="Arial" w:cs="Arial" w:eastAsia="Arial" w:hAnsi="Arial"/>
          <w:sz w:val="21"/>
          <w:szCs w:val="21"/>
          <w:color w:val="auto"/>
        </w:rPr>
        <w:t>The Nordion Pricing Committee oversees matters related to Nordion’s pricing that implicate sensitive or confidential customer information. The main purpose of the Nordion Pricing Committee is to prevent confidential information relating to Nordion’s customers from being shared with individuals involved in the day-to-day operations of Sterigenics. The Nordion Pricing Committee met three times in 2024. The members of the Nordion Pricing Committee are Mr. Chen, Mr. Cunningham, Ms. Flynn and Mr. Petrella.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131445</wp:posOffset>
            </wp:positionV>
            <wp:extent cx="553847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26</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Committees of the Board of Directors</w:t>
      </w:r>
    </w:p>
    <w:p>
      <w:pPr>
        <w:spacing w:after="0" w:line="213" w:lineRule="exact"/>
        <w:rPr>
          <w:sz w:val="20"/>
          <w:szCs w:val="20"/>
          <w:color w:val="auto"/>
        </w:rPr>
      </w:pPr>
    </w:p>
    <w:p>
      <w:pPr>
        <w:ind w:left="780"/>
        <w:spacing w:after="0"/>
        <w:rPr>
          <w:sz w:val="20"/>
          <w:szCs w:val="20"/>
          <w:color w:val="auto"/>
        </w:rPr>
      </w:pPr>
      <w:r>
        <w:rPr>
          <w:rFonts w:ascii="Arial" w:cs="Arial" w:eastAsia="Arial" w:hAnsi="Arial"/>
          <w:sz w:val="35"/>
          <w:szCs w:val="35"/>
          <w:b w:val="1"/>
          <w:bCs w:val="1"/>
          <w:color w:val="auto"/>
        </w:rPr>
        <w:t>Corporate Governance Policies and Practices</w:t>
      </w:r>
    </w:p>
    <w:p>
      <w:pPr>
        <w:spacing w:after="0" w:line="15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Corporate Governance Guidelines</w:t>
      </w:r>
    </w:p>
    <w:p>
      <w:pPr>
        <w:spacing w:after="0" w:line="202" w:lineRule="exact"/>
        <w:rPr>
          <w:sz w:val="20"/>
          <w:szCs w:val="20"/>
          <w:color w:val="auto"/>
        </w:rPr>
      </w:pPr>
    </w:p>
    <w:p>
      <w:pPr>
        <w:ind w:left="780" w:right="239"/>
        <w:spacing w:after="0"/>
        <w:rPr>
          <w:sz w:val="20"/>
          <w:szCs w:val="20"/>
          <w:color w:val="auto"/>
        </w:rPr>
      </w:pPr>
      <w:r>
        <w:rPr>
          <w:rFonts w:ascii="Arial" w:cs="Arial" w:eastAsia="Arial" w:hAnsi="Arial"/>
          <w:sz w:val="21"/>
          <w:szCs w:val="21"/>
          <w:color w:val="auto"/>
        </w:rPr>
        <w:t>The NCG Committee is responsible for reviewing our Corporate Governance Guidelines annually and recommending changes to the Board as the NCG Committee deems necessary or appropriate for the Board to discharge its responsibilities more effectively. The full text of our Corporate Governance Guidelines is accessible on under the Governance tab our investor relations website at https://​investors.soterahealth.com/.</w:t>
      </w:r>
    </w:p>
    <w:p>
      <w:pPr>
        <w:spacing w:after="0" w:line="259"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Board and Committee Self-Evaluations</w:t>
      </w:r>
    </w:p>
    <w:p>
      <w:pPr>
        <w:spacing w:after="0" w:line="215" w:lineRule="exact"/>
        <w:rPr>
          <w:sz w:val="20"/>
          <w:szCs w:val="20"/>
          <w:color w:val="auto"/>
        </w:rPr>
      </w:pPr>
    </w:p>
    <w:p>
      <w:pPr>
        <w:ind w:left="780" w:right="299"/>
        <w:spacing w:after="0" w:line="238" w:lineRule="auto"/>
        <w:rPr>
          <w:sz w:val="20"/>
          <w:szCs w:val="20"/>
          <w:color w:val="auto"/>
        </w:rPr>
      </w:pPr>
      <w:r>
        <w:rPr>
          <w:rFonts w:ascii="Arial" w:cs="Arial" w:eastAsia="Arial" w:hAnsi="Arial"/>
          <w:sz w:val="21"/>
          <w:szCs w:val="21"/>
          <w:color w:val="auto"/>
        </w:rPr>
        <w:t>The Board and each standing committee conduct annual self-evaluations. Consistent with its charter, the NCG Committee led the Board self-evaluation process and oversaw the annual evaluation of the performance of each standing committee. The Chair of the NCG Committee reports to the Board conclusions about the effectiveness and performance of the Board and makes recommendations to the Chair and/or the Board regarding proposed changes considered appropriate for the Board’s consideration.</w:t>
      </w:r>
    </w:p>
    <w:p>
      <w:pPr>
        <w:spacing w:after="0" w:line="263"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Code of Business Conduct and Ethics</w:t>
      </w:r>
    </w:p>
    <w:p>
      <w:pPr>
        <w:spacing w:after="0" w:line="215" w:lineRule="exact"/>
        <w:rPr>
          <w:sz w:val="20"/>
          <w:szCs w:val="20"/>
          <w:color w:val="auto"/>
        </w:rPr>
      </w:pPr>
    </w:p>
    <w:p>
      <w:pPr>
        <w:ind w:left="780" w:right="179"/>
        <w:spacing w:after="0" w:line="237" w:lineRule="auto"/>
        <w:rPr>
          <w:sz w:val="20"/>
          <w:szCs w:val="20"/>
          <w:color w:val="auto"/>
        </w:rPr>
      </w:pPr>
      <w:r>
        <w:rPr>
          <w:rFonts w:ascii="Arial" w:cs="Arial" w:eastAsia="Arial" w:hAnsi="Arial"/>
          <w:sz w:val="21"/>
          <w:szCs w:val="21"/>
          <w:color w:val="auto"/>
        </w:rPr>
        <w:t>Our Board has adopted procedures and policies to comply with the Sarbanes-Oxley Act of 2002 and the rules adopted by the SEC and the Nasdaq, including a global code of conduct applicable to all employees, including our CEO, Chief Financial Officer (“CFO”) and other executive and senior financial officers and all persons performing similar functions. Our global code of conduct is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65"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Promoting Integrity</w:t>
      </w:r>
    </w:p>
    <w:p>
      <w:pPr>
        <w:spacing w:after="0" w:line="202" w:lineRule="exact"/>
        <w:rPr>
          <w:sz w:val="20"/>
          <w:szCs w:val="20"/>
          <w:color w:val="auto"/>
        </w:rPr>
      </w:pPr>
    </w:p>
    <w:p>
      <w:pPr>
        <w:ind w:left="780" w:right="219"/>
        <w:spacing w:after="0" w:line="264" w:lineRule="auto"/>
        <w:rPr>
          <w:sz w:val="20"/>
          <w:szCs w:val="20"/>
          <w:color w:val="auto"/>
        </w:rPr>
      </w:pPr>
      <w:r>
        <w:rPr>
          <w:rFonts w:ascii="Arial" w:cs="Arial" w:eastAsia="Arial" w:hAnsi="Arial"/>
          <w:sz w:val="19"/>
          <w:szCs w:val="19"/>
          <w:color w:val="auto"/>
        </w:rPr>
        <w:t>Integrity is one of our core values. We expect the highest standards of integrity from our employees when dealing with customers, suppliers, regulators and each other. If employees do not feel comfortable or are otherwise unable to raise with their manager questions or concerns regarding ethics, compliance with laws, regulations or policies or workplace culture, employees are expected and encouraged to promptly report those questions or concerns on our Global Ethics Line, which is available 24 hours a day, seven days a week to every employee worldwide. Live telephonic assistance is available via a tollfree number with operators available in multiple languages. Reports may also be made via electronic submission through our Global Ethics Line web portal. All reporters have the option of remaining anonymous to the extent permitted by local laws and regulations.</w:t>
      </w:r>
    </w:p>
    <w:p>
      <w:pPr>
        <w:spacing w:after="0" w:line="147" w:lineRule="exact"/>
        <w:rPr>
          <w:sz w:val="20"/>
          <w:szCs w:val="20"/>
          <w:color w:val="auto"/>
        </w:rPr>
      </w:pPr>
    </w:p>
    <w:p>
      <w:pPr>
        <w:ind w:left="780" w:right="199"/>
        <w:spacing w:after="0"/>
        <w:rPr>
          <w:sz w:val="20"/>
          <w:szCs w:val="20"/>
          <w:color w:val="auto"/>
        </w:rPr>
      </w:pPr>
      <w:r>
        <w:rPr>
          <w:rFonts w:ascii="Arial" w:cs="Arial" w:eastAsia="Arial" w:hAnsi="Arial"/>
          <w:sz w:val="21"/>
          <w:szCs w:val="21"/>
          <w:color w:val="auto"/>
        </w:rPr>
        <w:t>Calls to our Global Ethics Line are received by a third-party vendor that promptly reports the issue(s) to our internal investigations team. Pursuant to our whistleblower policy, general reports received via our Global Ethics Line are transmitted to an internal review team from the legal department, Human Resources or internal audit. Reports relating to potential fraud or errors in the preparation or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313055</wp:posOffset>
            </wp:positionV>
            <wp:extent cx="494665" cy="165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189230</wp:posOffset>
            </wp:positionV>
            <wp:extent cx="553847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Corporate Governance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Promoting Integrity</w:t>
      </w:r>
    </w:p>
    <w:p>
      <w:pPr>
        <w:spacing w:after="0" w:line="238" w:lineRule="exact"/>
        <w:rPr>
          <w:sz w:val="20"/>
          <w:szCs w:val="20"/>
          <w:color w:val="auto"/>
        </w:rPr>
      </w:pPr>
    </w:p>
    <w:p>
      <w:pPr>
        <w:ind w:left="780" w:right="820"/>
        <w:spacing w:after="0" w:line="249" w:lineRule="auto"/>
        <w:rPr>
          <w:sz w:val="20"/>
          <w:szCs w:val="20"/>
          <w:color w:val="auto"/>
        </w:rPr>
      </w:pPr>
      <w:r>
        <w:rPr>
          <w:rFonts w:ascii="Arial" w:cs="Arial" w:eastAsia="Arial" w:hAnsi="Arial"/>
          <w:sz w:val="21"/>
          <w:szCs w:val="21"/>
          <w:color w:val="auto"/>
        </w:rPr>
        <w:t>of the Company’s financial condition are referred to an internal review team composed of at least the General Counsel, CFO and another member of the Company’s disclosure committee. Any reports raising a potentially material issue are promptly shared with the Chair of the Audit Committee. Our General Counsel also reports to the Audit Committee at least quarterly regarding any significant issues raised through the Global Ethics Line.</w:t>
      </w:r>
    </w:p>
    <w:p>
      <w:pPr>
        <w:spacing w:after="0" w:line="175" w:lineRule="exact"/>
        <w:rPr>
          <w:sz w:val="20"/>
          <w:szCs w:val="20"/>
          <w:color w:val="auto"/>
        </w:rPr>
      </w:pPr>
    </w:p>
    <w:p>
      <w:pPr>
        <w:ind w:left="780" w:right="1160"/>
        <w:spacing w:after="0" w:line="264" w:lineRule="auto"/>
        <w:rPr>
          <w:sz w:val="20"/>
          <w:szCs w:val="20"/>
          <w:color w:val="auto"/>
        </w:rPr>
      </w:pPr>
      <w:r>
        <w:rPr>
          <w:rFonts w:ascii="Arial" w:cs="Arial" w:eastAsia="Arial" w:hAnsi="Arial"/>
          <w:sz w:val="21"/>
          <w:szCs w:val="21"/>
          <w:color w:val="auto"/>
        </w:rPr>
        <w:t>Our whistleblower policy prohibits retaliation against anyone who raises a question or concern or assists in the subsequent investigation of a question or concern.</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Insider Trading Policy</w:t>
      </w:r>
    </w:p>
    <w:p>
      <w:pPr>
        <w:spacing w:after="0" w:line="215" w:lineRule="exact"/>
        <w:rPr>
          <w:sz w:val="20"/>
          <w:szCs w:val="20"/>
          <w:color w:val="auto"/>
        </w:rPr>
      </w:pPr>
    </w:p>
    <w:p>
      <w:pPr>
        <w:ind w:left="780" w:right="980"/>
        <w:spacing w:after="0" w:line="246" w:lineRule="auto"/>
        <w:rPr>
          <w:sz w:val="20"/>
          <w:szCs w:val="20"/>
          <w:color w:val="auto"/>
        </w:rPr>
      </w:pPr>
      <w:r>
        <w:rPr>
          <w:rFonts w:ascii="Arial" w:cs="Arial" w:eastAsia="Arial" w:hAnsi="Arial"/>
          <w:sz w:val="21"/>
          <w:szCs w:val="21"/>
          <w:color w:val="auto"/>
        </w:rPr>
        <w:t>We maintain an insider trading policy applicable to our directors, executive officers and other employees, and have implemented processes for the Company, that we believe are reasonably designed to promote compliance with insider trading laws, rules and regulations, including Nasdaq rules, in connection with the purchase, sale, and or other dispositions of Company securities or the securities of other companies with which we do business.</w:t>
      </w:r>
    </w:p>
    <w:p>
      <w:pPr>
        <w:spacing w:after="0" w:line="268"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Communications with the Board</w:t>
      </w:r>
    </w:p>
    <w:p>
      <w:pPr>
        <w:spacing w:after="0" w:line="215" w:lineRule="exact"/>
        <w:rPr>
          <w:sz w:val="20"/>
          <w:szCs w:val="20"/>
          <w:color w:val="auto"/>
        </w:rPr>
      </w:pPr>
    </w:p>
    <w:p>
      <w:pPr>
        <w:ind w:left="780" w:right="800"/>
        <w:spacing w:after="0" w:line="258" w:lineRule="auto"/>
        <w:rPr>
          <w:sz w:val="20"/>
          <w:szCs w:val="20"/>
          <w:color w:val="auto"/>
        </w:rPr>
      </w:pPr>
      <w:r>
        <w:rPr>
          <w:rFonts w:ascii="Arial" w:cs="Arial" w:eastAsia="Arial" w:hAnsi="Arial"/>
          <w:sz w:val="20"/>
          <w:szCs w:val="20"/>
          <w:color w:val="auto"/>
        </w:rPr>
        <w:t>Any interested parties wishing to communicate with, or otherwise make their concerns known directly to the Board, a Board committee, or to individual directors regarding matters related to the duties and responsibilities of the Board may do so by addressing such communications or concerns to board@soterahealth.com. The Corporate Secretary reviews all communications sent to the Board and relays inquiries relating to the functions of the Board or a Board committee to the Board, a board committee or to individual directors as may be appropriate. The Corporate Secretary will not relay inquiries unrelated to the duties and responsibilities of the Board or its committees, including complaints, solicitations, advertisements, resumes or other employment inquiries, service or product inquiries, or materials that are threatening or illegal.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2386965</wp:posOffset>
            </wp:positionV>
            <wp:extent cx="553847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28</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Non-Employee Director Compensation</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2024 Director Compensation Table</w:t>
      </w:r>
    </w:p>
    <w:p>
      <w:pPr>
        <w:spacing w:after="0" w:line="209" w:lineRule="exact"/>
        <w:rPr>
          <w:sz w:val="20"/>
          <w:szCs w:val="20"/>
          <w:color w:val="auto"/>
        </w:rPr>
      </w:pPr>
    </w:p>
    <w:p>
      <w:pPr>
        <w:ind w:left="780" w:right="3399"/>
        <w:spacing w:after="0" w:line="281" w:lineRule="auto"/>
        <w:rPr>
          <w:sz w:val="20"/>
          <w:szCs w:val="20"/>
          <w:color w:val="auto"/>
        </w:rPr>
      </w:pPr>
      <w:r>
        <w:rPr>
          <w:rFonts w:ascii="Arial" w:cs="Arial" w:eastAsia="Arial" w:hAnsi="Arial"/>
          <w:sz w:val="40"/>
          <w:szCs w:val="40"/>
          <w:b w:val="1"/>
          <w:bCs w:val="1"/>
          <w:color w:val="28B5DE"/>
        </w:rPr>
        <w:t>NON-EMPLOYEE DIRECTOR COMPENSATION</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Director Compensation Table</w:t>
      </w:r>
    </w:p>
    <w:p>
      <w:pPr>
        <w:spacing w:after="0" w:line="215" w:lineRule="exact"/>
        <w:rPr>
          <w:sz w:val="20"/>
          <w:szCs w:val="20"/>
          <w:color w:val="auto"/>
        </w:rPr>
      </w:pPr>
    </w:p>
    <w:p>
      <w:pPr>
        <w:ind w:left="780" w:right="259"/>
        <w:spacing w:after="0" w:line="271" w:lineRule="auto"/>
        <w:rPr>
          <w:sz w:val="20"/>
          <w:szCs w:val="20"/>
          <w:color w:val="auto"/>
        </w:rPr>
      </w:pPr>
      <w:r>
        <w:rPr>
          <w:rFonts w:ascii="Arial" w:cs="Arial" w:eastAsia="Arial" w:hAnsi="Arial"/>
          <w:sz w:val="20"/>
          <w:szCs w:val="20"/>
          <w:color w:val="auto"/>
        </w:rPr>
        <w:t>The following table sets forth information regarding the compensation earned by or paid to each person who served as a non-employee director of our Board during 2024. We reimburse directors for reasonable out-of-pocket expenses incurred in connection with their service to the Board and covered such expenses in 2024. Mr. Petras, our Chairman and CEO, receives no compensation for his service as a director and is not included in this table. The compensation Mr. Petras received as CEO is presented in the Summary Compensation Table.</w:t>
      </w:r>
    </w:p>
    <w:p>
      <w:pPr>
        <w:spacing w:after="0" w:line="269" w:lineRule="exact"/>
        <w:rPr>
          <w:sz w:val="20"/>
          <w:szCs w:val="20"/>
          <w:color w:val="auto"/>
        </w:rPr>
      </w:pPr>
    </w:p>
    <w:tbl>
      <w:tblPr>
        <w:tblLayout w:type="fixed"/>
        <w:tblInd w:w="780" w:type="dxa"/>
        <w:tblCellMar>
          <w:top w:w="0" w:type="dxa"/>
          <w:left w:w="0" w:type="dxa"/>
          <w:bottom w:w="0" w:type="dxa"/>
          <w:right w:w="0" w:type="dxa"/>
        </w:tblCellMar>
      </w:tblPr>
      <w:tr>
        <w:trPr>
          <w:trHeight w:val="224"/>
        </w:trPr>
        <w:tc>
          <w:tcPr>
            <w:tcW w:w="2080" w:type="dxa"/>
            <w:vAlign w:val="bottom"/>
          </w:tcPr>
          <w:p>
            <w:pPr>
              <w:ind w:left="80"/>
              <w:spacing w:after="0"/>
              <w:rPr>
                <w:sz w:val="20"/>
                <w:szCs w:val="20"/>
                <w:color w:val="auto"/>
              </w:rPr>
            </w:pPr>
            <w:r>
              <w:rPr>
                <w:rFonts w:ascii="Arial" w:cs="Arial" w:eastAsia="Arial" w:hAnsi="Arial"/>
                <w:sz w:val="16"/>
                <w:szCs w:val="16"/>
                <w:b w:val="1"/>
                <w:bCs w:val="1"/>
                <w:color w:val="435F86"/>
              </w:rPr>
              <w:t>Name</w:t>
            </w:r>
          </w:p>
        </w:tc>
        <w:tc>
          <w:tcPr>
            <w:tcW w:w="640" w:type="dxa"/>
            <w:vAlign w:val="bottom"/>
          </w:tcPr>
          <w:p>
            <w:pPr>
              <w:ind w:left="440"/>
              <w:spacing w:after="0"/>
              <w:rPr>
                <w:sz w:val="20"/>
                <w:szCs w:val="20"/>
                <w:color w:val="auto"/>
              </w:rPr>
            </w:pPr>
            <w:r>
              <w:rPr>
                <w:rFonts w:ascii="Arial" w:cs="Arial" w:eastAsia="Arial" w:hAnsi="Arial"/>
                <w:sz w:val="16"/>
                <w:szCs w:val="16"/>
                <w:b w:val="1"/>
                <w:bCs w:val="1"/>
                <w:color w:val="435F86"/>
              </w:rPr>
              <w:t>​</w:t>
            </w:r>
          </w:p>
        </w:tc>
        <w:tc>
          <w:tcPr>
            <w:tcW w:w="300" w:type="dxa"/>
            <w:vAlign w:val="bottom"/>
          </w:tcPr>
          <w:p>
            <w:pPr>
              <w:ind w:left="180"/>
              <w:spacing w:after="0"/>
              <w:rPr>
                <w:sz w:val="20"/>
                <w:szCs w:val="20"/>
                <w:color w:val="auto"/>
              </w:rPr>
            </w:pPr>
            <w:r>
              <w:rPr>
                <w:rFonts w:ascii="Arial" w:cs="Arial" w:eastAsia="Arial" w:hAnsi="Arial"/>
                <w:sz w:val="16"/>
                <w:szCs w:val="16"/>
                <w:b w:val="1"/>
                <w:bCs w:val="1"/>
                <w:color w:val="435F86"/>
              </w:rPr>
              <w:t>​</w:t>
            </w:r>
          </w:p>
        </w:tc>
        <w:tc>
          <w:tcPr>
            <w:tcW w:w="2340" w:type="dxa"/>
            <w:vAlign w:val="bottom"/>
            <w:gridSpan w:val="3"/>
          </w:tcPr>
          <w:p>
            <w:pPr>
              <w:jc w:val="right"/>
              <w:ind w:right="13"/>
              <w:spacing w:after="0"/>
              <w:rPr>
                <w:sz w:val="20"/>
                <w:szCs w:val="20"/>
                <w:color w:val="auto"/>
              </w:rPr>
            </w:pPr>
            <w:r>
              <w:rPr>
                <w:rFonts w:ascii="Arial" w:cs="Arial" w:eastAsia="Arial" w:hAnsi="Arial"/>
                <w:sz w:val="16"/>
                <w:szCs w:val="16"/>
                <w:b w:val="1"/>
                <w:bCs w:val="1"/>
                <w:color w:val="435F86"/>
                <w:w w:val="94"/>
              </w:rPr>
              <w:t xml:space="preserve">Fees Earned or Paid in Cash </w:t>
            </w:r>
            <w:r>
              <w:rPr>
                <w:rFonts w:ascii="Arial" w:cs="Arial" w:eastAsia="Arial" w:hAnsi="Arial"/>
                <w:sz w:val="19"/>
                <w:szCs w:val="19"/>
                <w:b w:val="1"/>
                <w:bCs w:val="1"/>
                <w:color w:val="435F86"/>
                <w:w w:val="94"/>
                <w:vertAlign w:val="superscript"/>
              </w:rPr>
              <w:t>(1)</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435F86"/>
              </w:rPr>
              <w:t>​</w:t>
            </w:r>
          </w:p>
        </w:tc>
        <w:tc>
          <w:tcPr>
            <w:tcW w:w="280" w:type="dxa"/>
            <w:vAlign w:val="bottom"/>
          </w:tcPr>
          <w:p>
            <w:pPr>
              <w:ind w:left="160"/>
              <w:spacing w:after="0"/>
              <w:rPr>
                <w:sz w:val="20"/>
                <w:szCs w:val="20"/>
                <w:color w:val="auto"/>
              </w:rPr>
            </w:pPr>
            <w:r>
              <w:rPr>
                <w:rFonts w:ascii="Arial" w:cs="Arial" w:eastAsia="Arial" w:hAnsi="Arial"/>
                <w:sz w:val="16"/>
                <w:szCs w:val="16"/>
                <w:b w:val="1"/>
                <w:bCs w:val="1"/>
                <w:color w:val="435F86"/>
              </w:rPr>
              <w:t>​</w:t>
            </w:r>
          </w:p>
        </w:tc>
        <w:tc>
          <w:tcPr>
            <w:tcW w:w="1320" w:type="dxa"/>
            <w:vAlign w:val="bottom"/>
            <w:gridSpan w:val="3"/>
          </w:tcPr>
          <w:p>
            <w:pPr>
              <w:ind w:left="80"/>
              <w:spacing w:after="0"/>
              <w:rPr>
                <w:sz w:val="20"/>
                <w:szCs w:val="20"/>
                <w:color w:val="auto"/>
              </w:rPr>
            </w:pPr>
            <w:r>
              <w:rPr>
                <w:rFonts w:ascii="Arial" w:cs="Arial" w:eastAsia="Arial" w:hAnsi="Arial"/>
                <w:sz w:val="16"/>
                <w:szCs w:val="16"/>
                <w:b w:val="1"/>
                <w:bCs w:val="1"/>
                <w:color w:val="435F86"/>
                <w:w w:val="96"/>
              </w:rPr>
              <w:t xml:space="preserve">Stock Awards </w:t>
            </w:r>
            <w:r>
              <w:rPr>
                <w:rFonts w:ascii="Arial" w:cs="Arial" w:eastAsia="Arial" w:hAnsi="Arial"/>
                <w:sz w:val="19"/>
                <w:szCs w:val="19"/>
                <w:b w:val="1"/>
                <w:bCs w:val="1"/>
                <w:color w:val="435F86"/>
                <w:w w:val="96"/>
                <w:vertAlign w:val="superscript"/>
              </w:rPr>
              <w:t>(2)</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435F86"/>
              </w:rPr>
              <w:t>​</w:t>
            </w:r>
          </w:p>
        </w:tc>
        <w:tc>
          <w:tcPr>
            <w:tcW w:w="280" w:type="dxa"/>
            <w:vAlign w:val="bottom"/>
          </w:tcPr>
          <w:p>
            <w:pPr>
              <w:ind w:left="160"/>
              <w:spacing w:after="0"/>
              <w:rPr>
                <w:sz w:val="20"/>
                <w:szCs w:val="20"/>
                <w:color w:val="auto"/>
              </w:rPr>
            </w:pPr>
            <w:r>
              <w:rPr>
                <w:rFonts w:ascii="Arial" w:cs="Arial" w:eastAsia="Arial" w:hAnsi="Arial"/>
                <w:sz w:val="16"/>
                <w:szCs w:val="16"/>
                <w:b w:val="1"/>
                <w:bCs w:val="1"/>
                <w:color w:val="435F86"/>
              </w:rPr>
              <w: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435F86"/>
                <w:w w:val="88"/>
              </w:rPr>
              <w:t>Total</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435F86"/>
              </w:rPr>
              <w:t>​</w:t>
            </w:r>
          </w:p>
        </w:tc>
      </w:tr>
      <w:tr>
        <w:trPr>
          <w:trHeight w:val="20"/>
        </w:trPr>
        <w:tc>
          <w:tcPr>
            <w:tcW w:w="2080" w:type="dxa"/>
            <w:vAlign w:val="bottom"/>
            <w:shd w:val="clear" w:color="auto" w:fill="435F86"/>
          </w:tcPr>
          <w:p>
            <w:pPr>
              <w:spacing w:after="0" w:line="20" w:lineRule="exact"/>
              <w:rPr>
                <w:sz w:val="1"/>
                <w:szCs w:val="1"/>
                <w:color w:val="auto"/>
              </w:rPr>
            </w:pPr>
          </w:p>
        </w:tc>
        <w:tc>
          <w:tcPr>
            <w:tcW w:w="640" w:type="dxa"/>
            <w:vAlign w:val="bottom"/>
            <w:shd w:val="clear" w:color="auto" w:fill="435F86"/>
          </w:tcPr>
          <w:p>
            <w:pPr>
              <w:spacing w:after="0" w:line="20" w:lineRule="exact"/>
              <w:rPr>
                <w:sz w:val="1"/>
                <w:szCs w:val="1"/>
                <w:color w:val="auto"/>
              </w:rPr>
            </w:pPr>
          </w:p>
        </w:tc>
        <w:tc>
          <w:tcPr>
            <w:tcW w:w="300" w:type="dxa"/>
            <w:vAlign w:val="bottom"/>
            <w:shd w:val="clear" w:color="auto" w:fill="435F86"/>
          </w:tcPr>
          <w:p>
            <w:pPr>
              <w:spacing w:after="0" w:line="20" w:lineRule="exact"/>
              <w:rPr>
                <w:sz w:val="1"/>
                <w:szCs w:val="1"/>
                <w:color w:val="auto"/>
              </w:rPr>
            </w:pPr>
          </w:p>
        </w:tc>
        <w:tc>
          <w:tcPr>
            <w:tcW w:w="880" w:type="dxa"/>
            <w:vAlign w:val="bottom"/>
            <w:shd w:val="clear" w:color="auto" w:fill="435F86"/>
          </w:tcPr>
          <w:p>
            <w:pPr>
              <w:spacing w:after="0" w:line="20" w:lineRule="exact"/>
              <w:rPr>
                <w:sz w:val="1"/>
                <w:szCs w:val="1"/>
                <w:color w:val="auto"/>
              </w:rPr>
            </w:pPr>
          </w:p>
        </w:tc>
        <w:tc>
          <w:tcPr>
            <w:tcW w:w="980" w:type="dxa"/>
            <w:vAlign w:val="bottom"/>
            <w:shd w:val="clear" w:color="auto" w:fill="435F86"/>
          </w:tcPr>
          <w:p>
            <w:pPr>
              <w:spacing w:after="0" w:line="20" w:lineRule="exact"/>
              <w:rPr>
                <w:sz w:val="1"/>
                <w:szCs w:val="1"/>
                <w:color w:val="auto"/>
              </w:rPr>
            </w:pPr>
          </w:p>
        </w:tc>
        <w:tc>
          <w:tcPr>
            <w:tcW w:w="480" w:type="dxa"/>
            <w:vAlign w:val="bottom"/>
            <w:shd w:val="clear" w:color="auto" w:fill="435F86"/>
          </w:tcPr>
          <w:p>
            <w:pPr>
              <w:spacing w:after="0" w:line="20" w:lineRule="exact"/>
              <w:rPr>
                <w:sz w:val="1"/>
                <w:szCs w:val="1"/>
                <w:color w:val="auto"/>
              </w:rPr>
            </w:pPr>
          </w:p>
        </w:tc>
        <w:tc>
          <w:tcPr>
            <w:tcW w:w="30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1100" w:type="dxa"/>
            <w:vAlign w:val="bottom"/>
            <w:gridSpan w:val="2"/>
            <w:shd w:val="clear" w:color="auto" w:fill="435F86"/>
          </w:tcPr>
          <w:p>
            <w:pPr>
              <w:spacing w:after="0" w:line="20" w:lineRule="exact"/>
              <w:rPr>
                <w:sz w:val="1"/>
                <w:szCs w:val="1"/>
                <w:color w:val="auto"/>
              </w:rPr>
            </w:pPr>
          </w:p>
        </w:tc>
        <w:tc>
          <w:tcPr>
            <w:tcW w:w="220" w:type="dxa"/>
            <w:vAlign w:val="bottom"/>
            <w:shd w:val="clear" w:color="auto" w:fill="435F86"/>
          </w:tcPr>
          <w:p>
            <w:pPr>
              <w:spacing w:after="0" w:line="20" w:lineRule="exact"/>
              <w:rPr>
                <w:sz w:val="1"/>
                <w:szCs w:val="1"/>
                <w:color w:val="auto"/>
              </w:rPr>
            </w:pPr>
          </w:p>
        </w:tc>
        <w:tc>
          <w:tcPr>
            <w:tcW w:w="30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840" w:type="dxa"/>
            <w:vAlign w:val="bottom"/>
            <w:shd w:val="clear" w:color="auto" w:fill="435F86"/>
          </w:tcPr>
          <w:p>
            <w:pPr>
              <w:spacing w:after="0" w:line="20" w:lineRule="exact"/>
              <w:rPr>
                <w:sz w:val="1"/>
                <w:szCs w:val="1"/>
                <w:color w:val="auto"/>
              </w:rPr>
            </w:pPr>
          </w:p>
        </w:tc>
        <w:tc>
          <w:tcPr>
            <w:tcW w:w="60" w:type="dxa"/>
            <w:vAlign w:val="bottom"/>
            <w:tcBorders>
              <w:left w:val="single" w:sz="8" w:color="435F86"/>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Ruoxi Chen</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77,500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$302,497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Sean L. Cunningham</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77,500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302,497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David A. Donnini</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53,071</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278,068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Karen A. Flynn</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81,449</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306,446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Ann R. Klee</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97,500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322,497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Robert B. Knauss</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75,000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299,997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Constantine S. Mihas</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80,000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304,997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James C. Neary</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95,000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319,997 </w:t>
            </w:r>
            <w:r>
              <w:rPr>
                <w:rFonts w:ascii="Arial" w:cs="Arial" w:eastAsia="Arial" w:hAnsi="Arial"/>
                <w:sz w:val="29"/>
                <w:szCs w:val="29"/>
                <w:color w:val="auto"/>
                <w:vertAlign w:val="subscript"/>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Vincent K. Petrella</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100,000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324,997</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Christopher Simon</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33,261</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33,261</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80" w:type="dxa"/>
            <w:vAlign w:val="bottom"/>
            <w:shd w:val="clear" w:color="auto" w:fill="7B8FAA"/>
          </w:tcPr>
          <w:p>
            <w:pPr>
              <w:spacing w:after="0" w:line="20" w:lineRule="exact"/>
              <w:rPr>
                <w:sz w:val="1"/>
                <w:szCs w:val="1"/>
                <w:color w:val="auto"/>
              </w:rPr>
            </w:pPr>
          </w:p>
        </w:tc>
        <w:tc>
          <w:tcPr>
            <w:tcW w:w="64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980" w:type="dxa"/>
            <w:vAlign w:val="bottom"/>
            <w:shd w:val="clear" w:color="auto" w:fill="7B8FAA"/>
          </w:tcPr>
          <w:p>
            <w:pPr>
              <w:spacing w:after="0" w:line="20" w:lineRule="exact"/>
              <w:rPr>
                <w:sz w:val="1"/>
                <w:szCs w:val="1"/>
                <w:color w:val="auto"/>
              </w:rPr>
            </w:pPr>
          </w:p>
        </w:tc>
        <w:tc>
          <w:tcPr>
            <w:tcW w:w="48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34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4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2080" w:type="dxa"/>
            <w:vAlign w:val="bottom"/>
          </w:tcPr>
          <w:p>
            <w:pPr>
              <w:ind w:left="80"/>
              <w:spacing w:after="0"/>
              <w:rPr>
                <w:sz w:val="20"/>
                <w:szCs w:val="20"/>
                <w:color w:val="auto"/>
              </w:rPr>
            </w:pPr>
            <w:r>
              <w:rPr>
                <w:rFonts w:ascii="Arial" w:cs="Arial" w:eastAsia="Arial" w:hAnsi="Arial"/>
                <w:sz w:val="17"/>
                <w:szCs w:val="17"/>
                <w:color w:val="auto"/>
              </w:rPr>
              <w:t>David E. Wheadon</w:t>
            </w:r>
          </w:p>
        </w:tc>
        <w:tc>
          <w:tcPr>
            <w:tcW w:w="64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tcPr>
          <w:p>
            <w:pPr>
              <w:ind w:left="180"/>
              <w:spacing w:after="0"/>
              <w:rPr>
                <w:sz w:val="20"/>
                <w:szCs w:val="20"/>
                <w:color w:val="auto"/>
              </w:rPr>
            </w:pPr>
            <w:r>
              <w:rPr>
                <w:rFonts w:ascii="Arial" w:cs="Arial" w:eastAsia="Arial" w:hAnsi="Arial"/>
                <w:sz w:val="17"/>
                <w:szCs w:val="17"/>
                <w:color w:val="auto"/>
              </w:rPr>
              <w:t>​</w:t>
            </w:r>
          </w:p>
        </w:tc>
        <w:tc>
          <w:tcPr>
            <w:tcW w:w="880" w:type="dxa"/>
            <w:vAlign w:val="bottom"/>
          </w:tcPr>
          <w:p>
            <w:pPr>
              <w:ind w:left="7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233"/>
              <w:spacing w:after="0"/>
              <w:rPr>
                <w:sz w:val="20"/>
                <w:szCs w:val="20"/>
                <w:color w:val="auto"/>
              </w:rPr>
            </w:pPr>
            <w:r>
              <w:rPr>
                <w:rFonts w:ascii="Arial" w:cs="Arial" w:eastAsia="Arial" w:hAnsi="Arial"/>
                <w:sz w:val="17"/>
                <w:szCs w:val="17"/>
                <w:color w:val="auto"/>
              </w:rPr>
              <w:t>85,000</w:t>
            </w:r>
          </w:p>
        </w:tc>
        <w:tc>
          <w:tcPr>
            <w:tcW w:w="4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340" w:type="dxa"/>
            <w:vAlign w:val="bottom"/>
          </w:tcPr>
          <w:p>
            <w:pPr>
              <w:ind w:left="24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224,997</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300" w:type="dxa"/>
            <w:vAlign w:val="bottom"/>
          </w:tcPr>
          <w:p>
            <w:pPr>
              <w:ind w:left="80"/>
              <w:spacing w:after="0"/>
              <w:rPr>
                <w:sz w:val="20"/>
                <w:szCs w:val="20"/>
                <w:color w:val="auto"/>
              </w:rPr>
            </w:pPr>
            <w:r>
              <w:rPr>
                <w:rFonts w:ascii="Arial" w:cs="Arial" w:eastAsia="Arial" w:hAnsi="Arial"/>
                <w:sz w:val="17"/>
                <w:szCs w:val="17"/>
                <w:color w:val="auto"/>
              </w:rPr>
              <w:t>​</w:t>
            </w:r>
          </w:p>
        </w:tc>
        <w:tc>
          <w:tcPr>
            <w:tcW w:w="280" w:type="dxa"/>
            <w:vAlign w:val="bottom"/>
          </w:tcPr>
          <w:p>
            <w:pPr>
              <w:ind w:left="160"/>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309,997</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80" w:type="dxa"/>
            <w:vAlign w:val="bottom"/>
            <w:shd w:val="clear" w:color="auto" w:fill="435F86"/>
          </w:tcPr>
          <w:p>
            <w:pPr>
              <w:spacing w:after="0" w:line="20" w:lineRule="exact"/>
              <w:rPr>
                <w:sz w:val="1"/>
                <w:szCs w:val="1"/>
                <w:color w:val="auto"/>
              </w:rPr>
            </w:pPr>
          </w:p>
        </w:tc>
        <w:tc>
          <w:tcPr>
            <w:tcW w:w="640" w:type="dxa"/>
            <w:vAlign w:val="bottom"/>
            <w:shd w:val="clear" w:color="auto" w:fill="435F86"/>
          </w:tcPr>
          <w:p>
            <w:pPr>
              <w:spacing w:after="0" w:line="20" w:lineRule="exact"/>
              <w:rPr>
                <w:sz w:val="1"/>
                <w:szCs w:val="1"/>
                <w:color w:val="auto"/>
              </w:rPr>
            </w:pPr>
          </w:p>
        </w:tc>
        <w:tc>
          <w:tcPr>
            <w:tcW w:w="300" w:type="dxa"/>
            <w:vAlign w:val="bottom"/>
            <w:shd w:val="clear" w:color="auto" w:fill="435F86"/>
          </w:tcPr>
          <w:p>
            <w:pPr>
              <w:spacing w:after="0" w:line="20" w:lineRule="exact"/>
              <w:rPr>
                <w:sz w:val="1"/>
                <w:szCs w:val="1"/>
                <w:color w:val="auto"/>
              </w:rPr>
            </w:pPr>
          </w:p>
        </w:tc>
        <w:tc>
          <w:tcPr>
            <w:tcW w:w="880" w:type="dxa"/>
            <w:vAlign w:val="bottom"/>
            <w:shd w:val="clear" w:color="auto" w:fill="435F86"/>
          </w:tcPr>
          <w:p>
            <w:pPr>
              <w:spacing w:after="0" w:line="20" w:lineRule="exact"/>
              <w:rPr>
                <w:sz w:val="1"/>
                <w:szCs w:val="1"/>
                <w:color w:val="auto"/>
              </w:rPr>
            </w:pPr>
          </w:p>
        </w:tc>
        <w:tc>
          <w:tcPr>
            <w:tcW w:w="980" w:type="dxa"/>
            <w:vAlign w:val="bottom"/>
            <w:shd w:val="clear" w:color="auto" w:fill="435F86"/>
          </w:tcPr>
          <w:p>
            <w:pPr>
              <w:spacing w:after="0" w:line="20" w:lineRule="exact"/>
              <w:rPr>
                <w:sz w:val="1"/>
                <w:szCs w:val="1"/>
                <w:color w:val="auto"/>
              </w:rPr>
            </w:pPr>
          </w:p>
        </w:tc>
        <w:tc>
          <w:tcPr>
            <w:tcW w:w="480" w:type="dxa"/>
            <w:vAlign w:val="bottom"/>
            <w:shd w:val="clear" w:color="auto" w:fill="435F86"/>
          </w:tcPr>
          <w:p>
            <w:pPr>
              <w:spacing w:after="0" w:line="20" w:lineRule="exact"/>
              <w:rPr>
                <w:sz w:val="1"/>
                <w:szCs w:val="1"/>
                <w:color w:val="auto"/>
              </w:rPr>
            </w:pPr>
          </w:p>
        </w:tc>
        <w:tc>
          <w:tcPr>
            <w:tcW w:w="30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340" w:type="dxa"/>
            <w:vAlign w:val="bottom"/>
            <w:shd w:val="clear" w:color="auto" w:fill="435F86"/>
          </w:tcPr>
          <w:p>
            <w:pPr>
              <w:spacing w:after="0" w:line="20" w:lineRule="exact"/>
              <w:rPr>
                <w:sz w:val="1"/>
                <w:szCs w:val="1"/>
                <w:color w:val="auto"/>
              </w:rPr>
            </w:pPr>
          </w:p>
        </w:tc>
        <w:tc>
          <w:tcPr>
            <w:tcW w:w="760" w:type="dxa"/>
            <w:vAlign w:val="bottom"/>
            <w:shd w:val="clear" w:color="auto" w:fill="435F86"/>
          </w:tcPr>
          <w:p>
            <w:pPr>
              <w:spacing w:after="0" w:line="20" w:lineRule="exact"/>
              <w:rPr>
                <w:sz w:val="1"/>
                <w:szCs w:val="1"/>
                <w:color w:val="auto"/>
              </w:rPr>
            </w:pPr>
          </w:p>
        </w:tc>
        <w:tc>
          <w:tcPr>
            <w:tcW w:w="220" w:type="dxa"/>
            <w:vAlign w:val="bottom"/>
            <w:shd w:val="clear" w:color="auto" w:fill="435F86"/>
          </w:tcPr>
          <w:p>
            <w:pPr>
              <w:spacing w:after="0" w:line="20" w:lineRule="exact"/>
              <w:rPr>
                <w:sz w:val="1"/>
                <w:szCs w:val="1"/>
                <w:color w:val="auto"/>
              </w:rPr>
            </w:pPr>
          </w:p>
        </w:tc>
        <w:tc>
          <w:tcPr>
            <w:tcW w:w="30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840" w:type="dxa"/>
            <w:vAlign w:val="bottom"/>
            <w:shd w:val="clear" w:color="auto" w:fill="435F86"/>
          </w:tcPr>
          <w:p>
            <w:pPr>
              <w:spacing w:after="0" w:line="20" w:lineRule="exact"/>
              <w:rPr>
                <w:sz w:val="1"/>
                <w:szCs w:val="1"/>
                <w:color w:val="auto"/>
              </w:rPr>
            </w:pPr>
          </w:p>
        </w:tc>
        <w:tc>
          <w:tcPr>
            <w:tcW w:w="60" w:type="dxa"/>
            <w:vAlign w:val="bottom"/>
            <w:tcBorders>
              <w:left w:val="single" w:sz="8" w:color="435F8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-1911350</wp:posOffset>
            </wp:positionV>
            <wp:extent cx="5538470" cy="173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38470" cy="1733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-1565275</wp:posOffset>
            </wp:positionV>
            <wp:extent cx="5538470" cy="1733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38470" cy="1733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-1219200</wp:posOffset>
            </wp:positionV>
            <wp:extent cx="5538470" cy="173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38470" cy="1733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-873125</wp:posOffset>
            </wp:positionV>
            <wp:extent cx="5538470" cy="173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38470" cy="1733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-527050</wp:posOffset>
            </wp:positionV>
            <wp:extent cx="5538470" cy="1733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38470" cy="1733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-180975</wp:posOffset>
            </wp:positionV>
            <wp:extent cx="5538470" cy="1733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38470" cy="173355"/>
                    </a:xfrm>
                    <a:prstGeom prst="rect">
                      <a:avLst/>
                    </a:prstGeom>
                    <a:noFill/>
                  </pic:spPr>
                </pic:pic>
              </a:graphicData>
            </a:graphic>
          </wp:anchor>
        </w:drawing>
      </w:r>
    </w:p>
    <w:p>
      <w:pPr>
        <w:spacing w:after="0" w:line="93" w:lineRule="exact"/>
        <w:rPr>
          <w:sz w:val="20"/>
          <w:szCs w:val="20"/>
          <w:color w:val="auto"/>
        </w:rPr>
      </w:pPr>
    </w:p>
    <w:p>
      <w:pPr>
        <w:ind w:left="1120" w:right="379" w:hanging="337"/>
        <w:spacing w:after="0" w:line="268"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cash retainer payments paid for service on our Board or any committee of our Board in 2024. See “Non-Employee Director Compensation Policy.” Mr. Donnini’s cash retainer was prorated based on his services to the Board ceasing as of September 6, 2024 and Mr. Simon’s cash retainer was prorated based on his services to the Board beginning on August 1, 2024.</w:t>
      </w:r>
    </w:p>
    <w:p>
      <w:pPr>
        <w:spacing w:after="0" w:line="48" w:lineRule="exact"/>
        <w:rPr>
          <w:rFonts w:ascii="Arial" w:cs="Arial" w:eastAsia="Arial" w:hAnsi="Arial"/>
          <w:sz w:val="17"/>
          <w:szCs w:val="17"/>
          <w:color w:val="auto"/>
        </w:rPr>
      </w:pPr>
    </w:p>
    <w:p>
      <w:pPr>
        <w:ind w:left="1120" w:right="159" w:hanging="337"/>
        <w:spacing w:after="0" w:line="259"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Amounts in this column reflect the aggregate grant date fair value of share-based compensation awarded during the year. The grant date fair value of this compensation was computed in accordance with the provisions of Financial Accounting Standards Board (“FASB”) Accounting Standards Codification (“ASC”) 718, Stock Compensation. The assumptions that we used to calculate these amounts are discussed in Note 16, “Share-Based Compensation” and Note 1, “Significant Accounting Policies” to our consolidated financial statements included in our Annual Report on Form 10-K for the fiscal year ended December 31, 2024. The grant date fair value does not necessarily correspond to the actual economic value that may be realized for these awards. Mr. Simon did not receive a 2024 RSU award because his service did not begin until August 1, 2024. As of December 31, 2024, each of our non-employee directors (except Messrs. Donnini and Simon) had 20,089 restricted stock units outstanding that were granted on May 24, 2024.</w:t>
      </w:r>
    </w:p>
    <w:p>
      <w:pPr>
        <w:spacing w:after="0" w:line="256"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Non-Employee Director Compensation Policy</w:t>
      </w:r>
    </w:p>
    <w:p>
      <w:pPr>
        <w:spacing w:after="0" w:line="228" w:lineRule="exact"/>
        <w:rPr>
          <w:sz w:val="20"/>
          <w:szCs w:val="20"/>
          <w:color w:val="auto"/>
        </w:rPr>
      </w:pPr>
    </w:p>
    <w:p>
      <w:pPr>
        <w:ind w:left="780" w:right="319"/>
        <w:spacing w:after="0" w:line="260" w:lineRule="auto"/>
        <w:rPr>
          <w:sz w:val="20"/>
          <w:szCs w:val="20"/>
          <w:color w:val="auto"/>
        </w:rPr>
      </w:pPr>
      <w:r>
        <w:rPr>
          <w:rFonts w:ascii="Arial" w:cs="Arial" w:eastAsia="Arial" w:hAnsi="Arial"/>
          <w:sz w:val="21"/>
          <w:szCs w:val="21"/>
          <w:color w:val="auto"/>
        </w:rPr>
        <w:t>Our Board adopted a compensation policy for non-employee directors that became effective in connection with our IPO. Pursuant to this policy, non-employee directors receive the compensation described below. Our non-employee director compensation policy may be amended by our Board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299720</wp:posOffset>
            </wp:positionV>
            <wp:extent cx="494665" cy="165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168275</wp:posOffset>
            </wp:positionV>
            <wp:extent cx="553847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Non-Employee Director Compensation</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2024 Director Compensation Table</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Cash Compensation</w:t>
      </w:r>
    </w:p>
    <w:p>
      <w:pPr>
        <w:spacing w:after="0" w:line="149" w:lineRule="exact"/>
        <w:rPr>
          <w:sz w:val="20"/>
          <w:szCs w:val="20"/>
          <w:color w:val="auto"/>
        </w:rPr>
      </w:pPr>
    </w:p>
    <w:p>
      <w:pPr>
        <w:ind w:left="780" w:right="820"/>
        <w:spacing w:after="0" w:line="245" w:lineRule="auto"/>
        <w:rPr>
          <w:sz w:val="20"/>
          <w:szCs w:val="20"/>
          <w:color w:val="auto"/>
        </w:rPr>
      </w:pPr>
      <w:r>
        <w:rPr>
          <w:rFonts w:ascii="Arial" w:cs="Arial" w:eastAsia="Arial" w:hAnsi="Arial"/>
          <w:sz w:val="21"/>
          <w:szCs w:val="21"/>
          <w:color w:val="auto"/>
        </w:rPr>
        <w:t>Each non-employee director is entitled to receive an annual cash retainer of $75,000 as remuneration for service to the Company, with an additional $7,500 for service on the Audit Committee (or, in the case of the chair of the Audit Committee, $25,000), an additional $5,000 for service on the LDC Committee (or, in the case of the chair of the LDC Committee, $20,000), and an additional $2,500 for service on the NCG Committee (or, in the case of the chair of the NCG Committee, $15,000). There is no additional compensation for service on the EO Litigation or Nordion Pricing Committees. The annual cash retainer is paid on a quarterly basis, pro-rated for any non-employee director whose service (or whose service in any of the additional capacities described above) begins or ends during a calendar year.</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Equity Compensation</w:t>
      </w:r>
    </w:p>
    <w:p>
      <w:pPr>
        <w:spacing w:after="0" w:line="149" w:lineRule="exact"/>
        <w:rPr>
          <w:sz w:val="20"/>
          <w:szCs w:val="20"/>
          <w:color w:val="auto"/>
        </w:rPr>
      </w:pPr>
    </w:p>
    <w:p>
      <w:pPr>
        <w:ind w:left="780" w:right="980"/>
        <w:spacing w:after="0" w:line="244" w:lineRule="auto"/>
        <w:rPr>
          <w:sz w:val="20"/>
          <w:szCs w:val="20"/>
          <w:color w:val="auto"/>
        </w:rPr>
      </w:pPr>
      <w:r>
        <w:rPr>
          <w:rFonts w:ascii="Arial" w:cs="Arial" w:eastAsia="Arial" w:hAnsi="Arial"/>
          <w:sz w:val="21"/>
          <w:szCs w:val="21"/>
          <w:color w:val="auto"/>
        </w:rPr>
        <w:t>Each non-employee director is entitled to receive an annual grant of restricted stock units (“RSUs”) under the Sotera Health Company 2020 Omnibus Incentive Plan (“2020 Incentive Plan”) with a target grant date value of $225,000. The RSUs are time-based and generally vest in full on the earlier of (i) the first anniversary of the date of grant, and (ii) the date immediately prior to the Company’s next regular annual meeting of stockholders, in each case, subject to the director’s continued service through such date. Annual grants of RSUs are generally made on the day immediately after our regular annual meeting of stockholders to non-employee directors who are serving on our Board on such date.</w:t>
      </w:r>
    </w:p>
    <w:p>
      <w:pPr>
        <w:spacing w:after="0" w:line="17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Expenses</w:t>
      </w:r>
    </w:p>
    <w:p>
      <w:pPr>
        <w:spacing w:after="0" w:line="149" w:lineRule="exact"/>
        <w:rPr>
          <w:sz w:val="20"/>
          <w:szCs w:val="20"/>
          <w:color w:val="auto"/>
        </w:rPr>
      </w:pPr>
    </w:p>
    <w:p>
      <w:pPr>
        <w:ind w:left="780" w:right="840"/>
        <w:spacing w:after="0" w:line="246" w:lineRule="auto"/>
        <w:rPr>
          <w:sz w:val="20"/>
          <w:szCs w:val="20"/>
          <w:color w:val="auto"/>
        </w:rPr>
      </w:pPr>
      <w:r>
        <w:rPr>
          <w:rFonts w:ascii="Arial" w:cs="Arial" w:eastAsia="Arial" w:hAnsi="Arial"/>
          <w:sz w:val="21"/>
          <w:szCs w:val="21"/>
          <w:color w:val="auto"/>
        </w:rPr>
        <w:t>We reimburse our non-employee directors for all reasonable out-of-pocket expenses incurred in connection with their service on our Board, including attendance at meetings of the Board, the board of directors of any of our subsidiaries and any committees thereof, in accordance with the terms of our amended and restated bylaws and our expense reimbursement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2346325</wp:posOffset>
            </wp:positionV>
            <wp:extent cx="553847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30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Proposal 2: Advisory Vote to Approve Named Executive Officer Compensation</w:t>
      </w:r>
    </w:p>
    <w:p>
      <w:pPr>
        <w:spacing w:after="0" w:line="200" w:lineRule="exact"/>
        <w:rPr>
          <w:sz w:val="20"/>
          <w:szCs w:val="20"/>
          <w:color w:val="auto"/>
        </w:rPr>
      </w:pPr>
    </w:p>
    <w:p>
      <w:pPr>
        <w:spacing w:after="0" w:line="218" w:lineRule="exact"/>
        <w:rPr>
          <w:sz w:val="20"/>
          <w:szCs w:val="20"/>
          <w:color w:val="auto"/>
        </w:rPr>
      </w:pPr>
    </w:p>
    <w:p>
      <w:pPr>
        <w:ind w:left="780" w:right="1039"/>
        <w:spacing w:after="0" w:line="247" w:lineRule="auto"/>
        <w:rPr>
          <w:sz w:val="20"/>
          <w:szCs w:val="20"/>
          <w:color w:val="auto"/>
        </w:rPr>
      </w:pPr>
      <w:r>
        <w:rPr>
          <w:rFonts w:ascii="Arial" w:cs="Arial" w:eastAsia="Arial" w:hAnsi="Arial"/>
          <w:sz w:val="42"/>
          <w:szCs w:val="42"/>
          <w:b w:val="1"/>
          <w:bCs w:val="1"/>
          <w:color w:val="28B5DE"/>
        </w:rPr>
        <w:t>PROPOSAL 2: ADVISORY VOTE TO APPROVE NAMED EXECUTIVE OFFICER COMPENSATION</w:t>
      </w:r>
    </w:p>
    <w:p>
      <w:pPr>
        <w:spacing w:after="0" w:line="95" w:lineRule="exact"/>
        <w:rPr>
          <w:sz w:val="20"/>
          <w:szCs w:val="20"/>
          <w:color w:val="auto"/>
        </w:rPr>
      </w:pPr>
    </w:p>
    <w:p>
      <w:pPr>
        <w:ind w:left="780" w:right="239"/>
        <w:spacing w:after="0" w:line="248" w:lineRule="auto"/>
        <w:rPr>
          <w:sz w:val="20"/>
          <w:szCs w:val="20"/>
          <w:color w:val="auto"/>
        </w:rPr>
      </w:pPr>
      <w:r>
        <w:rPr>
          <w:rFonts w:ascii="Arial" w:cs="Arial" w:eastAsia="Arial" w:hAnsi="Arial"/>
          <w:sz w:val="21"/>
          <w:szCs w:val="21"/>
          <w:color w:val="auto"/>
        </w:rPr>
        <w:t>In accordance with the Dodd-Frank Wall Street Reform and Consumer Protection Act (the “Dodd-Frank Act”) and Section 14A of the Securities Exchange Act of 1934, we are asking shareholders to approve, on an advisory basis, the compensation of our Named Executive Officers as reported in this Proxy Statement. While this vote (commonly referred to as a “say-on-pay” vote) is non-binding, we and our Board value the opinions of our shareholders and will consider the outcome of this vote when making future compensation decisions.</w:t>
      </w:r>
    </w:p>
    <w:p>
      <w:pPr>
        <w:spacing w:after="0" w:line="164" w:lineRule="exact"/>
        <w:rPr>
          <w:sz w:val="20"/>
          <w:szCs w:val="20"/>
          <w:color w:val="auto"/>
        </w:rPr>
      </w:pPr>
    </w:p>
    <w:p>
      <w:pPr>
        <w:ind w:left="780" w:right="159"/>
        <w:spacing w:after="0" w:line="246" w:lineRule="auto"/>
        <w:rPr>
          <w:sz w:val="20"/>
          <w:szCs w:val="20"/>
          <w:color w:val="auto"/>
        </w:rPr>
      </w:pPr>
      <w:r>
        <w:rPr>
          <w:rFonts w:ascii="Arial" w:cs="Arial" w:eastAsia="Arial" w:hAnsi="Arial"/>
          <w:sz w:val="21"/>
          <w:szCs w:val="21"/>
          <w:color w:val="auto"/>
        </w:rPr>
        <w:t>We encourage shareholders to review the Compensation Discussion and Analysis, beginning on page 32, as well as the Summary Compensation Table and other related tables, notes and narrative. For the reasons detailed in the Compensation Discussion and Analysis, our executive compensation program aligns the interests of our executive officers and our shareholders by linking a significant portion of our executives’ compensation to Sotera Health’s performance and providing a competitive level of compensation designed to recruit, retain and motivate executives who are critical to Sotera Health’s long-term success.</w:t>
      </w:r>
    </w:p>
    <w:p>
      <w:pPr>
        <w:spacing w:after="0" w:line="175" w:lineRule="exact"/>
        <w:rPr>
          <w:sz w:val="20"/>
          <w:szCs w:val="20"/>
          <w:color w:val="auto"/>
        </w:rPr>
      </w:pPr>
    </w:p>
    <w:p>
      <w:pPr>
        <w:ind w:left="780" w:right="279"/>
        <w:spacing w:after="0" w:line="251" w:lineRule="auto"/>
        <w:rPr>
          <w:sz w:val="20"/>
          <w:szCs w:val="20"/>
          <w:color w:val="auto"/>
        </w:rPr>
      </w:pPr>
      <w:r>
        <w:rPr>
          <w:rFonts w:ascii="Arial" w:cs="Arial" w:eastAsia="Arial" w:hAnsi="Arial"/>
          <w:sz w:val="21"/>
          <w:szCs w:val="21"/>
          <w:color w:val="auto"/>
        </w:rPr>
        <w:t>In accordance with the Dodd-Frank Act, this vote does not overrule any decisions by the Board, will not create or imply any change to the duties of the Board and will not prevent or limit the ability of shareholders generally to make proposals for inclusion in proxy materials related to executive compensation.</w:t>
      </w:r>
    </w:p>
    <w:p>
      <w:pPr>
        <w:spacing w:after="0" w:line="158" w:lineRule="exact"/>
        <w:rPr>
          <w:sz w:val="20"/>
          <w:szCs w:val="20"/>
          <w:color w:val="auto"/>
        </w:rPr>
      </w:pPr>
    </w:p>
    <w:p>
      <w:pPr>
        <w:ind w:left="780" w:right="899"/>
        <w:spacing w:after="0" w:line="277" w:lineRule="auto"/>
        <w:rPr>
          <w:sz w:val="20"/>
          <w:szCs w:val="20"/>
          <w:color w:val="auto"/>
        </w:rPr>
      </w:pPr>
      <w:r>
        <w:rPr>
          <w:rFonts w:ascii="Arial" w:cs="Arial" w:eastAsia="Arial" w:hAnsi="Arial"/>
          <w:sz w:val="21"/>
          <w:szCs w:val="21"/>
          <w:color w:val="auto"/>
        </w:rPr>
        <w:t>We are asking our shareholders to approve, on an advisory, non-binding basis, the following resolution:</w:t>
      </w:r>
    </w:p>
    <w:p>
      <w:pPr>
        <w:spacing w:after="0" w:line="143" w:lineRule="exact"/>
        <w:rPr>
          <w:sz w:val="20"/>
          <w:szCs w:val="20"/>
          <w:color w:val="auto"/>
        </w:rPr>
      </w:pPr>
    </w:p>
    <w:p>
      <w:pPr>
        <w:ind w:left="1120" w:right="419"/>
        <w:spacing w:after="0" w:line="246" w:lineRule="auto"/>
        <w:rPr>
          <w:sz w:val="20"/>
          <w:szCs w:val="20"/>
          <w:color w:val="auto"/>
        </w:rPr>
      </w:pPr>
      <w:r>
        <w:rPr>
          <w:rFonts w:ascii="Arial" w:cs="Arial" w:eastAsia="Arial" w:hAnsi="Arial"/>
          <w:sz w:val="21"/>
          <w:szCs w:val="21"/>
          <w:color w:val="auto"/>
        </w:rPr>
        <w:t>RESOLVED, that the shareholders of Sotera Health Company approve, on an advisory basis, the compensation of the Company’s Named Executive Officers as disclosed pursuant to the compensation disclosure rules of the Securities and Exchange Commission, including the Compensation Discussion and Analysis, the Summary Compensation Table, the other compensation tables and related notes and narrative in this Proxy Statement for the 2025 Annual Meeting of Stockholders.</w:t>
      </w:r>
    </w:p>
    <w:p>
      <w:pPr>
        <w:spacing w:after="0" w:line="176" w:lineRule="exact"/>
        <w:rPr>
          <w:sz w:val="20"/>
          <w:szCs w:val="20"/>
          <w:color w:val="auto"/>
        </w:rPr>
      </w:pPr>
    </w:p>
    <w:p>
      <w:pPr>
        <w:ind w:left="780" w:right="259"/>
        <w:spacing w:after="0" w:line="251" w:lineRule="auto"/>
        <w:rPr>
          <w:sz w:val="20"/>
          <w:szCs w:val="20"/>
          <w:color w:val="auto"/>
        </w:rPr>
      </w:pPr>
      <w:r>
        <w:rPr>
          <w:rFonts w:ascii="Arial" w:cs="Arial" w:eastAsia="Arial" w:hAnsi="Arial"/>
          <w:sz w:val="21"/>
          <w:szCs w:val="21"/>
          <w:color w:val="auto"/>
        </w:rPr>
        <w:t>At the 2022 Annual Meeting of Stockholders, the shareholders approved the Board’s proposal to seek advisory approvals of the compensation of our Named Executive Officers on an annual basis. Accordingly, we expect the next advisory approval of executive compensation will occur at the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339725</wp:posOffset>
            </wp:positionV>
            <wp:extent cx="5011420" cy="7416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11420" cy="74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40" w:right="579"/>
        <w:spacing w:after="0" w:line="277" w:lineRule="auto"/>
        <w:rPr>
          <w:sz w:val="20"/>
          <w:szCs w:val="20"/>
          <w:color w:val="auto"/>
        </w:rPr>
      </w:pPr>
      <w:r>
        <w:rPr>
          <w:rFonts w:ascii="Arial" w:cs="Arial" w:eastAsia="Arial" w:hAnsi="Arial"/>
          <w:sz w:val="21"/>
          <w:szCs w:val="21"/>
          <w:b w:val="1"/>
          <w:bCs w:val="1"/>
          <w:color w:val="FFFFFF"/>
        </w:rPr>
        <w:t xml:space="preserve">The Board recommends a vote “FOR” approval, on an advisory, non-binding basis, of the compensation of our Named Executive </w:t>
      </w:r>
      <w:r>
        <w:rPr>
          <w:rFonts w:ascii="Arial" w:cs="Arial" w:eastAsia="Arial" w:hAnsi="Arial"/>
          <w:sz w:val="21"/>
          <w:szCs w:val="21"/>
          <w:color w:val="FFFFFF"/>
        </w:rPr>
        <w:t>​</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FFFFFF"/>
        </w:rPr>
        <w:t>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456565</wp:posOffset>
            </wp:positionV>
            <wp:extent cx="494665" cy="165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325120</wp:posOffset>
            </wp:positionV>
            <wp:extent cx="553847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Overview</w:t>
      </w:r>
    </w:p>
    <w:p>
      <w:pPr>
        <w:spacing w:after="0" w:line="209" w:lineRule="exact"/>
        <w:rPr>
          <w:sz w:val="20"/>
          <w:szCs w:val="20"/>
          <w:color w:val="auto"/>
        </w:rPr>
      </w:pPr>
    </w:p>
    <w:p>
      <w:pPr>
        <w:ind w:left="780" w:right="2019"/>
        <w:spacing w:after="0" w:line="268" w:lineRule="auto"/>
        <w:rPr>
          <w:sz w:val="20"/>
          <w:szCs w:val="20"/>
          <w:color w:val="auto"/>
        </w:rPr>
      </w:pPr>
      <w:r>
        <w:rPr>
          <w:rFonts w:ascii="Arial" w:cs="Arial" w:eastAsia="Arial" w:hAnsi="Arial"/>
          <w:sz w:val="42"/>
          <w:szCs w:val="42"/>
          <w:b w:val="1"/>
          <w:bCs w:val="1"/>
          <w:color w:val="28B5DE"/>
        </w:rPr>
        <w:t>COMPENSATION DISCUSSION AND ANALYSIS</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Overview</w:t>
      </w:r>
    </w:p>
    <w:p>
      <w:pPr>
        <w:spacing w:after="0" w:line="202" w:lineRule="exact"/>
        <w:rPr>
          <w:sz w:val="20"/>
          <w:szCs w:val="20"/>
          <w:color w:val="auto"/>
        </w:rPr>
      </w:pPr>
    </w:p>
    <w:p>
      <w:pPr>
        <w:ind w:left="780" w:right="179"/>
        <w:spacing w:after="0" w:line="251" w:lineRule="auto"/>
        <w:rPr>
          <w:sz w:val="20"/>
          <w:szCs w:val="20"/>
          <w:color w:val="auto"/>
        </w:rPr>
      </w:pPr>
      <w:r>
        <w:rPr>
          <w:rFonts w:ascii="Arial" w:cs="Arial" w:eastAsia="Arial" w:hAnsi="Arial"/>
          <w:sz w:val="21"/>
          <w:szCs w:val="21"/>
          <w:color w:val="auto"/>
        </w:rPr>
        <w:t>This Compensation Discussion and Analysis describes the Company’s executive compensation program and provides an overview of our executive compensation-related policies, practices and decisions for 2024. Our “Named Executive Officers,” or “NEOs,” as of December 31, 2024, are listed below:</w:t>
      </w:r>
    </w:p>
    <w:p>
      <w:pPr>
        <w:spacing w:after="0" w:line="347" w:lineRule="exact"/>
        <w:rPr>
          <w:sz w:val="20"/>
          <w:szCs w:val="20"/>
          <w:color w:val="auto"/>
        </w:rPr>
      </w:pPr>
    </w:p>
    <w:tbl>
      <w:tblPr>
        <w:tblLayout w:type="fixed"/>
        <w:tblInd w:w="780" w:type="dxa"/>
        <w:tblCellMar>
          <w:top w:w="0" w:type="dxa"/>
          <w:left w:w="0" w:type="dxa"/>
          <w:bottom w:w="0" w:type="dxa"/>
          <w:right w:w="0" w:type="dxa"/>
        </w:tblCellMar>
      </w:tblPr>
      <w:tr>
        <w:trPr>
          <w:trHeight w:val="239"/>
        </w:trPr>
        <w:tc>
          <w:tcPr>
            <w:tcW w:w="2600" w:type="dxa"/>
            <w:vAlign w:val="bottom"/>
          </w:tcPr>
          <w:p>
            <w:pPr>
              <w:ind w:left="100"/>
              <w:spacing w:after="0"/>
              <w:rPr>
                <w:sz w:val="20"/>
                <w:szCs w:val="20"/>
                <w:color w:val="auto"/>
              </w:rPr>
            </w:pPr>
            <w:r>
              <w:rPr>
                <w:rFonts w:ascii="Arial" w:cs="Arial" w:eastAsia="Arial" w:hAnsi="Arial"/>
                <w:sz w:val="17"/>
                <w:szCs w:val="17"/>
                <w:b w:val="1"/>
                <w:bCs w:val="1"/>
                <w:color w:val="auto"/>
              </w:rPr>
              <w:t>Michael B. Petras, Jr.</w:t>
            </w:r>
          </w:p>
        </w:tc>
        <w:tc>
          <w:tcPr>
            <w:tcW w:w="6120" w:type="dxa"/>
            <w:vAlign w:val="bottom"/>
          </w:tcPr>
          <w:p>
            <w:pPr>
              <w:ind w:left="820"/>
              <w:spacing w:after="0"/>
              <w:rPr>
                <w:sz w:val="20"/>
                <w:szCs w:val="20"/>
                <w:color w:val="auto"/>
              </w:rPr>
            </w:pPr>
            <w:r>
              <w:rPr>
                <w:rFonts w:ascii="Arial" w:cs="Arial" w:eastAsia="Arial" w:hAnsi="Arial"/>
                <w:sz w:val="17"/>
                <w:szCs w:val="17"/>
                <w:color w:val="auto"/>
              </w:rPr>
              <w:t>Chairman and CEO</w:t>
            </w:r>
          </w:p>
        </w:tc>
      </w:tr>
      <w:tr>
        <w:trPr>
          <w:trHeight w:val="53"/>
        </w:trPr>
        <w:tc>
          <w:tcPr>
            <w:tcW w:w="2600" w:type="dxa"/>
            <w:vAlign w:val="bottom"/>
            <w:tcBorders>
              <w:bottom w:val="single" w:sz="8" w:color="A1AFC2"/>
            </w:tcBorders>
          </w:tcPr>
          <w:p>
            <w:pPr>
              <w:spacing w:after="0"/>
              <w:rPr>
                <w:sz w:val="4"/>
                <w:szCs w:val="4"/>
                <w:color w:val="auto"/>
              </w:rPr>
            </w:pPr>
          </w:p>
        </w:tc>
        <w:tc>
          <w:tcPr>
            <w:tcW w:w="6120" w:type="dxa"/>
            <w:vAlign w:val="bottom"/>
            <w:tcBorders>
              <w:bottom w:val="single" w:sz="8" w:color="A1AFC2"/>
            </w:tcBorders>
          </w:tcPr>
          <w:p>
            <w:pPr>
              <w:spacing w:after="0"/>
              <w:rPr>
                <w:sz w:val="4"/>
                <w:szCs w:val="4"/>
                <w:color w:val="auto"/>
              </w:rPr>
            </w:pPr>
          </w:p>
        </w:tc>
      </w:tr>
      <w:tr>
        <w:trPr>
          <w:trHeight w:val="304"/>
        </w:trPr>
        <w:tc>
          <w:tcPr>
            <w:tcW w:w="2600" w:type="dxa"/>
            <w:vAlign w:val="bottom"/>
          </w:tcPr>
          <w:p>
            <w:pPr>
              <w:ind w:left="100"/>
              <w:spacing w:after="0"/>
              <w:rPr>
                <w:sz w:val="20"/>
                <w:szCs w:val="20"/>
                <w:color w:val="auto"/>
              </w:rPr>
            </w:pPr>
            <w:r>
              <w:rPr>
                <w:rFonts w:ascii="Arial" w:cs="Arial" w:eastAsia="Arial" w:hAnsi="Arial"/>
                <w:sz w:val="17"/>
                <w:szCs w:val="17"/>
                <w:b w:val="1"/>
                <w:bCs w:val="1"/>
                <w:color w:val="auto"/>
              </w:rPr>
              <w:t>Jonathan M. Lyons</w:t>
            </w:r>
          </w:p>
        </w:tc>
        <w:tc>
          <w:tcPr>
            <w:tcW w:w="6120" w:type="dxa"/>
            <w:vAlign w:val="bottom"/>
          </w:tcPr>
          <w:p>
            <w:pPr>
              <w:ind w:left="820"/>
              <w:spacing w:after="0"/>
              <w:rPr>
                <w:sz w:val="20"/>
                <w:szCs w:val="20"/>
                <w:color w:val="auto"/>
              </w:rPr>
            </w:pPr>
            <w:r>
              <w:rPr>
                <w:rFonts w:ascii="Arial" w:cs="Arial" w:eastAsia="Arial" w:hAnsi="Arial"/>
                <w:sz w:val="17"/>
                <w:szCs w:val="17"/>
                <w:color w:val="auto"/>
              </w:rPr>
              <w:t>Senior Vice President (“SVP”), Chief Financial Officer</w:t>
            </w:r>
          </w:p>
        </w:tc>
      </w:tr>
      <w:tr>
        <w:trPr>
          <w:trHeight w:val="53"/>
        </w:trPr>
        <w:tc>
          <w:tcPr>
            <w:tcW w:w="2600" w:type="dxa"/>
            <w:vAlign w:val="bottom"/>
            <w:tcBorders>
              <w:bottom w:val="single" w:sz="8" w:color="A1AFC2"/>
            </w:tcBorders>
          </w:tcPr>
          <w:p>
            <w:pPr>
              <w:spacing w:after="0"/>
              <w:rPr>
                <w:sz w:val="4"/>
                <w:szCs w:val="4"/>
                <w:color w:val="auto"/>
              </w:rPr>
            </w:pPr>
          </w:p>
        </w:tc>
        <w:tc>
          <w:tcPr>
            <w:tcW w:w="6120" w:type="dxa"/>
            <w:vAlign w:val="bottom"/>
            <w:tcBorders>
              <w:bottom w:val="single" w:sz="8" w:color="A1AFC2"/>
            </w:tcBorders>
          </w:tcPr>
          <w:p>
            <w:pPr>
              <w:spacing w:after="0"/>
              <w:rPr>
                <w:sz w:val="4"/>
                <w:szCs w:val="4"/>
                <w:color w:val="auto"/>
              </w:rPr>
            </w:pPr>
          </w:p>
        </w:tc>
      </w:tr>
      <w:tr>
        <w:trPr>
          <w:trHeight w:val="304"/>
        </w:trPr>
        <w:tc>
          <w:tcPr>
            <w:tcW w:w="2600" w:type="dxa"/>
            <w:vAlign w:val="bottom"/>
          </w:tcPr>
          <w:p>
            <w:pPr>
              <w:ind w:left="100"/>
              <w:spacing w:after="0"/>
              <w:rPr>
                <w:sz w:val="20"/>
                <w:szCs w:val="20"/>
                <w:color w:val="auto"/>
              </w:rPr>
            </w:pPr>
            <w:r>
              <w:rPr>
                <w:rFonts w:ascii="Arial" w:cs="Arial" w:eastAsia="Arial" w:hAnsi="Arial"/>
                <w:sz w:val="17"/>
                <w:szCs w:val="17"/>
                <w:b w:val="1"/>
                <w:bCs w:val="1"/>
                <w:color w:val="auto"/>
              </w:rPr>
              <w:t>Michael P. Rutz</w:t>
            </w:r>
          </w:p>
        </w:tc>
        <w:tc>
          <w:tcPr>
            <w:tcW w:w="6120" w:type="dxa"/>
            <w:vAlign w:val="bottom"/>
          </w:tcPr>
          <w:p>
            <w:pPr>
              <w:ind w:left="820"/>
              <w:spacing w:after="0"/>
              <w:rPr>
                <w:sz w:val="20"/>
                <w:szCs w:val="20"/>
                <w:color w:val="auto"/>
              </w:rPr>
            </w:pPr>
            <w:r>
              <w:rPr>
                <w:rFonts w:ascii="Arial" w:cs="Arial" w:eastAsia="Arial" w:hAnsi="Arial"/>
                <w:sz w:val="17"/>
                <w:szCs w:val="17"/>
                <w:color w:val="auto"/>
              </w:rPr>
              <w:t>President of Sterigenics</w:t>
            </w:r>
          </w:p>
        </w:tc>
      </w:tr>
      <w:tr>
        <w:trPr>
          <w:trHeight w:val="53"/>
        </w:trPr>
        <w:tc>
          <w:tcPr>
            <w:tcW w:w="2600" w:type="dxa"/>
            <w:vAlign w:val="bottom"/>
            <w:tcBorders>
              <w:bottom w:val="single" w:sz="8" w:color="A1AFC2"/>
            </w:tcBorders>
          </w:tcPr>
          <w:p>
            <w:pPr>
              <w:spacing w:after="0"/>
              <w:rPr>
                <w:sz w:val="4"/>
                <w:szCs w:val="4"/>
                <w:color w:val="auto"/>
              </w:rPr>
            </w:pPr>
          </w:p>
        </w:tc>
        <w:tc>
          <w:tcPr>
            <w:tcW w:w="6120" w:type="dxa"/>
            <w:vAlign w:val="bottom"/>
            <w:tcBorders>
              <w:bottom w:val="single" w:sz="8" w:color="A1AFC2"/>
            </w:tcBorders>
          </w:tcPr>
          <w:p>
            <w:pPr>
              <w:spacing w:after="0"/>
              <w:rPr>
                <w:sz w:val="4"/>
                <w:szCs w:val="4"/>
                <w:color w:val="auto"/>
              </w:rPr>
            </w:pPr>
          </w:p>
        </w:tc>
      </w:tr>
      <w:tr>
        <w:trPr>
          <w:trHeight w:val="304"/>
        </w:trPr>
        <w:tc>
          <w:tcPr>
            <w:tcW w:w="2600" w:type="dxa"/>
            <w:vAlign w:val="bottom"/>
          </w:tcPr>
          <w:p>
            <w:pPr>
              <w:ind w:left="100"/>
              <w:spacing w:after="0"/>
              <w:rPr>
                <w:sz w:val="20"/>
                <w:szCs w:val="20"/>
                <w:color w:val="auto"/>
              </w:rPr>
            </w:pPr>
            <w:r>
              <w:rPr>
                <w:rFonts w:ascii="Arial" w:cs="Arial" w:eastAsia="Arial" w:hAnsi="Arial"/>
                <w:sz w:val="17"/>
                <w:szCs w:val="17"/>
                <w:b w:val="1"/>
                <w:bCs w:val="1"/>
                <w:color w:val="auto"/>
              </w:rPr>
              <w:t>Alexander Dimitrief</w:t>
            </w:r>
          </w:p>
        </w:tc>
        <w:tc>
          <w:tcPr>
            <w:tcW w:w="6120" w:type="dxa"/>
            <w:vAlign w:val="bottom"/>
          </w:tcPr>
          <w:p>
            <w:pPr>
              <w:ind w:left="820"/>
              <w:spacing w:after="0"/>
              <w:rPr>
                <w:sz w:val="20"/>
                <w:szCs w:val="20"/>
                <w:color w:val="auto"/>
              </w:rPr>
            </w:pPr>
            <w:r>
              <w:rPr>
                <w:rFonts w:ascii="Arial" w:cs="Arial" w:eastAsia="Arial" w:hAnsi="Arial"/>
                <w:sz w:val="17"/>
                <w:szCs w:val="17"/>
                <w:color w:val="auto"/>
              </w:rPr>
              <w:t>SVP and General Counsel</w:t>
            </w:r>
          </w:p>
        </w:tc>
      </w:tr>
      <w:tr>
        <w:trPr>
          <w:trHeight w:val="53"/>
        </w:trPr>
        <w:tc>
          <w:tcPr>
            <w:tcW w:w="2600" w:type="dxa"/>
            <w:vAlign w:val="bottom"/>
            <w:tcBorders>
              <w:bottom w:val="single" w:sz="8" w:color="A1AFC2"/>
            </w:tcBorders>
          </w:tcPr>
          <w:p>
            <w:pPr>
              <w:spacing w:after="0"/>
              <w:rPr>
                <w:sz w:val="4"/>
                <w:szCs w:val="4"/>
                <w:color w:val="auto"/>
              </w:rPr>
            </w:pPr>
          </w:p>
        </w:tc>
        <w:tc>
          <w:tcPr>
            <w:tcW w:w="6120" w:type="dxa"/>
            <w:vAlign w:val="bottom"/>
            <w:tcBorders>
              <w:bottom w:val="single" w:sz="8" w:color="A1AFC2"/>
            </w:tcBorders>
          </w:tcPr>
          <w:p>
            <w:pPr>
              <w:spacing w:after="0"/>
              <w:rPr>
                <w:sz w:val="4"/>
                <w:szCs w:val="4"/>
                <w:color w:val="auto"/>
              </w:rPr>
            </w:pPr>
          </w:p>
        </w:tc>
      </w:tr>
    </w:tbl>
    <w:p>
      <w:pPr>
        <w:spacing w:after="0" w:line="200" w:lineRule="exact"/>
        <w:rPr>
          <w:sz w:val="20"/>
          <w:szCs w:val="20"/>
          <w:color w:val="auto"/>
        </w:rPr>
      </w:pPr>
    </w:p>
    <w:p>
      <w:pPr>
        <w:spacing w:after="0" w:line="228"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Business Performance Highlights</w:t>
      </w:r>
    </w:p>
    <w:p>
      <w:pPr>
        <w:spacing w:after="0" w:line="215" w:lineRule="exact"/>
        <w:rPr>
          <w:sz w:val="20"/>
          <w:szCs w:val="20"/>
          <w:color w:val="auto"/>
        </w:rPr>
      </w:pPr>
    </w:p>
    <w:p>
      <w:pPr>
        <w:ind w:left="780" w:right="179"/>
        <w:spacing w:after="0" w:line="256" w:lineRule="auto"/>
        <w:rPr>
          <w:sz w:val="20"/>
          <w:szCs w:val="20"/>
          <w:color w:val="auto"/>
        </w:rPr>
      </w:pPr>
      <w:r>
        <w:rPr>
          <w:rFonts w:ascii="Arial" w:cs="Arial" w:eastAsia="Arial" w:hAnsi="Arial"/>
          <w:sz w:val="20"/>
          <w:szCs w:val="20"/>
          <w:color w:val="auto"/>
        </w:rPr>
        <w:t>2024 marked the 19th consecutive year of annual revenue growth for the Company. On a consolidated basis, we grew revenue by 4.9%, which was 5.4% growth on a constant currency basis. Sterigenics, our largest reporting segment, delivered 4.6% revenue growth, which was 4.9% growth on a constant currency basis. Our Sterigenics team completed a facility expansion during the year, and significant progress was again made on numerous EO emissions control enhancements across its United States facilities. These enhancements continue to demonstrate our overarching commitment to safe operations for our employees, customers, and the communities in which we operate. Our Nordion segment delivered 8.0% revenue growth, which was 10.1% on a constant currency basis. Our Nordion team continues to make progress on their cobalt development programs, including the first installation of cobalt into a Darlington reactor with an expected cobalt-60 harvest in 2028. Finally, Nelson Labs achieved 3.4% revenue growth, which was also 3.4% growth on a constant currency basis, with strong double-digit revenue growth in both Embedded Labs and Expert Advisory Services.</w:t>
      </w:r>
    </w:p>
    <w:p>
      <w:pPr>
        <w:spacing w:after="0" w:line="263"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Executive Compensation Highlights</w:t>
      </w:r>
    </w:p>
    <w:p>
      <w:pPr>
        <w:spacing w:after="0" w:line="202" w:lineRule="exact"/>
        <w:rPr>
          <w:sz w:val="20"/>
          <w:szCs w:val="20"/>
          <w:color w:val="auto"/>
        </w:rPr>
      </w:pPr>
    </w:p>
    <w:p>
      <w:pPr>
        <w:ind w:left="780" w:right="479"/>
        <w:spacing w:after="0" w:line="277" w:lineRule="auto"/>
        <w:rPr>
          <w:sz w:val="20"/>
          <w:szCs w:val="20"/>
          <w:color w:val="auto"/>
        </w:rPr>
      </w:pPr>
      <w:r>
        <w:rPr>
          <w:rFonts w:ascii="Arial" w:cs="Arial" w:eastAsia="Arial" w:hAnsi="Arial"/>
          <w:sz w:val="21"/>
          <w:szCs w:val="21"/>
          <w:color w:val="auto"/>
        </w:rPr>
        <w:t>Our executive compensation program is designed to align the interests of our executives with the interests of our shareholders and is guided by three core principles:</w:t>
      </w:r>
    </w:p>
    <w:p>
      <w:pPr>
        <w:spacing w:after="0" w:line="40" w:lineRule="exact"/>
        <w:rPr>
          <w:sz w:val="20"/>
          <w:szCs w:val="20"/>
          <w:color w:val="auto"/>
        </w:rPr>
      </w:pPr>
    </w:p>
    <w:p>
      <w:pPr>
        <w:jc w:val="both"/>
        <w:ind w:left="1120" w:right="319" w:hanging="337"/>
        <w:spacing w:after="0" w:line="246" w:lineRule="auto"/>
        <w:tabs>
          <w:tab w:leader="none" w:pos="1120" w:val="left"/>
        </w:tabs>
        <w:numPr>
          <w:ilvl w:val="0"/>
          <w:numId w:val="23"/>
        </w:numPr>
        <w:rPr>
          <w:rFonts w:ascii="Arial" w:cs="Arial" w:eastAsia="Arial" w:hAnsi="Arial"/>
          <w:sz w:val="21"/>
          <w:szCs w:val="21"/>
          <w:color w:val="435F86"/>
        </w:rPr>
      </w:pPr>
      <w:r>
        <w:rPr>
          <w:rFonts w:ascii="Arial" w:cs="Arial" w:eastAsia="Arial" w:hAnsi="Arial"/>
          <w:sz w:val="21"/>
          <w:szCs w:val="21"/>
          <w:b w:val="1"/>
          <w:bCs w:val="1"/>
          <w:color w:val="auto"/>
        </w:rPr>
        <w:t xml:space="preserve">We pay for performance. </w:t>
      </w:r>
      <w:r>
        <w:rPr>
          <w:rFonts w:ascii="Arial" w:cs="Arial" w:eastAsia="Arial" w:hAnsi="Arial"/>
          <w:sz w:val="21"/>
          <w:szCs w:val="21"/>
          <w:color w:val="auto"/>
        </w:rPr>
        <w:t>The majority of our executives’ compensation is contingent, rather</w:t>
      </w:r>
      <w:r>
        <w:rPr>
          <w:rFonts w:ascii="Arial" w:cs="Arial" w:eastAsia="Arial" w:hAnsi="Arial"/>
          <w:sz w:val="21"/>
          <w:szCs w:val="21"/>
          <w:b w:val="1"/>
          <w:bCs w:val="1"/>
          <w:color w:val="auto"/>
        </w:rPr>
        <w:t xml:space="preserve"> </w:t>
      </w:r>
      <w:r>
        <w:rPr>
          <w:rFonts w:ascii="Arial" w:cs="Arial" w:eastAsia="Arial" w:hAnsi="Arial"/>
          <w:sz w:val="21"/>
          <w:szCs w:val="21"/>
          <w:color w:val="auto"/>
        </w:rPr>
        <w:t>than fixed, and subject to variability commensurate with Company and individual performance. We set challenging financial and operational performance goals designed to build sustainable, long-term shareholder value while embedding into individual performance goals objectives that advance the Company’s values.</w:t>
      </w:r>
    </w:p>
    <w:p>
      <w:pPr>
        <w:spacing w:after="0" w:line="73" w:lineRule="exact"/>
        <w:rPr>
          <w:rFonts w:ascii="Arial" w:cs="Arial" w:eastAsia="Arial" w:hAnsi="Arial"/>
          <w:sz w:val="21"/>
          <w:szCs w:val="21"/>
          <w:color w:val="435F86"/>
        </w:rPr>
      </w:pPr>
    </w:p>
    <w:p>
      <w:pPr>
        <w:ind w:left="1120" w:right="419" w:hanging="337"/>
        <w:spacing w:after="0" w:line="251" w:lineRule="auto"/>
        <w:tabs>
          <w:tab w:leader="none" w:pos="1120" w:val="left"/>
        </w:tabs>
        <w:numPr>
          <w:ilvl w:val="0"/>
          <w:numId w:val="23"/>
        </w:numPr>
        <w:rPr>
          <w:rFonts w:ascii="Arial" w:cs="Arial" w:eastAsia="Arial" w:hAnsi="Arial"/>
          <w:sz w:val="21"/>
          <w:szCs w:val="21"/>
          <w:color w:val="435F86"/>
        </w:rPr>
      </w:pPr>
      <w:r>
        <w:rPr>
          <w:rFonts w:ascii="Arial" w:cs="Arial" w:eastAsia="Arial" w:hAnsi="Arial"/>
          <w:sz w:val="21"/>
          <w:szCs w:val="21"/>
          <w:b w:val="1"/>
          <w:bCs w:val="1"/>
          <w:color w:val="auto"/>
        </w:rPr>
        <w:t xml:space="preserve">We balance the achievement of both short-term and long-term business performance goals. </w:t>
      </w:r>
      <w:r>
        <w:rPr>
          <w:rFonts w:ascii="Arial" w:cs="Arial" w:eastAsia="Arial" w:hAnsi="Arial"/>
          <w:sz w:val="21"/>
          <w:szCs w:val="21"/>
          <w:color w:val="auto"/>
        </w:rPr>
        <w:t>Executives receive short-term and long-term incentive awards, the values of which are</w:t>
      </w:r>
      <w:r>
        <w:rPr>
          <w:rFonts w:ascii="Arial" w:cs="Arial" w:eastAsia="Arial" w:hAnsi="Arial"/>
          <w:sz w:val="21"/>
          <w:szCs w:val="21"/>
          <w:b w:val="1"/>
          <w:bCs w:val="1"/>
          <w:color w:val="auto"/>
        </w:rPr>
        <w:t xml:space="preserve"> </w:t>
      </w:r>
      <w:r>
        <w:rPr>
          <w:rFonts w:ascii="Arial" w:cs="Arial" w:eastAsia="Arial" w:hAnsi="Arial"/>
          <w:sz w:val="21"/>
          <w:szCs w:val="21"/>
          <w:color w:val="auto"/>
        </w:rPr>
        <w:t>dependent on Company performance. Annual variable cash compensation is based on the achievement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133350</wp:posOffset>
            </wp:positionV>
            <wp:extent cx="553847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45085</wp:posOffset>
            </wp:positionV>
            <wp:extent cx="656971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Overview</w:t>
      </w:r>
    </w:p>
    <w:p>
      <w:pPr>
        <w:spacing w:after="0" w:line="238" w:lineRule="exact"/>
        <w:rPr>
          <w:sz w:val="20"/>
          <w:szCs w:val="20"/>
          <w:color w:val="auto"/>
        </w:rPr>
      </w:pPr>
    </w:p>
    <w:p>
      <w:pPr>
        <w:ind w:left="1120" w:right="339"/>
        <w:spacing w:after="0" w:line="251" w:lineRule="auto"/>
        <w:rPr>
          <w:sz w:val="20"/>
          <w:szCs w:val="20"/>
          <w:color w:val="auto"/>
        </w:rPr>
      </w:pPr>
      <w:r>
        <w:rPr>
          <w:rFonts w:ascii="Arial" w:cs="Arial" w:eastAsia="Arial" w:hAnsi="Arial"/>
          <w:sz w:val="21"/>
          <w:szCs w:val="21"/>
          <w:color w:val="auto"/>
        </w:rPr>
        <w:t>predetermined performance goals, which motivates executives to achieve key objectives that support the achievement of the Company’s long-term strategic goals. Long-term equity compensation aligns executive and shareholder interests by linking executive compensation to long-term value creation and stock price performance.</w:t>
      </w:r>
    </w:p>
    <w:p>
      <w:pPr>
        <w:spacing w:after="0" w:line="67" w:lineRule="exact"/>
        <w:rPr>
          <w:sz w:val="20"/>
          <w:szCs w:val="20"/>
          <w:color w:val="auto"/>
        </w:rPr>
      </w:pPr>
    </w:p>
    <w:p>
      <w:pPr>
        <w:ind w:left="1120" w:right="239" w:hanging="337"/>
        <w:spacing w:after="0" w:line="248" w:lineRule="auto"/>
        <w:tabs>
          <w:tab w:leader="none" w:pos="1120" w:val="left"/>
        </w:tabs>
        <w:numPr>
          <w:ilvl w:val="0"/>
          <w:numId w:val="24"/>
        </w:numPr>
        <w:rPr>
          <w:rFonts w:ascii="Arial" w:cs="Arial" w:eastAsia="Arial" w:hAnsi="Arial"/>
          <w:sz w:val="21"/>
          <w:szCs w:val="21"/>
          <w:color w:val="435F86"/>
        </w:rPr>
      </w:pPr>
      <w:r>
        <w:rPr>
          <w:rFonts w:ascii="Arial" w:cs="Arial" w:eastAsia="Arial" w:hAnsi="Arial"/>
          <w:sz w:val="21"/>
          <w:szCs w:val="21"/>
          <w:b w:val="1"/>
          <w:bCs w:val="1"/>
          <w:color w:val="auto"/>
        </w:rPr>
        <w:t xml:space="preserve">We provide competitive compensation to attract, retain and motivate top talent. </w:t>
      </w:r>
      <w:r>
        <w:rPr>
          <w:rFonts w:ascii="Arial" w:cs="Arial" w:eastAsia="Arial" w:hAnsi="Arial"/>
          <w:sz w:val="21"/>
          <w:szCs w:val="21"/>
          <w:color w:val="auto"/>
        </w:rPr>
        <w:t>Our</w:t>
      </w:r>
      <w:r>
        <w:rPr>
          <w:rFonts w:ascii="Arial" w:cs="Arial" w:eastAsia="Arial" w:hAnsi="Arial"/>
          <w:sz w:val="21"/>
          <w:szCs w:val="21"/>
          <w:b w:val="1"/>
          <w:bCs w:val="1"/>
          <w:color w:val="auto"/>
        </w:rPr>
        <w:t xml:space="preserve"> </w:t>
      </w:r>
      <w:r>
        <w:rPr>
          <w:rFonts w:ascii="Arial" w:cs="Arial" w:eastAsia="Arial" w:hAnsi="Arial"/>
          <w:sz w:val="21"/>
          <w:szCs w:val="21"/>
          <w:color w:val="auto"/>
        </w:rPr>
        <w:t>compensation programs are market competitive and enable us to attract, retain, and motivate highly talented individuals. We reward over-achievement and our highest performing executives can expect</w:t>
      </w:r>
    </w:p>
    <w:p>
      <w:pPr>
        <w:spacing w:after="0" w:line="2" w:lineRule="exact"/>
        <w:rPr>
          <w:rFonts w:ascii="Arial" w:cs="Arial" w:eastAsia="Arial" w:hAnsi="Arial"/>
          <w:sz w:val="21"/>
          <w:szCs w:val="21"/>
          <w:color w:val="435F86"/>
        </w:rPr>
      </w:pPr>
    </w:p>
    <w:p>
      <w:pPr>
        <w:ind w:left="1120"/>
        <w:spacing w:after="0"/>
        <w:rPr>
          <w:rFonts w:ascii="Arial" w:cs="Arial" w:eastAsia="Arial" w:hAnsi="Arial"/>
          <w:sz w:val="21"/>
          <w:szCs w:val="21"/>
          <w:color w:val="435F86"/>
        </w:rPr>
      </w:pPr>
      <w:r>
        <w:rPr>
          <w:rFonts w:ascii="Arial" w:cs="Arial" w:eastAsia="Arial" w:hAnsi="Arial"/>
          <w:sz w:val="21"/>
          <w:szCs w:val="21"/>
          <w:color w:val="auto"/>
        </w:rPr>
        <w:t>differentiated rewards, contributing to retention and engagement.</w:t>
      </w:r>
    </w:p>
    <w:p>
      <w:pPr>
        <w:spacing w:after="0" w:line="172" w:lineRule="exact"/>
        <w:rPr>
          <w:sz w:val="20"/>
          <w:szCs w:val="20"/>
          <w:color w:val="auto"/>
        </w:rPr>
      </w:pPr>
    </w:p>
    <w:p>
      <w:pPr>
        <w:jc w:val="both"/>
        <w:ind w:left="780" w:right="559"/>
        <w:spacing w:after="0" w:line="261" w:lineRule="auto"/>
        <w:rPr>
          <w:sz w:val="20"/>
          <w:szCs w:val="20"/>
          <w:color w:val="auto"/>
        </w:rPr>
      </w:pPr>
      <w:r>
        <w:rPr>
          <w:rFonts w:ascii="Arial" w:cs="Arial" w:eastAsia="Arial" w:hAnsi="Arial"/>
          <w:sz w:val="21"/>
          <w:szCs w:val="21"/>
          <w:color w:val="auto"/>
        </w:rPr>
        <w:t>The following summarizes the LDC Committee’s key actions with respect to our 2024 executive compensation program and demonstrates the program’s focus on the three principles described above.</w:t>
      </w:r>
    </w:p>
    <w:p>
      <w:pPr>
        <w:spacing w:after="0" w:line="147" w:lineRule="exact"/>
        <w:rPr>
          <w:sz w:val="20"/>
          <w:szCs w:val="20"/>
          <w:color w:val="auto"/>
        </w:rPr>
      </w:pPr>
    </w:p>
    <w:p>
      <w:pPr>
        <w:ind w:left="780" w:right="179"/>
        <w:spacing w:after="0" w:line="261" w:lineRule="auto"/>
        <w:rPr>
          <w:sz w:val="20"/>
          <w:szCs w:val="20"/>
          <w:color w:val="auto"/>
        </w:rPr>
      </w:pPr>
      <w:r>
        <w:rPr>
          <w:rFonts w:ascii="Arial" w:cs="Arial" w:eastAsia="Arial" w:hAnsi="Arial"/>
          <w:sz w:val="21"/>
          <w:szCs w:val="21"/>
          <w:b w:val="1"/>
          <w:bCs w:val="1"/>
          <w:color w:val="auto"/>
        </w:rPr>
        <w:t xml:space="preserve">2024 Annual Incentive Plan (AIP) Payouts. </w:t>
      </w:r>
      <w:r>
        <w:rPr>
          <w:rFonts w:ascii="Arial" w:cs="Arial" w:eastAsia="Arial" w:hAnsi="Arial"/>
          <w:sz w:val="21"/>
          <w:szCs w:val="21"/>
          <w:color w:val="auto"/>
        </w:rPr>
        <w:t>The Company’s 2024 performance produced payouts</w:t>
      </w:r>
      <w:r>
        <w:rPr>
          <w:rFonts w:ascii="Arial" w:cs="Arial" w:eastAsia="Arial" w:hAnsi="Arial"/>
          <w:sz w:val="21"/>
          <w:szCs w:val="21"/>
          <w:b w:val="1"/>
          <w:bCs w:val="1"/>
          <w:color w:val="auto"/>
        </w:rPr>
        <w:t xml:space="preserve"> </w:t>
      </w:r>
      <w:r>
        <w:rPr>
          <w:rFonts w:ascii="Arial" w:cs="Arial" w:eastAsia="Arial" w:hAnsi="Arial"/>
          <w:sz w:val="21"/>
          <w:szCs w:val="21"/>
          <w:color w:val="auto"/>
        </w:rPr>
        <w:t>under our Annual Incentive Plan (“AIP”) at 94% of target for overall Company performance and at 91% of target for Sterigenics performance.</w:t>
      </w:r>
    </w:p>
    <w:p>
      <w:pPr>
        <w:spacing w:after="0" w:line="147" w:lineRule="exact"/>
        <w:rPr>
          <w:sz w:val="20"/>
          <w:szCs w:val="20"/>
          <w:color w:val="auto"/>
        </w:rPr>
      </w:pPr>
    </w:p>
    <w:p>
      <w:pPr>
        <w:ind w:left="780" w:right="419"/>
        <w:spacing w:after="0" w:line="254" w:lineRule="auto"/>
        <w:rPr>
          <w:sz w:val="20"/>
          <w:szCs w:val="20"/>
          <w:color w:val="auto"/>
        </w:rPr>
      </w:pPr>
      <w:r>
        <w:rPr>
          <w:rFonts w:ascii="Arial" w:cs="Arial" w:eastAsia="Arial" w:hAnsi="Arial"/>
          <w:sz w:val="21"/>
          <w:szCs w:val="21"/>
          <w:color w:val="auto"/>
        </w:rPr>
        <w:t>Executive payouts are based on the achievement of applicable financial performance goals and individual performance, including the extent to which the executive demonstrates our core values. See “Annual Incentive Plan (AIP)” on page 42 for more information.</w:t>
      </w:r>
    </w:p>
    <w:p>
      <w:pPr>
        <w:spacing w:after="0" w:line="168" w:lineRule="exact"/>
        <w:rPr>
          <w:sz w:val="20"/>
          <w:szCs w:val="20"/>
          <w:color w:val="auto"/>
        </w:rPr>
      </w:pPr>
    </w:p>
    <w:p>
      <w:pPr>
        <w:ind w:left="780" w:right="179"/>
        <w:spacing w:after="0" w:line="261" w:lineRule="auto"/>
        <w:rPr>
          <w:sz w:val="20"/>
          <w:szCs w:val="20"/>
          <w:color w:val="auto"/>
        </w:rPr>
      </w:pPr>
      <w:r>
        <w:rPr>
          <w:rFonts w:ascii="Arial" w:cs="Arial" w:eastAsia="Arial" w:hAnsi="Arial"/>
          <w:sz w:val="20"/>
          <w:szCs w:val="20"/>
          <w:b w:val="1"/>
          <w:bCs w:val="1"/>
          <w:color w:val="auto"/>
        </w:rPr>
        <w:t xml:space="preserve">Annual Long-Term Equity Incentive Awards Granted in 2024. </w:t>
      </w:r>
      <w:r>
        <w:rPr>
          <w:rFonts w:ascii="Arial" w:cs="Arial" w:eastAsia="Arial" w:hAnsi="Arial"/>
          <w:sz w:val="20"/>
          <w:szCs w:val="20"/>
          <w:color w:val="auto"/>
        </w:rPr>
        <w:t>In March 2024, we granted</w:t>
      </w:r>
      <w:r>
        <w:rPr>
          <w:rFonts w:ascii="Arial" w:cs="Arial" w:eastAsia="Arial" w:hAnsi="Arial"/>
          <w:sz w:val="20"/>
          <w:szCs w:val="20"/>
          <w:b w:val="1"/>
          <w:bCs w:val="1"/>
          <w:color w:val="auto"/>
        </w:rPr>
        <w:t xml:space="preserve"> </w:t>
      </w:r>
      <w:r>
        <w:rPr>
          <w:rFonts w:ascii="Arial" w:cs="Arial" w:eastAsia="Arial" w:hAnsi="Arial"/>
          <w:sz w:val="20"/>
          <w:szCs w:val="20"/>
          <w:color w:val="auto"/>
        </w:rPr>
        <w:t>awards in our annual equity award cycle. Each NEO we employed as of March 2024 received a long-term equity incentive award comprised of stock options and time-based RSUs. Consistent with our compensation philosophy, we use equity incentive compensation to incentivize long-term value creation and align our executives’ interests with those of our shareholders. The LDC Committee also uses equity incentive compensation to attract and retain talent.</w:t>
      </w:r>
    </w:p>
    <w:p>
      <w:pPr>
        <w:spacing w:after="0" w:line="161" w:lineRule="exact"/>
        <w:rPr>
          <w:sz w:val="20"/>
          <w:szCs w:val="20"/>
          <w:color w:val="auto"/>
        </w:rPr>
      </w:pPr>
    </w:p>
    <w:p>
      <w:pPr>
        <w:ind w:left="780" w:right="279"/>
        <w:spacing w:after="0" w:line="265" w:lineRule="auto"/>
        <w:rPr>
          <w:sz w:val="20"/>
          <w:szCs w:val="20"/>
          <w:color w:val="auto"/>
        </w:rPr>
      </w:pPr>
      <w:r>
        <w:rPr>
          <w:rFonts w:ascii="Arial" w:cs="Arial" w:eastAsia="Arial" w:hAnsi="Arial"/>
          <w:sz w:val="20"/>
          <w:szCs w:val="20"/>
          <w:b w:val="1"/>
          <w:bCs w:val="1"/>
          <w:color w:val="auto"/>
        </w:rPr>
        <w:t xml:space="preserve">Annual Long-Term Equity Incentive Awards Granted in 2025. </w:t>
      </w:r>
      <w:r>
        <w:rPr>
          <w:rFonts w:ascii="Arial" w:cs="Arial" w:eastAsia="Arial" w:hAnsi="Arial"/>
          <w:sz w:val="20"/>
          <w:szCs w:val="20"/>
          <w:color w:val="auto"/>
        </w:rPr>
        <w:t>In response to input from our</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shareholders, we revised the design of our 2025 long-term incentive program for our NEOs. In particular, shareholders have expressed a preference for long-term incentives that are tied to three-year financial objectives and that represent at least 50% of our NEOs’ long-term incentive awards. Our 2025 grants to NEOs directly address these preferences. In particular, we:</w:t>
      </w:r>
    </w:p>
    <w:p>
      <w:pPr>
        <w:spacing w:after="0" w:line="41" w:lineRule="exact"/>
        <w:rPr>
          <w:sz w:val="20"/>
          <w:szCs w:val="20"/>
          <w:color w:val="auto"/>
        </w:rPr>
      </w:pPr>
    </w:p>
    <w:p>
      <w:pPr>
        <w:ind w:left="1120" w:right="779" w:hanging="337"/>
        <w:spacing w:after="0" w:line="261" w:lineRule="auto"/>
        <w:tabs>
          <w:tab w:leader="none" w:pos="1120" w:val="left"/>
        </w:tabs>
        <w:numPr>
          <w:ilvl w:val="0"/>
          <w:numId w:val="25"/>
        </w:numPr>
        <w:rPr>
          <w:rFonts w:ascii="Arial" w:cs="Arial" w:eastAsia="Arial" w:hAnsi="Arial"/>
          <w:sz w:val="21"/>
          <w:szCs w:val="21"/>
          <w:color w:val="435F86"/>
        </w:rPr>
      </w:pPr>
      <w:r>
        <w:rPr>
          <w:rFonts w:ascii="Arial" w:cs="Arial" w:eastAsia="Arial" w:hAnsi="Arial"/>
          <w:sz w:val="21"/>
          <w:szCs w:val="21"/>
          <w:color w:val="auto"/>
        </w:rPr>
        <w:t>Introduced performance share units (“PSUs”) into our grant mix for our NEOs, tied to the achievement of rigorous revenue and free cash flow goals over a three-year performance period;</w:t>
      </w:r>
    </w:p>
    <w:p>
      <w:pPr>
        <w:spacing w:after="0" w:line="42" w:lineRule="exact"/>
        <w:rPr>
          <w:rFonts w:ascii="Arial" w:cs="Arial" w:eastAsia="Arial" w:hAnsi="Arial"/>
          <w:sz w:val="21"/>
          <w:szCs w:val="21"/>
          <w:color w:val="435F86"/>
        </w:rPr>
      </w:pPr>
    </w:p>
    <w:p>
      <w:pPr>
        <w:jc w:val="both"/>
        <w:ind w:left="1120" w:right="659" w:hanging="337"/>
        <w:spacing w:after="0" w:line="280" w:lineRule="auto"/>
        <w:tabs>
          <w:tab w:leader="none" w:pos="1120" w:val="left"/>
        </w:tabs>
        <w:numPr>
          <w:ilvl w:val="0"/>
          <w:numId w:val="25"/>
        </w:numPr>
        <w:rPr>
          <w:rFonts w:ascii="Arial" w:cs="Arial" w:eastAsia="Arial" w:hAnsi="Arial"/>
          <w:sz w:val="20"/>
          <w:szCs w:val="20"/>
          <w:color w:val="435F86"/>
        </w:rPr>
      </w:pPr>
      <w:r>
        <w:rPr>
          <w:rFonts w:ascii="Arial" w:cs="Arial" w:eastAsia="Arial" w:hAnsi="Arial"/>
          <w:sz w:val="20"/>
          <w:szCs w:val="20"/>
          <w:color w:val="auto"/>
        </w:rPr>
        <w:t>Further aligned our CEO’s total target pay with shareholder value creation by awarding him share appreciation units (“SAUs”) that are earned based on the achievement of stock price improvement goals over their three-year performance period;</w:t>
      </w:r>
    </w:p>
    <w:p>
      <w:pPr>
        <w:spacing w:after="0" w:line="25" w:lineRule="exact"/>
        <w:rPr>
          <w:rFonts w:ascii="Arial" w:cs="Arial" w:eastAsia="Arial" w:hAnsi="Arial"/>
          <w:sz w:val="20"/>
          <w:szCs w:val="20"/>
          <w:color w:val="435F86"/>
        </w:rPr>
      </w:pPr>
    </w:p>
    <w:p>
      <w:pPr>
        <w:ind w:left="1120" w:right="659" w:hanging="337"/>
        <w:spacing w:after="0" w:line="303" w:lineRule="auto"/>
        <w:tabs>
          <w:tab w:leader="none" w:pos="1120" w:val="left"/>
        </w:tabs>
        <w:numPr>
          <w:ilvl w:val="0"/>
          <w:numId w:val="25"/>
        </w:numPr>
        <w:rPr>
          <w:rFonts w:ascii="Arial" w:cs="Arial" w:eastAsia="Arial" w:hAnsi="Arial"/>
          <w:sz w:val="20"/>
          <w:szCs w:val="20"/>
          <w:color w:val="435F86"/>
        </w:rPr>
      </w:pPr>
      <w:r>
        <w:rPr>
          <w:rFonts w:ascii="Arial" w:cs="Arial" w:eastAsia="Arial" w:hAnsi="Arial"/>
          <w:sz w:val="20"/>
          <w:szCs w:val="20"/>
          <w:color w:val="auto"/>
        </w:rPr>
        <w:t>Introduced performance criteria to the RSUs granted to our non-CEO NEOs, tightening the linkage between these executives’ pay and shareholder value creation; and</w:t>
      </w:r>
    </w:p>
    <w:p>
      <w:pPr>
        <w:spacing w:after="0" w:line="16" w:lineRule="exact"/>
        <w:rPr>
          <w:rFonts w:ascii="Arial" w:cs="Arial" w:eastAsia="Arial" w:hAnsi="Arial"/>
          <w:sz w:val="20"/>
          <w:szCs w:val="20"/>
          <w:color w:val="435F86"/>
        </w:rPr>
      </w:pPr>
    </w:p>
    <w:p>
      <w:pPr>
        <w:ind w:left="1120" w:right="879" w:hanging="337"/>
        <w:spacing w:after="0" w:line="264" w:lineRule="auto"/>
        <w:tabs>
          <w:tab w:leader="none" w:pos="1120" w:val="left"/>
        </w:tabs>
        <w:numPr>
          <w:ilvl w:val="0"/>
          <w:numId w:val="25"/>
        </w:numPr>
        <w:rPr>
          <w:rFonts w:ascii="Arial" w:cs="Arial" w:eastAsia="Arial" w:hAnsi="Arial"/>
          <w:sz w:val="21"/>
          <w:szCs w:val="21"/>
          <w:color w:val="435F86"/>
        </w:rPr>
      </w:pPr>
      <w:r>
        <w:rPr>
          <w:rFonts w:ascii="Arial" w:cs="Arial" w:eastAsia="Arial" w:hAnsi="Arial"/>
          <w:sz w:val="21"/>
          <w:szCs w:val="21"/>
          <w:color w:val="auto"/>
        </w:rPr>
        <w:t>Structured the award mix to our NEOs such that at least 50% of the long-term incentives awarded in 2025 is tied to three-year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511810</wp:posOffset>
            </wp:positionV>
            <wp:extent cx="494665" cy="165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387985</wp:posOffset>
            </wp:positionV>
            <wp:extent cx="553847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Consideration of 2024 Say-On-Pay Result</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Consideration of 2024 Say-On-Pay Result</w:t>
      </w:r>
    </w:p>
    <w:p>
      <w:pPr>
        <w:spacing w:after="0" w:line="215" w:lineRule="exact"/>
        <w:rPr>
          <w:sz w:val="20"/>
          <w:szCs w:val="20"/>
          <w:color w:val="auto"/>
        </w:rPr>
      </w:pPr>
    </w:p>
    <w:p>
      <w:pPr>
        <w:ind w:left="780" w:right="860"/>
        <w:spacing w:after="0" w:line="249" w:lineRule="auto"/>
        <w:rPr>
          <w:sz w:val="20"/>
          <w:szCs w:val="20"/>
          <w:color w:val="auto"/>
        </w:rPr>
      </w:pPr>
      <w:r>
        <w:rPr>
          <w:rFonts w:ascii="Arial" w:cs="Arial" w:eastAsia="Arial" w:hAnsi="Arial"/>
          <w:sz w:val="21"/>
          <w:szCs w:val="21"/>
          <w:color w:val="auto"/>
        </w:rPr>
        <w:t>Our shareholders vote annually, on an advisory basis, to approve the compensation of our NEOs as set out in the Compensation Discussion and Analysis section and in the compensation tables and accompanying narrative disclosure in the Proxy Statement. At our 2024 Annual Meeting, we received over 98% approval, based on the total votes cast, for our annual advisory say-on-pay proposal to approve the compensation of our NEOs.</w:t>
      </w:r>
    </w:p>
    <w:p>
      <w:pPr>
        <w:spacing w:after="0" w:line="162" w:lineRule="exact"/>
        <w:rPr>
          <w:sz w:val="20"/>
          <w:szCs w:val="20"/>
          <w:color w:val="auto"/>
        </w:rPr>
      </w:pPr>
    </w:p>
    <w:p>
      <w:pPr>
        <w:ind w:left="780" w:right="860"/>
        <w:spacing w:after="0" w:line="248" w:lineRule="auto"/>
        <w:rPr>
          <w:sz w:val="20"/>
          <w:szCs w:val="20"/>
          <w:color w:val="auto"/>
        </w:rPr>
      </w:pPr>
      <w:r>
        <w:rPr>
          <w:rFonts w:ascii="Arial" w:cs="Arial" w:eastAsia="Arial" w:hAnsi="Arial"/>
          <w:sz w:val="21"/>
          <w:szCs w:val="21"/>
          <w:color w:val="auto"/>
        </w:rPr>
        <w:t>The LDC Committee believes these voting results demonstrate significant support for our NEO compensation program. The LDC Committee carefully considered this result as well as other factors in connection with its review of compensation policies and decisions during the remainder of 2024 and as it designed 2025 executive compensation. The LDC Committee will continue to work to monitor changes in executive compensation to keep our executive compensation program aligned with best practices in our competitive market.</w:t>
      </w:r>
    </w:p>
    <w:p>
      <w:pPr>
        <w:spacing w:after="0" w:line="164" w:lineRule="exact"/>
        <w:rPr>
          <w:sz w:val="20"/>
          <w:szCs w:val="20"/>
          <w:color w:val="auto"/>
        </w:rPr>
      </w:pPr>
    </w:p>
    <w:p>
      <w:pPr>
        <w:ind w:left="780" w:right="960"/>
        <w:spacing w:after="0" w:line="277" w:lineRule="auto"/>
        <w:rPr>
          <w:sz w:val="20"/>
          <w:szCs w:val="20"/>
          <w:color w:val="auto"/>
        </w:rPr>
      </w:pPr>
      <w:r>
        <w:rPr>
          <w:rFonts w:ascii="Arial" w:cs="Arial" w:eastAsia="Arial" w:hAnsi="Arial"/>
          <w:sz w:val="21"/>
          <w:szCs w:val="21"/>
          <w:color w:val="auto"/>
        </w:rPr>
        <w:t>As noted above, in response to input from our shareholders we have revised our approach to long-term incentives granted to NEOs in 2025. Specifically, we have:</w:t>
      </w:r>
    </w:p>
    <w:p>
      <w:pPr>
        <w:spacing w:after="0" w:line="40" w:lineRule="exact"/>
        <w:rPr>
          <w:sz w:val="20"/>
          <w:szCs w:val="20"/>
          <w:color w:val="auto"/>
        </w:rPr>
      </w:pPr>
    </w:p>
    <w:p>
      <w:pPr>
        <w:ind w:left="1120" w:right="1080" w:hanging="337"/>
        <w:spacing w:after="0" w:line="254" w:lineRule="auto"/>
        <w:tabs>
          <w:tab w:leader="none" w:pos="1120" w:val="left"/>
        </w:tabs>
        <w:numPr>
          <w:ilvl w:val="0"/>
          <w:numId w:val="26"/>
        </w:numPr>
        <w:rPr>
          <w:rFonts w:ascii="Arial" w:cs="Arial" w:eastAsia="Arial" w:hAnsi="Arial"/>
          <w:sz w:val="21"/>
          <w:szCs w:val="21"/>
          <w:color w:val="435F86"/>
        </w:rPr>
      </w:pPr>
      <w:r>
        <w:rPr>
          <w:rFonts w:ascii="Arial" w:cs="Arial" w:eastAsia="Arial" w:hAnsi="Arial"/>
          <w:sz w:val="21"/>
          <w:szCs w:val="21"/>
          <w:color w:val="auto"/>
        </w:rPr>
        <w:t>Eliminated granting stock option awards in 2025 and replaced this long-term incentive component with PSUs that are tied to aspirational revenue and free cash flow goals over their three-year performance period;</w:t>
      </w:r>
    </w:p>
    <w:p>
      <w:pPr>
        <w:spacing w:after="0" w:line="51" w:lineRule="exact"/>
        <w:rPr>
          <w:rFonts w:ascii="Arial" w:cs="Arial" w:eastAsia="Arial" w:hAnsi="Arial"/>
          <w:sz w:val="21"/>
          <w:szCs w:val="21"/>
          <w:color w:val="435F86"/>
        </w:rPr>
      </w:pPr>
    </w:p>
    <w:p>
      <w:pPr>
        <w:ind w:left="1120" w:right="940" w:hanging="337"/>
        <w:spacing w:after="0" w:line="277" w:lineRule="auto"/>
        <w:tabs>
          <w:tab w:leader="none" w:pos="1120" w:val="left"/>
        </w:tabs>
        <w:numPr>
          <w:ilvl w:val="0"/>
          <w:numId w:val="26"/>
        </w:numPr>
        <w:rPr>
          <w:rFonts w:ascii="Arial" w:cs="Arial" w:eastAsia="Arial" w:hAnsi="Arial"/>
          <w:sz w:val="21"/>
          <w:szCs w:val="21"/>
          <w:color w:val="435F86"/>
        </w:rPr>
      </w:pPr>
      <w:r>
        <w:rPr>
          <w:rFonts w:ascii="Arial" w:cs="Arial" w:eastAsia="Arial" w:hAnsi="Arial"/>
          <w:sz w:val="21"/>
          <w:szCs w:val="21"/>
          <w:color w:val="auto"/>
        </w:rPr>
        <w:t>Established revenue and free cash flow goals for the PSUs that reflect cumulative performance over the full three-year performance period;</w:t>
      </w:r>
    </w:p>
    <w:p>
      <w:pPr>
        <w:spacing w:after="0" w:line="39" w:lineRule="exact"/>
        <w:rPr>
          <w:rFonts w:ascii="Arial" w:cs="Arial" w:eastAsia="Arial" w:hAnsi="Arial"/>
          <w:sz w:val="21"/>
          <w:szCs w:val="21"/>
          <w:color w:val="435F86"/>
        </w:rPr>
      </w:pPr>
    </w:p>
    <w:p>
      <w:pPr>
        <w:ind w:left="1120" w:right="800" w:hanging="337"/>
        <w:spacing w:after="0" w:line="254" w:lineRule="auto"/>
        <w:tabs>
          <w:tab w:leader="none" w:pos="1120" w:val="left"/>
        </w:tabs>
        <w:numPr>
          <w:ilvl w:val="0"/>
          <w:numId w:val="26"/>
        </w:numPr>
        <w:rPr>
          <w:rFonts w:ascii="Arial" w:cs="Arial" w:eastAsia="Arial" w:hAnsi="Arial"/>
          <w:sz w:val="21"/>
          <w:szCs w:val="21"/>
          <w:color w:val="435F86"/>
        </w:rPr>
      </w:pPr>
      <w:r>
        <w:rPr>
          <w:rFonts w:ascii="Arial" w:cs="Arial" w:eastAsia="Arial" w:hAnsi="Arial"/>
          <w:sz w:val="21"/>
          <w:szCs w:val="21"/>
          <w:color w:val="auto"/>
        </w:rPr>
        <w:t>Augmented our CEO’s 2025 total pay to better align with shareholder value creation by awarding him SAUs that are earned based on stock price increases over their three-year performance period;</w:t>
      </w:r>
    </w:p>
    <w:p>
      <w:pPr>
        <w:spacing w:after="0" w:line="63" w:lineRule="exact"/>
        <w:rPr>
          <w:rFonts w:ascii="Arial" w:cs="Arial" w:eastAsia="Arial" w:hAnsi="Arial"/>
          <w:sz w:val="21"/>
          <w:szCs w:val="21"/>
          <w:color w:val="435F86"/>
        </w:rPr>
      </w:pPr>
    </w:p>
    <w:p>
      <w:pPr>
        <w:ind w:left="1120" w:right="1000" w:hanging="337"/>
        <w:spacing w:after="0" w:line="254" w:lineRule="auto"/>
        <w:tabs>
          <w:tab w:leader="none" w:pos="1120" w:val="left"/>
        </w:tabs>
        <w:numPr>
          <w:ilvl w:val="0"/>
          <w:numId w:val="26"/>
        </w:numPr>
        <w:rPr>
          <w:rFonts w:ascii="Arial" w:cs="Arial" w:eastAsia="Arial" w:hAnsi="Arial"/>
          <w:sz w:val="21"/>
          <w:szCs w:val="21"/>
          <w:color w:val="435F86"/>
        </w:rPr>
      </w:pPr>
      <w:r>
        <w:rPr>
          <w:rFonts w:ascii="Arial" w:cs="Arial" w:eastAsia="Arial" w:hAnsi="Arial"/>
          <w:sz w:val="21"/>
          <w:szCs w:val="21"/>
          <w:color w:val="auto"/>
        </w:rPr>
        <w:t>Added a performance feature to the RSU grant of our non-CEO NEOs, increasing alignment with shareholder value creation by tying the number of shares earned to stock price increases; and</w:t>
      </w:r>
    </w:p>
    <w:p>
      <w:pPr>
        <w:spacing w:after="0" w:line="63" w:lineRule="exact"/>
        <w:rPr>
          <w:rFonts w:ascii="Arial" w:cs="Arial" w:eastAsia="Arial" w:hAnsi="Arial"/>
          <w:sz w:val="21"/>
          <w:szCs w:val="21"/>
          <w:color w:val="435F86"/>
        </w:rPr>
      </w:pPr>
    </w:p>
    <w:p>
      <w:pPr>
        <w:ind w:left="1120" w:right="1000" w:hanging="337"/>
        <w:spacing w:after="0" w:line="264" w:lineRule="auto"/>
        <w:tabs>
          <w:tab w:leader="none" w:pos="1120" w:val="left"/>
        </w:tabs>
        <w:numPr>
          <w:ilvl w:val="0"/>
          <w:numId w:val="26"/>
        </w:numPr>
        <w:rPr>
          <w:rFonts w:ascii="Arial" w:cs="Arial" w:eastAsia="Arial" w:hAnsi="Arial"/>
          <w:sz w:val="21"/>
          <w:szCs w:val="21"/>
          <w:color w:val="435F86"/>
        </w:rPr>
      </w:pPr>
      <w:r>
        <w:rPr>
          <w:rFonts w:ascii="Arial" w:cs="Arial" w:eastAsia="Arial" w:hAnsi="Arial"/>
          <w:sz w:val="21"/>
          <w:szCs w:val="21"/>
          <w:color w:val="auto"/>
        </w:rPr>
        <w:t>Designed these awards so that at least 50% of the shares underlying grants of 2025 long-term incentives to all of our NEOs is in the form of performance-based awards.</w:t>
      </w:r>
    </w:p>
    <w:p>
      <w:pPr>
        <w:spacing w:after="0" w:line="153" w:lineRule="exact"/>
        <w:rPr>
          <w:sz w:val="20"/>
          <w:szCs w:val="20"/>
          <w:color w:val="auto"/>
        </w:rPr>
      </w:pPr>
    </w:p>
    <w:p>
      <w:pPr>
        <w:ind w:left="780"/>
        <w:spacing w:after="0"/>
        <w:rPr>
          <w:sz w:val="20"/>
          <w:szCs w:val="20"/>
          <w:color w:val="auto"/>
        </w:rPr>
      </w:pPr>
      <w:r>
        <w:rPr>
          <w:rFonts w:ascii="Arial" w:cs="Arial" w:eastAsia="Arial" w:hAnsi="Arial"/>
          <w:sz w:val="28"/>
          <w:szCs w:val="28"/>
          <w:color w:val="auto"/>
        </w:rPr>
        <w:t>2024 Target Total Direct Compensation</w:t>
      </w:r>
    </w:p>
    <w:p>
      <w:pPr>
        <w:spacing w:after="0" w:line="149" w:lineRule="exact"/>
        <w:rPr>
          <w:sz w:val="20"/>
          <w:szCs w:val="20"/>
          <w:color w:val="auto"/>
        </w:rPr>
      </w:pPr>
    </w:p>
    <w:p>
      <w:pPr>
        <w:ind w:left="780" w:right="920"/>
        <w:spacing w:after="0" w:line="254" w:lineRule="auto"/>
        <w:rPr>
          <w:sz w:val="20"/>
          <w:szCs w:val="20"/>
          <w:color w:val="auto"/>
        </w:rPr>
      </w:pPr>
      <w:r>
        <w:rPr>
          <w:rFonts w:ascii="Arial" w:cs="Arial" w:eastAsia="Arial" w:hAnsi="Arial"/>
          <w:sz w:val="20"/>
          <w:szCs w:val="20"/>
          <w:color w:val="auto"/>
        </w:rPr>
        <w:t>Our NEOs’ 2024 target total compensation was consistent with our pay for performance philosophy and focused on variable compensation that was aligned with the Company’s overall performance and the Company’s stock performance. The chart below shows that 89% of the CEO’s 2024 compensation was performance-based with a significant portion (76%) tied to the future performance of the Company. For our other NEOs (on average), 74% of their 2024 target total compensation was performance-based, with a significant portion (59%) tied to the future performance of the Company. The primary variable elements of our 2024 compensation program included (i) our Annual Incentive Plan, which is our annual cash incentive award program, and</w:t>
      </w:r>
    </w:p>
    <w:p>
      <w:pPr>
        <w:spacing w:after="0" w:line="7" w:lineRule="exact"/>
        <w:rPr>
          <w:sz w:val="20"/>
          <w:szCs w:val="20"/>
          <w:color w:val="auto"/>
        </w:rPr>
      </w:pPr>
    </w:p>
    <w:p>
      <w:pPr>
        <w:ind w:left="780" w:right="1100" w:firstLine="3"/>
        <w:spacing w:after="0" w:line="257" w:lineRule="auto"/>
        <w:tabs>
          <w:tab w:leader="none" w:pos="1042" w:val="left"/>
        </w:tabs>
        <w:numPr>
          <w:ilvl w:val="0"/>
          <w:numId w:val="27"/>
        </w:numPr>
        <w:rPr>
          <w:rFonts w:ascii="Arial" w:cs="Arial" w:eastAsia="Arial" w:hAnsi="Arial"/>
          <w:sz w:val="21"/>
          <w:szCs w:val="21"/>
          <w:color w:val="auto"/>
        </w:rPr>
      </w:pPr>
      <w:r>
        <w:rPr>
          <w:rFonts w:ascii="Arial" w:cs="Arial" w:eastAsia="Arial" w:hAnsi="Arial"/>
          <w:sz w:val="21"/>
          <w:szCs w:val="21"/>
          <w:color w:val="auto"/>
        </w:rPr>
        <w:t>Long-Term Equity Incentive Program, which in 2024 was comprised of stock options and time-vested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244475</wp:posOffset>
            </wp:positionV>
            <wp:extent cx="553847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34</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Consideration of 2024 Say-On-Pay Result</w:t>
      </w:r>
    </w:p>
    <w:p>
      <w:pPr>
        <w:spacing w:after="0" w:line="238" w:lineRule="exact"/>
        <w:rPr>
          <w:sz w:val="20"/>
          <w:szCs w:val="20"/>
          <w:color w:val="auto"/>
        </w:rPr>
      </w:pPr>
    </w:p>
    <w:p>
      <w:pPr>
        <w:ind w:left="3560"/>
        <w:spacing w:after="0"/>
        <w:rPr>
          <w:sz w:val="20"/>
          <w:szCs w:val="20"/>
          <w:color w:val="auto"/>
        </w:rPr>
      </w:pPr>
      <w:r>
        <w:rPr>
          <w:rFonts w:ascii="Arial" w:cs="Arial" w:eastAsia="Arial" w:hAnsi="Arial"/>
          <w:sz w:val="21"/>
          <w:szCs w:val="21"/>
          <w:color w:val="auto"/>
        </w:rPr>
        <w:t>CEO Target Total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44450</wp:posOffset>
            </wp:positionV>
            <wp:extent cx="5538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3847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217805</wp:posOffset>
            </wp:positionV>
            <wp:extent cx="4063365" cy="12528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336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940"/>
        <w:spacing w:after="0"/>
        <w:rPr>
          <w:sz w:val="20"/>
          <w:szCs w:val="20"/>
          <w:color w:val="auto"/>
        </w:rPr>
      </w:pPr>
      <w:r>
        <w:rPr>
          <w:rFonts w:ascii="Arial" w:cs="Arial" w:eastAsia="Arial" w:hAnsi="Arial"/>
          <w:sz w:val="21"/>
          <w:szCs w:val="21"/>
          <w:color w:val="auto"/>
        </w:rPr>
        <w:t>Non-CEO NEOs Average Total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44450</wp:posOffset>
            </wp:positionV>
            <wp:extent cx="5538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38470" cy="8255"/>
                    </a:xfrm>
                    <a:prstGeom prst="rect">
                      <a:avLst/>
                    </a:prstGeom>
                    <a:noFill/>
                  </pic:spPr>
                </pic:pic>
              </a:graphicData>
            </a:graphic>
          </wp:anchor>
        </w:drawing>
        <w:drawing>
          <wp:anchor simplePos="0" relativeHeight="251657728" behindDoc="1" locked="0" layoutInCell="0" allowOverlap="1">
            <wp:simplePos x="0" y="0"/>
            <wp:positionH relativeFrom="column">
              <wp:posOffset>1172845</wp:posOffset>
            </wp:positionH>
            <wp:positionV relativeFrom="paragraph">
              <wp:posOffset>217805</wp:posOffset>
            </wp:positionV>
            <wp:extent cx="4195445" cy="11290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95445" cy="112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Compensation Philosophy and Program</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Our executive compensation program is guided by three principles: (i) paying for performance;</w:t>
      </w:r>
    </w:p>
    <w:p>
      <w:pPr>
        <w:spacing w:after="0" w:line="37" w:lineRule="exact"/>
        <w:rPr>
          <w:sz w:val="20"/>
          <w:szCs w:val="20"/>
          <w:color w:val="auto"/>
        </w:rPr>
      </w:pPr>
    </w:p>
    <w:p>
      <w:pPr>
        <w:ind w:left="1040" w:hanging="257"/>
        <w:spacing w:after="0"/>
        <w:tabs>
          <w:tab w:leader="none" w:pos="10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driving achievement of the Company’s annual and long-term business performance goals; and</w:t>
      </w:r>
    </w:p>
    <w:p>
      <w:pPr>
        <w:spacing w:after="0" w:line="3" w:lineRule="exact"/>
        <w:rPr>
          <w:rFonts w:ascii="Arial" w:cs="Arial" w:eastAsia="Arial" w:hAnsi="Arial"/>
          <w:sz w:val="20"/>
          <w:szCs w:val="20"/>
          <w:color w:val="auto"/>
        </w:rPr>
      </w:pPr>
    </w:p>
    <w:p>
      <w:pPr>
        <w:ind w:left="1080" w:hanging="297"/>
        <w:spacing w:after="0"/>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paying competitively to attract, retain and motivate top talent. These principles generally guide</w:t>
      </w:r>
    </w:p>
    <w:p>
      <w:pPr>
        <w:spacing w:after="0" w:line="17" w:lineRule="exact"/>
        <w:rPr>
          <w:sz w:val="20"/>
          <w:szCs w:val="20"/>
          <w:color w:val="auto"/>
        </w:rPr>
      </w:pPr>
    </w:p>
    <w:p>
      <w:pPr>
        <w:ind w:left="780" w:right="439"/>
        <w:spacing w:after="0" w:line="272" w:lineRule="auto"/>
        <w:rPr>
          <w:sz w:val="20"/>
          <w:szCs w:val="20"/>
          <w:color w:val="auto"/>
        </w:rPr>
      </w:pPr>
      <w:r>
        <w:rPr>
          <w:rFonts w:ascii="Arial" w:cs="Arial" w:eastAsia="Arial" w:hAnsi="Arial"/>
          <w:sz w:val="19"/>
          <w:szCs w:val="19"/>
          <w:color w:val="auto"/>
        </w:rPr>
        <w:t>our program’s design, pay levels, and approach to total rewards. Our executive compensation program comprises three elements: base salary, short-term annual cash incentive compensation and long-term equity incentive compensation. Our NEOs are also eligible to participate in: the standard health and welfare benefit plans and retirement plans offered to our other employees; a non-qualified deferred compensation plan for which the Company has not-to-date provided matching, further described on page 47; and, upon certain qualifying terminations of employment, severance payments and benefits (as described beginning on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1664335</wp:posOffset>
            </wp:positionV>
            <wp:extent cx="494665" cy="165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1532255</wp:posOffset>
            </wp:positionV>
            <wp:extent cx="553847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 Philosophy and Program</w:t>
      </w:r>
    </w:p>
    <w:p>
      <w:pPr>
        <w:spacing w:after="0" w:line="251" w:lineRule="exact"/>
        <w:rPr>
          <w:sz w:val="20"/>
          <w:szCs w:val="20"/>
          <w:color w:val="auto"/>
        </w:rPr>
      </w:pPr>
    </w:p>
    <w:p>
      <w:pPr>
        <w:ind w:left="780" w:right="860"/>
        <w:spacing w:after="0" w:line="267" w:lineRule="auto"/>
        <w:rPr>
          <w:sz w:val="20"/>
          <w:szCs w:val="20"/>
          <w:color w:val="auto"/>
        </w:rPr>
      </w:pPr>
      <w:r>
        <w:rPr>
          <w:rFonts w:ascii="Arial" w:cs="Arial" w:eastAsia="Arial" w:hAnsi="Arial"/>
          <w:sz w:val="21"/>
          <w:szCs w:val="21"/>
          <w:color w:val="auto"/>
        </w:rPr>
        <w:t>We endeavor to incorporate best practices and good corporate governance policies and procedures throughout our executive compensation program. These compensation practices and governance policies include:</w:t>
      </w:r>
    </w:p>
    <w:p>
      <w:pPr>
        <w:sectPr>
          <w:pgSz w:w="11900" w:h="16838" w:orient="portrait"/>
          <w:cols w:equalWidth="0" w:num="1">
            <w:col w:w="10300"/>
          </w:cols>
          <w:pgMar w:left="800" w:top="93" w:right="799" w:bottom="1440" w:gutter="0" w:footer="0" w:header="0"/>
        </w:sectPr>
      </w:pPr>
    </w:p>
    <w:p>
      <w:pPr>
        <w:spacing w:after="0" w:line="270" w:lineRule="exact"/>
        <w:rPr>
          <w:sz w:val="20"/>
          <w:szCs w:val="20"/>
          <w:color w:val="auto"/>
        </w:rPr>
      </w:pPr>
    </w:p>
    <w:p>
      <w:pPr>
        <w:ind w:left="2740"/>
        <w:spacing w:after="0"/>
        <w:tabs>
          <w:tab w:leader="none" w:pos="5320" w:val="left"/>
          <w:tab w:leader="none" w:pos="6800" w:val="left"/>
        </w:tabs>
        <w:rPr>
          <w:sz w:val="20"/>
          <w:szCs w:val="20"/>
          <w:color w:val="auto"/>
        </w:rPr>
      </w:pPr>
      <w:r>
        <w:rPr>
          <w:rFonts w:ascii="Arial" w:cs="Arial" w:eastAsia="Arial" w:hAnsi="Arial"/>
          <w:sz w:val="16"/>
          <w:szCs w:val="16"/>
          <w:b w:val="1"/>
          <w:bCs w:val="1"/>
          <w:color w:val="435F86"/>
        </w:rPr>
        <w:t>What We Do</w:t>
      </w:r>
      <w:r>
        <w:rPr>
          <w:sz w:val="20"/>
          <w:szCs w:val="20"/>
          <w:color w:val="auto"/>
        </w:rPr>
        <w:tab/>
      </w:r>
      <w:r>
        <w:rPr>
          <w:rFonts w:ascii="Arial" w:cs="Arial" w:eastAsia="Arial" w:hAnsi="Arial"/>
          <w:sz w:val="16"/>
          <w:szCs w:val="16"/>
          <w:b w:val="1"/>
          <w:bCs w:val="1"/>
          <w:color w:val="435F86"/>
        </w:rPr>
        <w:t>​</w:t>
      </w:r>
      <w:r>
        <w:rPr>
          <w:sz w:val="20"/>
          <w:szCs w:val="20"/>
          <w:color w:val="auto"/>
        </w:rPr>
        <w:tab/>
      </w:r>
      <w:r>
        <w:rPr>
          <w:rFonts w:ascii="Arial" w:cs="Arial" w:eastAsia="Arial" w:hAnsi="Arial"/>
          <w:sz w:val="14"/>
          <w:szCs w:val="14"/>
          <w:b w:val="1"/>
          <w:bCs w:val="1"/>
          <w:color w:val="435F86"/>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24130</wp:posOffset>
            </wp:positionV>
            <wp:extent cx="5538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435F86"/>
        </w:rPr>
        <w:t>​</w:t>
      </w:r>
    </w:p>
    <w:p>
      <w:pPr>
        <w:spacing w:after="0" w:line="6" w:lineRule="exact"/>
        <w:rPr>
          <w:sz w:val="20"/>
          <w:szCs w:val="20"/>
          <w:color w:val="auto"/>
        </w:rPr>
      </w:pPr>
    </w:p>
    <w:p>
      <w:pPr>
        <w:sectPr>
          <w:pgSz w:w="11900" w:h="16838" w:orient="portrait"/>
          <w:cols w:equalWidth="0" w:num="2">
            <w:col w:w="8740" w:space="720"/>
            <w:col w:w="840"/>
          </w:cols>
          <w:pgMar w:left="800" w:top="93" w:right="799" w:bottom="1440" w:gutter="0" w:footer="0" w:header="0"/>
          <w:type w:val="continuous"/>
        </w:sectPr>
      </w:pPr>
    </w:p>
    <w:p>
      <w:pPr>
        <w:spacing w:after="0" w:line="109" w:lineRule="exact"/>
        <w:rPr>
          <w:sz w:val="20"/>
          <w:szCs w:val="20"/>
          <w:color w:val="auto"/>
        </w:rPr>
      </w:pPr>
    </w:p>
    <w:p>
      <w:pPr>
        <w:ind w:left="1280" w:right="60"/>
        <w:spacing w:after="0" w:line="277" w:lineRule="auto"/>
        <w:rPr>
          <w:sz w:val="20"/>
          <w:szCs w:val="20"/>
          <w:color w:val="auto"/>
        </w:rPr>
      </w:pPr>
      <w:r>
        <w:rPr>
          <w:rFonts w:ascii="Arial" w:cs="Arial" w:eastAsia="Arial" w:hAnsi="Arial"/>
          <w:sz w:val="21"/>
          <w:szCs w:val="21"/>
          <w:color w:val="auto"/>
        </w:rPr>
        <w:t>Require executives and directors to meet stock ownership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-344805</wp:posOffset>
            </wp:positionV>
            <wp:extent cx="140335" cy="1403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spacing w:after="0" w:line="85" w:lineRule="exact"/>
        <w:rPr>
          <w:sz w:val="20"/>
          <w:szCs w:val="20"/>
          <w:color w:val="auto"/>
        </w:rPr>
      </w:pPr>
    </w:p>
    <w:p>
      <w:pPr>
        <w:ind w:left="1280" w:right="220"/>
        <w:spacing w:after="0" w:line="288" w:lineRule="auto"/>
        <w:rPr>
          <w:sz w:val="20"/>
          <w:szCs w:val="20"/>
          <w:color w:val="auto"/>
        </w:rPr>
      </w:pPr>
      <w:r>
        <w:rPr>
          <w:rFonts w:ascii="Arial" w:cs="Arial" w:eastAsia="Arial" w:hAnsi="Arial"/>
          <w:sz w:val="19"/>
          <w:szCs w:val="19"/>
          <w:color w:val="auto"/>
        </w:rPr>
        <w:t>Directly align executives’ incentive opportunities with the creation of shareholder value by tying a majority of executive compensation to stock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-656590</wp:posOffset>
            </wp:positionV>
            <wp:extent cx="140335" cy="140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380"/>
        <w:spacing w:after="0" w:line="277" w:lineRule="auto"/>
        <w:rPr>
          <w:sz w:val="20"/>
          <w:szCs w:val="20"/>
          <w:color w:val="auto"/>
        </w:rPr>
      </w:pPr>
      <w:r>
        <w:rPr>
          <w:rFonts w:ascii="Arial" w:cs="Arial" w:eastAsia="Arial" w:hAnsi="Arial"/>
          <w:sz w:val="21"/>
          <w:szCs w:val="21"/>
          <w:color w:val="auto"/>
        </w:rPr>
        <w:t>No automatic or guaranteed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-344805</wp:posOffset>
            </wp:positionV>
            <wp:extent cx="107315" cy="1320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7315" cy="132080"/>
                    </a:xfrm>
                    <a:prstGeom prst="rect">
                      <a:avLst/>
                    </a:prstGeom>
                    <a:noFill/>
                  </pic:spPr>
                </pic:pic>
              </a:graphicData>
            </a:graphic>
          </wp:anchor>
        </w:drawing>
      </w:r>
    </w:p>
    <w:p>
      <w:pPr>
        <w:spacing w:after="0" w:line="85"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No awards of compensation that would motivate actions that would risk the financial health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-502285</wp:posOffset>
            </wp:positionV>
            <wp:extent cx="107315" cy="1320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7315" cy="132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927" w:lineRule="exact"/>
        <w:rPr>
          <w:sz w:val="20"/>
          <w:szCs w:val="20"/>
          <w:color w:val="auto"/>
        </w:rPr>
      </w:pPr>
    </w:p>
    <w:p>
      <w:pPr>
        <w:sectPr>
          <w:pgSz w:w="11900" w:h="16838" w:orient="portrait"/>
          <w:cols w:equalWidth="0" w:num="3">
            <w:col w:w="4920" w:space="720"/>
            <w:col w:w="3400" w:space="420"/>
            <w:col w:w="840"/>
          </w:cols>
          <w:pgMar w:left="800" w:top="93" w:right="799" w:bottom="1440" w:gutter="0" w:footer="0" w:header="0"/>
          <w:type w:val="continuous"/>
        </w:sectPr>
      </w:pPr>
    </w:p>
    <w:tbl>
      <w:tblPr>
        <w:tblLayout w:type="fixed"/>
        <w:tblInd w:w="1280" w:type="dxa"/>
        <w:tblCellMar>
          <w:top w:w="0" w:type="dxa"/>
          <w:left w:w="0" w:type="dxa"/>
          <w:bottom w:w="0" w:type="dxa"/>
          <w:right w:w="0" w:type="dxa"/>
        </w:tblCellMar>
      </w:tblPr>
      <w:tr>
        <w:trPr>
          <w:trHeight w:val="274"/>
        </w:trPr>
        <w:tc>
          <w:tcPr>
            <w:tcW w:w="3980" w:type="dxa"/>
            <w:vAlign w:val="bottom"/>
            <w:vMerge w:val="restart"/>
          </w:tcPr>
          <w:p>
            <w:pPr>
              <w:spacing w:after="0"/>
              <w:rPr>
                <w:sz w:val="20"/>
                <w:szCs w:val="20"/>
                <w:color w:val="auto"/>
              </w:rPr>
            </w:pPr>
            <w:r>
              <w:rPr>
                <w:rFonts w:ascii="Arial" w:cs="Arial" w:eastAsia="Arial" w:hAnsi="Arial"/>
                <w:sz w:val="21"/>
                <w:szCs w:val="21"/>
                <w:color w:val="auto"/>
              </w:rPr>
              <w:t>“Double-trigger” change in control equity</w:t>
            </w:r>
          </w:p>
        </w:tc>
        <w:tc>
          <w:tcPr>
            <w:tcW w:w="3820" w:type="dxa"/>
            <w:vAlign w:val="bottom"/>
            <w:vMerge w:val="restart"/>
          </w:tcPr>
          <w:p>
            <w:pPr>
              <w:ind w:left="380"/>
              <w:spacing w:after="0"/>
              <w:rPr>
                <w:sz w:val="20"/>
                <w:szCs w:val="20"/>
                <w:color w:val="auto"/>
              </w:rPr>
            </w:pPr>
            <w:r>
              <w:rPr>
                <w:rFonts w:ascii="Arial" w:cs="Arial" w:eastAsia="Arial" w:hAnsi="Arial"/>
                <w:sz w:val="21"/>
                <w:szCs w:val="21"/>
                <w:color w:val="auto"/>
              </w:rPr>
              <w:t>No significant executive perquisites</w:t>
            </w:r>
          </w:p>
        </w:tc>
        <w:tc>
          <w:tcPr>
            <w:tcW w:w="440" w:type="dxa"/>
            <w:vAlign w:val="bottom"/>
          </w:tcPr>
          <w:p>
            <w:pPr>
              <w:jc w:val="right"/>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89"/>
        </w:trPr>
        <w:tc>
          <w:tcPr>
            <w:tcW w:w="3980" w:type="dxa"/>
            <w:vAlign w:val="bottom"/>
            <w:vMerge w:val="continue"/>
          </w:tcPr>
          <w:p>
            <w:pPr>
              <w:spacing w:after="0"/>
              <w:rPr>
                <w:sz w:val="7"/>
                <w:szCs w:val="7"/>
                <w:color w:val="auto"/>
              </w:rPr>
            </w:pPr>
          </w:p>
        </w:tc>
        <w:tc>
          <w:tcPr>
            <w:tcW w:w="38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980" w:type="dxa"/>
            <w:vAlign w:val="bottom"/>
          </w:tcPr>
          <w:p>
            <w:pPr>
              <w:spacing w:after="0"/>
              <w:rPr>
                <w:sz w:val="20"/>
                <w:szCs w:val="20"/>
                <w:color w:val="auto"/>
              </w:rPr>
            </w:pPr>
            <w:r>
              <w:rPr>
                <w:rFonts w:ascii="Arial" w:cs="Arial" w:eastAsia="Arial" w:hAnsi="Arial"/>
                <w:sz w:val="21"/>
                <w:szCs w:val="21"/>
                <w:color w:val="auto"/>
              </w:rPr>
              <w:t>vesting provisions</w:t>
            </w:r>
          </w:p>
        </w:tc>
        <w:tc>
          <w:tcPr>
            <w:tcW w:w="3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8"/>
        </w:trPr>
        <w:tc>
          <w:tcPr>
            <w:tcW w:w="3980" w:type="dxa"/>
            <w:vAlign w:val="bottom"/>
          </w:tcPr>
          <w:p>
            <w:pPr>
              <w:spacing w:after="0"/>
              <w:rPr>
                <w:sz w:val="20"/>
                <w:szCs w:val="20"/>
                <w:color w:val="auto"/>
              </w:rPr>
            </w:pPr>
            <w:r>
              <w:rPr>
                <w:rFonts w:ascii="Arial" w:cs="Arial" w:eastAsia="Arial" w:hAnsi="Arial"/>
                <w:sz w:val="21"/>
                <w:szCs w:val="21"/>
                <w:color w:val="auto"/>
              </w:rPr>
              <w:t>Conduct annual assessments of potential</w:t>
            </w:r>
          </w:p>
        </w:tc>
        <w:tc>
          <w:tcPr>
            <w:tcW w:w="4260" w:type="dxa"/>
            <w:vAlign w:val="bottom"/>
            <w:gridSpan w:val="2"/>
          </w:tcPr>
          <w:p>
            <w:pPr>
              <w:jc w:val="right"/>
              <w:spacing w:after="0" w:line="387" w:lineRule="exact"/>
              <w:rPr>
                <w:sz w:val="20"/>
                <w:szCs w:val="20"/>
                <w:color w:val="auto"/>
              </w:rPr>
            </w:pPr>
            <w:r>
              <w:rPr>
                <w:rFonts w:ascii="Arial" w:cs="Arial" w:eastAsia="Arial" w:hAnsi="Arial"/>
                <w:sz w:val="21"/>
                <w:szCs w:val="21"/>
                <w:color w:val="auto"/>
              </w:rPr>
              <w:t xml:space="preserve">No hedging or pledging of Company stock  </w:t>
            </w:r>
            <w:r>
              <w:rPr>
                <w:rFonts w:ascii="Arial" w:cs="Arial" w:eastAsia="Arial" w:hAnsi="Arial"/>
                <w:sz w:val="41"/>
                <w:szCs w:val="41"/>
                <w:color w:val="auto"/>
                <w:vertAlign w:val="superscript"/>
              </w:rPr>
              <w:t>​</w:t>
            </w:r>
          </w:p>
        </w:tc>
        <w:tc>
          <w:tcPr>
            <w:tcW w:w="0" w:type="dxa"/>
            <w:vAlign w:val="bottom"/>
          </w:tcPr>
          <w:p>
            <w:pPr>
              <w:spacing w:after="0"/>
              <w:rPr>
                <w:sz w:val="1"/>
                <w:szCs w:val="1"/>
                <w:color w:val="auto"/>
              </w:rPr>
            </w:pPr>
          </w:p>
        </w:tc>
      </w:tr>
      <w:tr>
        <w:trPr>
          <w:trHeight w:val="247"/>
        </w:trPr>
        <w:tc>
          <w:tcPr>
            <w:tcW w:w="3980" w:type="dxa"/>
            <w:vAlign w:val="bottom"/>
          </w:tcPr>
          <w:p>
            <w:pPr>
              <w:spacing w:after="0"/>
              <w:rPr>
                <w:sz w:val="20"/>
                <w:szCs w:val="20"/>
                <w:color w:val="auto"/>
              </w:rPr>
            </w:pPr>
            <w:r>
              <w:rPr>
                <w:rFonts w:ascii="Arial" w:cs="Arial" w:eastAsia="Arial" w:hAnsi="Arial"/>
                <w:sz w:val="21"/>
                <w:szCs w:val="21"/>
                <w:color w:val="auto"/>
              </w:rPr>
              <w:t>risks associated with compensation</w:t>
            </w:r>
          </w:p>
        </w:tc>
        <w:tc>
          <w:tcPr>
            <w:tcW w:w="3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980" w:type="dxa"/>
            <w:vAlign w:val="bottom"/>
          </w:tcPr>
          <w:p>
            <w:pPr>
              <w:spacing w:after="0"/>
              <w:rPr>
                <w:sz w:val="20"/>
                <w:szCs w:val="20"/>
                <w:color w:val="auto"/>
              </w:rPr>
            </w:pPr>
            <w:r>
              <w:rPr>
                <w:rFonts w:ascii="Arial" w:cs="Arial" w:eastAsia="Arial" w:hAnsi="Arial"/>
                <w:sz w:val="21"/>
                <w:szCs w:val="21"/>
                <w:color w:val="auto"/>
              </w:rPr>
              <w:t>programs</w:t>
            </w:r>
          </w:p>
        </w:tc>
        <w:tc>
          <w:tcPr>
            <w:tcW w:w="38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-898525</wp:posOffset>
            </wp:positionV>
            <wp:extent cx="140335" cy="1403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0335" cy="14033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-898525</wp:posOffset>
            </wp:positionV>
            <wp:extent cx="107315" cy="1320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7315" cy="132080"/>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-478155</wp:posOffset>
            </wp:positionV>
            <wp:extent cx="140335" cy="1403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0335" cy="14033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-478155</wp:posOffset>
            </wp:positionV>
            <wp:extent cx="107315" cy="1320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7315" cy="13208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type w:val="continuous"/>
        </w:sectPr>
      </w:pPr>
    </w:p>
    <w:p>
      <w:pPr>
        <w:spacing w:after="0" w:line="154" w:lineRule="exact"/>
        <w:rPr>
          <w:sz w:val="20"/>
          <w:szCs w:val="20"/>
          <w:color w:val="auto"/>
        </w:rPr>
      </w:pPr>
    </w:p>
    <w:p>
      <w:pPr>
        <w:ind w:left="1280" w:right="200"/>
        <w:spacing w:after="0" w:line="331" w:lineRule="auto"/>
        <w:rPr>
          <w:sz w:val="20"/>
          <w:szCs w:val="20"/>
          <w:color w:val="auto"/>
        </w:rPr>
      </w:pPr>
      <w:r>
        <w:rPr>
          <w:rFonts w:ascii="Arial" w:cs="Arial" w:eastAsia="Arial" w:hAnsi="Arial"/>
          <w:sz w:val="19"/>
          <w:szCs w:val="19"/>
          <w:color w:val="auto"/>
        </w:rPr>
        <w:t>Engage an independent compensation consultant to advise the LDC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-373380</wp:posOffset>
            </wp:positionV>
            <wp:extent cx="140335" cy="140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spacing w:after="0" w:line="39" w:lineRule="exact"/>
        <w:rPr>
          <w:sz w:val="20"/>
          <w:szCs w:val="20"/>
          <w:color w:val="auto"/>
        </w:rPr>
      </w:pPr>
    </w:p>
    <w:p>
      <w:pPr>
        <w:ind w:left="1280" w:right="600"/>
        <w:spacing w:after="0" w:line="261" w:lineRule="auto"/>
        <w:rPr>
          <w:sz w:val="20"/>
          <w:szCs w:val="20"/>
          <w:color w:val="auto"/>
        </w:rPr>
      </w:pPr>
      <w:r>
        <w:rPr>
          <w:rFonts w:ascii="Arial" w:cs="Arial" w:eastAsia="Arial" w:hAnsi="Arial"/>
          <w:sz w:val="21"/>
          <w:szCs w:val="21"/>
          <w:color w:val="auto"/>
        </w:rPr>
        <w:t>Annual advisory non-binding vote to approve named 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-491490</wp:posOffset>
            </wp:positionV>
            <wp:extent cx="140335" cy="140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spacing w:after="0" w:line="114" w:lineRule="exact"/>
        <w:rPr>
          <w:sz w:val="20"/>
          <w:szCs w:val="20"/>
          <w:color w:val="auto"/>
        </w:rPr>
      </w:pPr>
    </w:p>
    <w:p>
      <w:pPr>
        <w:ind w:left="1280" w:right="260"/>
        <w:spacing w:after="0" w:line="277" w:lineRule="auto"/>
        <w:rPr>
          <w:sz w:val="20"/>
          <w:szCs w:val="20"/>
          <w:color w:val="auto"/>
        </w:rPr>
      </w:pPr>
      <w:r>
        <w:rPr>
          <w:rFonts w:ascii="Arial" w:cs="Arial" w:eastAsia="Arial" w:hAnsi="Arial"/>
          <w:sz w:val="21"/>
          <w:szCs w:val="21"/>
          <w:color w:val="auto"/>
        </w:rPr>
        <w:t>Include three-year performance goals in 2025 PSU awards 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-344805</wp:posOffset>
            </wp:positionV>
            <wp:extent cx="140335" cy="140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spacing w:after="0" w:line="85" w:lineRule="exact"/>
        <w:rPr>
          <w:sz w:val="20"/>
          <w:szCs w:val="20"/>
          <w:color w:val="auto"/>
        </w:rPr>
      </w:pPr>
    </w:p>
    <w:p>
      <w:pPr>
        <w:ind w:left="1280"/>
        <w:spacing w:after="0" w:line="255" w:lineRule="auto"/>
        <w:rPr>
          <w:sz w:val="20"/>
          <w:szCs w:val="20"/>
          <w:color w:val="auto"/>
        </w:rPr>
      </w:pPr>
      <w:r>
        <w:rPr>
          <w:rFonts w:ascii="Arial" w:cs="Arial" w:eastAsia="Arial" w:hAnsi="Arial"/>
          <w:sz w:val="21"/>
          <w:szCs w:val="21"/>
          <w:color w:val="auto"/>
        </w:rPr>
        <w:t>Designed our program so that at least 50% of long-term incentives awarded to NEOs in 2025 are tied to achievement of three-year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32385</wp:posOffset>
            </wp:positionV>
            <wp:extent cx="5538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38470" cy="8255"/>
                    </a:xfrm>
                    <a:prstGeom prst="rect">
                      <a:avLst/>
                    </a:prstGeom>
                    <a:noFill/>
                  </pic:spPr>
                </pic:pic>
              </a:graphicData>
            </a:graphic>
          </wp:anchor>
        </w:drawing>
        <w:drawing>
          <wp:anchor simplePos="0" relativeHeight="251657728" behindDoc="1" locked="0" layoutInCell="0" allowOverlap="1">
            <wp:simplePos x="0" y="0"/>
            <wp:positionH relativeFrom="column">
              <wp:posOffset>546735</wp:posOffset>
            </wp:positionH>
            <wp:positionV relativeFrom="paragraph">
              <wp:posOffset>-642620</wp:posOffset>
            </wp:positionV>
            <wp:extent cx="140335" cy="140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0335" cy="140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780"/>
        <w:spacing w:after="0" w:line="221" w:lineRule="auto"/>
        <w:rPr>
          <w:sz w:val="20"/>
          <w:szCs w:val="20"/>
          <w:color w:val="auto"/>
        </w:rPr>
      </w:pPr>
      <w:r>
        <w:rPr>
          <w:rFonts w:ascii="Arial" w:cs="Arial" w:eastAsia="Arial" w:hAnsi="Arial"/>
          <w:sz w:val="20"/>
          <w:szCs w:val="20"/>
          <w:color w:val="auto"/>
        </w:rPr>
        <w:t xml:space="preserve">No tax gross-ups (other than on customary </w:t>
      </w:r>
      <w:r>
        <w:rPr>
          <w:rFonts w:ascii="Arial" w:cs="Arial" w:eastAsia="Arial" w:hAnsi="Arial"/>
          <w:sz w:val="40"/>
          <w:szCs w:val="40"/>
          <w:color w:val="auto"/>
          <w:vertAlign w:val="superscript"/>
        </w:rPr>
        <w:t>​</w:t>
      </w:r>
      <w:r>
        <w:rPr>
          <w:rFonts w:ascii="Arial" w:cs="Arial" w:eastAsia="Arial" w:hAnsi="Arial"/>
          <w:sz w:val="20"/>
          <w:szCs w:val="20"/>
          <w:color w:val="auto"/>
        </w:rPr>
        <w:t xml:space="preserve"> reimbursement of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-320040</wp:posOffset>
            </wp:positionV>
            <wp:extent cx="107315" cy="1320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7315" cy="13208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60" w:type="dxa"/>
            <w:vAlign w:val="bottom"/>
            <w:vMerge w:val="restart"/>
          </w:tcPr>
          <w:p>
            <w:pPr>
              <w:spacing w:after="0"/>
              <w:rPr>
                <w:sz w:val="20"/>
                <w:szCs w:val="20"/>
                <w:color w:val="auto"/>
              </w:rPr>
            </w:pPr>
            <w:r>
              <w:rPr>
                <w:rFonts w:ascii="Arial" w:cs="Arial" w:eastAsia="Arial" w:hAnsi="Arial"/>
                <w:sz w:val="21"/>
                <w:szCs w:val="21"/>
                <w:color w:val="auto"/>
                <w:w w:val="96"/>
              </w:rPr>
              <w:t>No repricing of underwater stock options</w:t>
            </w:r>
          </w:p>
        </w:tc>
        <w:tc>
          <w:tcPr>
            <w:tcW w:w="220" w:type="dxa"/>
            <w:vAlign w:val="bottom"/>
          </w:tcPr>
          <w:p>
            <w:pPr>
              <w:ind w:left="16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7"/>
        </w:trPr>
        <w:tc>
          <w:tcPr>
            <w:tcW w:w="36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-165100</wp:posOffset>
            </wp:positionV>
            <wp:extent cx="107315" cy="1320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7315" cy="132080"/>
                    </a:xfrm>
                    <a:prstGeom prst="rect">
                      <a:avLst/>
                    </a:prstGeom>
                    <a:noFill/>
                  </pic:spPr>
                </pic:pic>
              </a:graphicData>
            </a:graphic>
          </wp:anchor>
        </w:drawing>
      </w:r>
    </w:p>
    <w:p>
      <w:pPr>
        <w:spacing w:after="0" w:line="2535" w:lineRule="exact"/>
        <w:rPr>
          <w:sz w:val="20"/>
          <w:szCs w:val="20"/>
          <w:color w:val="auto"/>
        </w:rPr>
      </w:pPr>
    </w:p>
    <w:p>
      <w:pPr>
        <w:sectPr>
          <w:pgSz w:w="11900" w:h="16838" w:orient="portrait"/>
          <w:cols w:equalWidth="0" w:num="2">
            <w:col w:w="5020" w:space="620"/>
            <w:col w:w="4660"/>
          </w:cols>
          <w:pgMar w:left="800" w:top="93" w:right="799" w:bottom="1440" w:gutter="0" w:footer="0" w:header="0"/>
          <w:type w:val="continuous"/>
        </w:sectPr>
      </w:pPr>
    </w:p>
    <w:p>
      <w:pPr>
        <w:spacing w:after="0" w:line="22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First Compensation Principle: Paying for Performance</w:t>
      </w:r>
    </w:p>
    <w:p>
      <w:pPr>
        <w:spacing w:after="0" w:line="162" w:lineRule="exact"/>
        <w:rPr>
          <w:sz w:val="20"/>
          <w:szCs w:val="20"/>
          <w:color w:val="auto"/>
        </w:rPr>
      </w:pPr>
    </w:p>
    <w:p>
      <w:pPr>
        <w:ind w:left="780" w:right="880"/>
        <w:spacing w:after="0" w:line="252" w:lineRule="auto"/>
        <w:rPr>
          <w:sz w:val="20"/>
          <w:szCs w:val="20"/>
          <w:color w:val="auto"/>
        </w:rPr>
      </w:pPr>
      <w:r>
        <w:rPr>
          <w:rFonts w:ascii="Arial" w:cs="Arial" w:eastAsia="Arial" w:hAnsi="Arial"/>
          <w:sz w:val="21"/>
          <w:szCs w:val="21"/>
          <w:color w:val="auto"/>
        </w:rPr>
        <w:t>Executive compensation, including merit increases and annual incentive payouts, is determined primarily by Company performance and individual performance. An individual’s annual performance can positively or negatively impact that individual’s opportunity for merit base pay increases. Earned values under our AIP are directly tied to Company-wide and business unit success. Demonstrating the link between pay and performance, while we delivered both revenue and EBITDA growth in 2024, we fell just short of our target, which resulted in an AIP payout at 94% of target for overall Company performance. Equity incentive compensation further aligns our NEOs’ compensation with long-term Company performance. Stock options are valuable only to the extent the stock price increases from the grant date, and the performance of our stock drives, by definition, the value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137160</wp:posOffset>
            </wp:positionV>
            <wp:extent cx="5538470"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36</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Compensation Philosophy and Program</w:t>
      </w:r>
    </w:p>
    <w:p>
      <w:pPr>
        <w:spacing w:after="0" w:line="221" w:lineRule="exact"/>
        <w:rPr>
          <w:sz w:val="20"/>
          <w:szCs w:val="20"/>
          <w:color w:val="auto"/>
        </w:rPr>
      </w:pPr>
    </w:p>
    <w:p>
      <w:pPr>
        <w:ind w:left="780" w:right="259"/>
        <w:spacing w:after="0" w:line="263" w:lineRule="auto"/>
        <w:rPr>
          <w:sz w:val="20"/>
          <w:szCs w:val="20"/>
          <w:color w:val="auto"/>
        </w:rPr>
      </w:pPr>
      <w:r>
        <w:rPr>
          <w:rFonts w:ascii="Arial" w:cs="Arial" w:eastAsia="Arial" w:hAnsi="Arial"/>
          <w:sz w:val="28"/>
          <w:szCs w:val="28"/>
          <w:color w:val="auto"/>
        </w:rPr>
        <w:t>Second Compensation Principle: Driving Achievement of Short- and Long-Term Business Performance Goals</w:t>
      </w:r>
    </w:p>
    <w:p>
      <w:pPr>
        <w:spacing w:after="0" w:line="77" w:lineRule="exact"/>
        <w:rPr>
          <w:sz w:val="20"/>
          <w:szCs w:val="20"/>
          <w:color w:val="auto"/>
        </w:rPr>
      </w:pPr>
    </w:p>
    <w:p>
      <w:pPr>
        <w:ind w:left="780" w:right="159"/>
        <w:spacing w:after="0" w:line="263" w:lineRule="auto"/>
        <w:rPr>
          <w:sz w:val="20"/>
          <w:szCs w:val="20"/>
          <w:color w:val="auto"/>
        </w:rPr>
      </w:pPr>
      <w:r>
        <w:rPr>
          <w:rFonts w:ascii="Arial" w:cs="Arial" w:eastAsia="Arial" w:hAnsi="Arial"/>
          <w:sz w:val="19"/>
          <w:szCs w:val="19"/>
          <w:color w:val="auto"/>
        </w:rPr>
        <w:t>We believe it is important to reward achievement of both annual and long-term business goals, and we structure our performance-based compensation accordingly. We maintain an Annual Incentive Plan, pursuant to which the LDC Committee sets performance targets to motivate NEOs to achieve our short-term financial and operational objectives, helping ensure accountability for progress toward longer-term strategic goals. Under our AIP, NEOs receive annual cash incentive opportunities tied to the achievement of both target annual EBITDA performance metrics set for the Company (and, in Mr. Rutz’s case, for the Sterigenics business and the Company) and individual performance factors, which include individual performance against Company values foundational to our Company’s culture, including our corporate responsibility initiatives. See “Annual Incentive Plan (AIP)” on page 42 for additional detail about our annual performance assessment process.</w:t>
      </w:r>
    </w:p>
    <w:p>
      <w:pPr>
        <w:spacing w:after="0" w:line="150" w:lineRule="exact"/>
        <w:rPr>
          <w:sz w:val="20"/>
          <w:szCs w:val="20"/>
          <w:color w:val="auto"/>
        </w:rPr>
      </w:pPr>
    </w:p>
    <w:p>
      <w:pPr>
        <w:ind w:left="780" w:right="179"/>
        <w:spacing w:after="0" w:line="257" w:lineRule="auto"/>
        <w:rPr>
          <w:sz w:val="20"/>
          <w:szCs w:val="20"/>
          <w:color w:val="auto"/>
        </w:rPr>
      </w:pPr>
      <w:r>
        <w:rPr>
          <w:rFonts w:ascii="Arial" w:cs="Arial" w:eastAsia="Arial" w:hAnsi="Arial"/>
          <w:sz w:val="19"/>
          <w:szCs w:val="19"/>
          <w:color w:val="auto"/>
        </w:rPr>
        <w:t>While we believe incentivizing the achievement of annual business goals is critical, we strive to reward an appropriate balance of annual and long-term financial and strategic business results. Our pay mix is designed to deliver over 50% of NEOs’ target total compensation in the form of equity awards linked to the value of our stock. We use equity awards to incentivize and reward long-term value creation and align our executives’ interests with those of our shareholders. In connection with our Initial Public Offering in 2020, the NEOs with the Company at that time (Mr. Petras and Mr. Rutz) received long-term equity incentive awards consisting of stock option awards and time-based RSUs, which vested over a four-year term beginning on the first anniversary of the grant date (the “IPO Equity Awards”). No additional long-term equity awards were granted in 2021 to recipients of the IPO Equity Awards. In 2022, we commenced an annual equity award cycle and each NEO we employed in March 2022 received a long-term equity incentive award comprising stock option awards and time-based RSUs. We continued with our annual equity award cycle in 2023 and in 2024, making a long-term equity incentive award grant comprised of stock option awards and time-based RSUs to each NEO we employed in March 2024. In direct response to input from our shareholders, our 2025 long-term incentive awards to NEOs were comprised of at least 50% PSUs, which are tied to the achievement of three-year goals. In addition, our 2025 awards of RSUs to NEOs include an incentive tied to stock price improvement, and we have not granted options to NEOs in 2025. Our policies and practices regarding stock option and RSU grants, including the timing of grants and the determination of the exercise price, are further described beginning on page</w:t>
      </w:r>
    </w:p>
    <w:p>
      <w:pPr>
        <w:spacing w:after="0" w:line="14" w:lineRule="exact"/>
        <w:rPr>
          <w:sz w:val="20"/>
          <w:szCs w:val="20"/>
          <w:color w:val="auto"/>
        </w:rPr>
      </w:pPr>
    </w:p>
    <w:p>
      <w:pPr>
        <w:jc w:val="both"/>
        <w:ind w:left="780" w:right="299" w:firstLine="3"/>
        <w:spacing w:after="0" w:line="256" w:lineRule="auto"/>
        <w:tabs>
          <w:tab w:leader="none" w:pos="1106"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stock ownership guidelines we adopted to further align the interests of our senior executive team, executive officers and directors with those of our shareholders are further described on page</w:t>
      </w:r>
    </w:p>
    <w:p>
      <w:pPr>
        <w:spacing w:after="0" w:line="1" w:lineRule="exact"/>
        <w:rPr>
          <w:rFonts w:ascii="Arial" w:cs="Arial" w:eastAsia="Arial" w:hAnsi="Arial"/>
          <w:sz w:val="19"/>
          <w:szCs w:val="19"/>
          <w:color w:val="auto"/>
        </w:rPr>
      </w:pPr>
    </w:p>
    <w:p>
      <w:pPr>
        <w:spacing w:after="0"/>
        <w:tabs>
          <w:tab w:leader="none" w:pos="0" w:val="left"/>
        </w:tabs>
        <w:numPr>
          <w:ilvl w:val="0"/>
          <w:numId w:val="30"/>
        </w:numPr>
        <w:rPr>
          <w:rFonts w:ascii="Arial" w:cs="Arial" w:eastAsia="Arial" w:hAnsi="Arial"/>
          <w:sz w:val="21"/>
          <w:szCs w:val="21"/>
          <w:color w:val="auto"/>
        </w:rPr>
      </w:pPr>
    </w:p>
    <w:p>
      <w:pPr>
        <w:spacing w:after="0" w:line="163" w:lineRule="exact"/>
        <w:rPr>
          <w:sz w:val="20"/>
          <w:szCs w:val="20"/>
          <w:color w:val="auto"/>
        </w:rPr>
      </w:pPr>
    </w:p>
    <w:p>
      <w:pPr>
        <w:ind w:left="780" w:right="399"/>
        <w:spacing w:after="0" w:line="254" w:lineRule="auto"/>
        <w:rPr>
          <w:sz w:val="20"/>
          <w:szCs w:val="20"/>
          <w:color w:val="auto"/>
        </w:rPr>
      </w:pPr>
      <w:r>
        <w:rPr>
          <w:rFonts w:ascii="Arial" w:cs="Arial" w:eastAsia="Arial" w:hAnsi="Arial"/>
          <w:sz w:val="28"/>
          <w:szCs w:val="28"/>
          <w:color w:val="auto"/>
        </w:rPr>
        <w:t>Third Compensation Principle: Paying Competitively to Attract and Retain Top Talent</w:t>
      </w:r>
    </w:p>
    <w:p>
      <w:pPr>
        <w:spacing w:after="0" w:line="101" w:lineRule="exact"/>
        <w:rPr>
          <w:sz w:val="20"/>
          <w:szCs w:val="20"/>
          <w:color w:val="auto"/>
        </w:rPr>
      </w:pPr>
    </w:p>
    <w:p>
      <w:pPr>
        <w:ind w:left="780" w:right="199"/>
        <w:spacing w:after="0" w:line="249" w:lineRule="auto"/>
        <w:rPr>
          <w:sz w:val="20"/>
          <w:szCs w:val="20"/>
          <w:color w:val="auto"/>
        </w:rPr>
      </w:pPr>
      <w:r>
        <w:rPr>
          <w:rFonts w:ascii="Arial" w:cs="Arial" w:eastAsia="Arial" w:hAnsi="Arial"/>
          <w:sz w:val="20"/>
          <w:szCs w:val="20"/>
          <w:color w:val="auto"/>
        </w:rPr>
        <w:t>Our compensation program is designed to attract, retain and motivate high-performing executives critical to the Company’s short- and long-term success. As described in more detail below, we seek to provide an overall level of total compensation for our executive officers that is reasonable in relation to, and competitive with, the compensation similarly situated peer leader companies in our industry pay, subject to variation for individual factors such as experience, performance, duties, scope of responsibility, prior contributions and future potential contributions to our business. With the assistance of our independent compensation consultant, the LDC Committee monitors market trends, including the prevalence of compensation delivery mechanisms, and adjusts the design and operation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301625</wp:posOffset>
            </wp:positionV>
            <wp:extent cx="494665" cy="165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177800</wp:posOffset>
            </wp:positionV>
            <wp:extent cx="5538470"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 Philosophy and Program</w:t>
      </w:r>
    </w:p>
    <w:p>
      <w:pPr>
        <w:spacing w:after="0" w:line="238" w:lineRule="exact"/>
        <w:rPr>
          <w:sz w:val="20"/>
          <w:szCs w:val="20"/>
          <w:color w:val="auto"/>
        </w:rPr>
      </w:pPr>
    </w:p>
    <w:p>
      <w:pPr>
        <w:ind w:left="780" w:right="319"/>
        <w:spacing w:after="0" w:line="251" w:lineRule="auto"/>
        <w:rPr>
          <w:sz w:val="20"/>
          <w:szCs w:val="20"/>
          <w:color w:val="auto"/>
        </w:rPr>
      </w:pPr>
      <w:r>
        <w:rPr>
          <w:rFonts w:ascii="Arial" w:cs="Arial" w:eastAsia="Arial" w:hAnsi="Arial"/>
          <w:sz w:val="21"/>
          <w:szCs w:val="21"/>
          <w:color w:val="auto"/>
        </w:rPr>
        <w:t>executive compensation program periodically as the LDC Committee deems appropriate, including to achieve our executive retention objectives. We believe our current compensation program, in particular our equity incentive program, provides high retentive value for the members of our leadership team who are critical to the Company’s success.</w:t>
      </w:r>
    </w:p>
    <w:p>
      <w:pPr>
        <w:spacing w:after="0" w:line="26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Compensation-Setting Process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The Role of the LDC Committee</w:t>
      </w:r>
    </w:p>
    <w:p>
      <w:pPr>
        <w:spacing w:after="0" w:line="149" w:lineRule="exact"/>
        <w:rPr>
          <w:sz w:val="20"/>
          <w:szCs w:val="20"/>
          <w:color w:val="auto"/>
        </w:rPr>
      </w:pPr>
    </w:p>
    <w:p>
      <w:pPr>
        <w:ind w:left="780" w:right="159"/>
        <w:spacing w:after="0" w:line="246" w:lineRule="auto"/>
        <w:rPr>
          <w:sz w:val="20"/>
          <w:szCs w:val="20"/>
          <w:color w:val="auto"/>
        </w:rPr>
      </w:pPr>
      <w:r>
        <w:rPr>
          <w:rFonts w:ascii="Arial" w:cs="Arial" w:eastAsia="Arial" w:hAnsi="Arial"/>
          <w:sz w:val="21"/>
          <w:szCs w:val="21"/>
          <w:color w:val="auto"/>
        </w:rPr>
        <w:t>The LDC Committee establishes our executive compensation philosophy and annually reviews and approves our executive compensation program. The LDC Committee reviews and approves each NEO’s base salary and target and earned annual cash incentive awards, and recommends to the full Board for approval the elements and target value of each NEO’s long-term equity incentive award. The Board (without the CEO’s participation) also reviews and approves each element of our CEO’s compensation.</w:t>
      </w:r>
    </w:p>
    <w:p>
      <w:pPr>
        <w:spacing w:after="0" w:line="176" w:lineRule="exact"/>
        <w:rPr>
          <w:sz w:val="20"/>
          <w:szCs w:val="20"/>
          <w:color w:val="auto"/>
        </w:rPr>
      </w:pPr>
    </w:p>
    <w:p>
      <w:pPr>
        <w:ind w:left="780" w:right="299"/>
        <w:spacing w:after="0" w:line="273" w:lineRule="auto"/>
        <w:rPr>
          <w:sz w:val="20"/>
          <w:szCs w:val="20"/>
          <w:color w:val="auto"/>
        </w:rPr>
      </w:pPr>
      <w:r>
        <w:rPr>
          <w:rFonts w:ascii="Arial" w:cs="Arial" w:eastAsia="Arial" w:hAnsi="Arial"/>
          <w:sz w:val="19"/>
          <w:szCs w:val="19"/>
          <w:color w:val="auto"/>
        </w:rPr>
        <w:t>The LDC Committee is authorized to retain independent advisors to assist the LDC Committee in carrying out its responsibilities and, in 2021 through 2024, the LDC Committee retained Exequity to review and provide input on our executive compensation program. At least annually, the LDC Committee reviews with Exequity the executive compensation program, including incentive compensation plans and arrangements, to: (i) help ensure the elements of our compensation program are based on appropriate measures, goals and targets for our industry and our business objectives; (ii) help ensure our program is achieving its intended purpose of incentivizing achievement of short-and long-term business goals, as well as attracting and retaining executive talent; and (iii) determine whether any changes to our compensation program are advisable.</w:t>
      </w:r>
    </w:p>
    <w:p>
      <w:pPr>
        <w:spacing w:after="0" w:line="135" w:lineRule="exact"/>
        <w:rPr>
          <w:sz w:val="20"/>
          <w:szCs w:val="20"/>
          <w:color w:val="auto"/>
        </w:rPr>
      </w:pPr>
    </w:p>
    <w:p>
      <w:pPr>
        <w:ind w:left="780"/>
        <w:spacing w:after="0"/>
        <w:rPr>
          <w:sz w:val="20"/>
          <w:szCs w:val="20"/>
          <w:color w:val="auto"/>
        </w:rPr>
      </w:pPr>
      <w:r>
        <w:rPr>
          <w:rFonts w:ascii="Arial" w:cs="Arial" w:eastAsia="Arial" w:hAnsi="Arial"/>
          <w:sz w:val="28"/>
          <w:szCs w:val="28"/>
          <w:color w:val="auto"/>
        </w:rPr>
        <w:t>The Role of our CEO and Management</w:t>
      </w:r>
    </w:p>
    <w:p>
      <w:pPr>
        <w:spacing w:after="0" w:line="149" w:lineRule="exact"/>
        <w:rPr>
          <w:sz w:val="20"/>
          <w:szCs w:val="20"/>
          <w:color w:val="auto"/>
        </w:rPr>
      </w:pPr>
    </w:p>
    <w:p>
      <w:pPr>
        <w:ind w:left="780" w:right="339"/>
        <w:spacing w:after="0" w:line="282" w:lineRule="auto"/>
        <w:rPr>
          <w:sz w:val="20"/>
          <w:szCs w:val="20"/>
          <w:color w:val="auto"/>
        </w:rPr>
      </w:pPr>
      <w:r>
        <w:rPr>
          <w:rFonts w:ascii="Arial" w:cs="Arial" w:eastAsia="Arial" w:hAnsi="Arial"/>
          <w:sz w:val="19"/>
          <w:szCs w:val="19"/>
          <w:color w:val="auto"/>
        </w:rPr>
        <w:t>The LDC Committee works with members of management, including our CEO and Chief Human Resources Officer (“CHRO”), to determine the compensation of our NEOs and certain other executives. Management further works with the LDC Committee annually to recommend the structure of our AIP, to develop AIP performance metrics, including threshold, target and maximum performance levels, and to evaluate actual Company performance against selected measures.</w:t>
      </w:r>
    </w:p>
    <w:p>
      <w:pPr>
        <w:spacing w:after="0" w:line="144" w:lineRule="exact"/>
        <w:rPr>
          <w:sz w:val="20"/>
          <w:szCs w:val="20"/>
          <w:color w:val="auto"/>
        </w:rPr>
      </w:pPr>
    </w:p>
    <w:p>
      <w:pPr>
        <w:ind w:left="780" w:right="219"/>
        <w:spacing w:after="0" w:line="255" w:lineRule="auto"/>
        <w:rPr>
          <w:sz w:val="20"/>
          <w:szCs w:val="20"/>
          <w:color w:val="auto"/>
        </w:rPr>
      </w:pPr>
      <w:r>
        <w:rPr>
          <w:rFonts w:ascii="Arial" w:cs="Arial" w:eastAsia="Arial" w:hAnsi="Arial"/>
          <w:sz w:val="20"/>
          <w:szCs w:val="20"/>
          <w:color w:val="auto"/>
        </w:rPr>
        <w:t>Additionally, the CEO makes recommendations to the LDC Committee regarding the compensation of the other NEOs and certain other executives. At the beginning of each year, our CEO reviews our NEOs’ and certain other executives’ prior year’s performance and makes recommendations to the LDC Committee for each element of such executives’ compensation (other than his own), including any salary adjustments, adjustments to AIP target as a percentage of salary for the current year, actual AIP payout for the previous year, and target grant date value of long-term equity awards. The CEO’s compensation recommendations are based on his performance evaluation of each executive, the Company’s performance in the preceding year, and data provided by Exequity concerning compensation practices among the Company’s compensation peer group. The LDC Committee considers the CEO’s recommendations when making executive compensation decisions, but the LDC Committee (and the Board, with respect to equity awards and CEO compensation) retains full discretion to set all compensation for our NEOs. For further discussion of the annual performance management process, see “Compensation Elements for 2024 — Annual Incentive Plan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144145</wp:posOffset>
            </wp:positionV>
            <wp:extent cx="5538470"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45085</wp:posOffset>
            </wp:positionV>
            <wp:extent cx="656971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Compensation-Setting Process</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The Role of the Compensation Consultant</w:t>
      </w:r>
    </w:p>
    <w:p>
      <w:pPr>
        <w:spacing w:after="0" w:line="149" w:lineRule="exact"/>
        <w:rPr>
          <w:sz w:val="20"/>
          <w:szCs w:val="20"/>
          <w:color w:val="auto"/>
        </w:rPr>
      </w:pPr>
    </w:p>
    <w:p>
      <w:pPr>
        <w:ind w:left="780" w:right="239"/>
        <w:spacing w:after="0" w:line="236" w:lineRule="auto"/>
        <w:rPr>
          <w:sz w:val="20"/>
          <w:szCs w:val="20"/>
          <w:color w:val="auto"/>
        </w:rPr>
      </w:pPr>
      <w:r>
        <w:rPr>
          <w:rFonts w:ascii="Arial" w:cs="Arial" w:eastAsia="Arial" w:hAnsi="Arial"/>
          <w:sz w:val="21"/>
          <w:szCs w:val="21"/>
          <w:color w:val="auto"/>
        </w:rPr>
        <w:t>The LDC Committee engaged Exequity as its independent compensation consultant for 2024. Although Exequity periodically meets with the CEO and CHRO to gather information and provide advice about management proposals to the LDC Committee, Exequity reports directly to the LDC Committee and not to management. Pursuant to its charter, the LDC Committee makes all determinations regarding the terms of the Company’s engagement with Exequity, including the services Exequity provides to the Company and the fees paid for those services. The LDC Committee retains the prerogative to replace its compensation consultant or hire additional advisors at any time. At the invitation of the LDC Committee, representatives of Exequity attend meetings of the LDC Committee. The LDC Committee also communicates with Exequity outside of meetings as needed.</w:t>
      </w:r>
    </w:p>
    <w:p>
      <w:pPr>
        <w:spacing w:after="0" w:line="169" w:lineRule="exact"/>
        <w:rPr>
          <w:sz w:val="20"/>
          <w:szCs w:val="20"/>
          <w:color w:val="auto"/>
        </w:rPr>
      </w:pPr>
    </w:p>
    <w:p>
      <w:pPr>
        <w:ind w:left="780" w:right="259"/>
        <w:spacing w:after="0" w:line="237" w:lineRule="auto"/>
        <w:rPr>
          <w:sz w:val="20"/>
          <w:szCs w:val="20"/>
          <w:color w:val="auto"/>
        </w:rPr>
      </w:pPr>
      <w:r>
        <w:rPr>
          <w:rFonts w:ascii="Arial" w:cs="Arial" w:eastAsia="Arial" w:hAnsi="Arial"/>
          <w:sz w:val="21"/>
          <w:szCs w:val="21"/>
          <w:color w:val="auto"/>
        </w:rPr>
        <w:t>The LDC Committee has assessed the independence of Exequity, as required under Nasdaq listing rules. Exequity has no affiliations with any of the NEOs or members of the Board other than in its role as an outside consultant. Additionally, the LDC Committee has considered and assessed all relevant factors, including but not limited to those set forth in Rule 10C-1(b)(4)(i) through (vi) under the Exchange Act, that could give rise to a potential conflict of interest with respect to Exequity. Based on this review, the LDC Committee is not aware of any conflict of interest that has been raised by the work performed by Exequity.</w:t>
      </w:r>
    </w:p>
    <w:p>
      <w:pPr>
        <w:spacing w:after="0" w:line="174"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nature and scope of services that Exequity provided in 2024 included the following:</w:t>
      </w:r>
    </w:p>
    <w:p>
      <w:pPr>
        <w:spacing w:after="0" w:line="109" w:lineRule="exact"/>
        <w:rPr>
          <w:sz w:val="20"/>
          <w:szCs w:val="20"/>
          <w:color w:val="auto"/>
        </w:rPr>
      </w:pPr>
    </w:p>
    <w:p>
      <w:pPr>
        <w:ind w:left="1120" w:hanging="337"/>
        <w:spacing w:after="0"/>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Advice and assistance developing a relevant compensation peer group;</w:t>
      </w:r>
    </w:p>
    <w:p>
      <w:pPr>
        <w:spacing w:after="0" w:line="95" w:lineRule="exact"/>
        <w:rPr>
          <w:rFonts w:ascii="Arial" w:cs="Arial" w:eastAsia="Arial" w:hAnsi="Arial"/>
          <w:sz w:val="21"/>
          <w:szCs w:val="21"/>
          <w:color w:val="435F86"/>
        </w:rPr>
      </w:pPr>
    </w:p>
    <w:p>
      <w:pPr>
        <w:ind w:left="1120" w:right="239" w:hanging="337"/>
        <w:spacing w:after="0" w:line="254" w:lineRule="auto"/>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Advice and assistance regarding compensation best practices and market trends for executives and directors, including new hire executive compensation packages and retention incentive programs;</w:t>
      </w:r>
    </w:p>
    <w:p>
      <w:pPr>
        <w:spacing w:after="0" w:line="51" w:lineRule="exact"/>
        <w:rPr>
          <w:rFonts w:ascii="Arial" w:cs="Arial" w:eastAsia="Arial" w:hAnsi="Arial"/>
          <w:sz w:val="21"/>
          <w:szCs w:val="21"/>
          <w:color w:val="435F86"/>
        </w:rPr>
      </w:pPr>
    </w:p>
    <w:p>
      <w:pPr>
        <w:ind w:left="1120" w:right="579" w:hanging="337"/>
        <w:spacing w:after="0" w:line="264" w:lineRule="auto"/>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Analysis of appropriate levels and design of total overall compensation and each element of compensation for our NEOs and directors;</w:t>
      </w:r>
    </w:p>
    <w:p>
      <w:pPr>
        <w:spacing w:after="0" w:line="39" w:lineRule="exact"/>
        <w:rPr>
          <w:rFonts w:ascii="Arial" w:cs="Arial" w:eastAsia="Arial" w:hAnsi="Arial"/>
          <w:sz w:val="21"/>
          <w:szCs w:val="21"/>
          <w:color w:val="435F86"/>
        </w:rPr>
      </w:pPr>
    </w:p>
    <w:p>
      <w:pPr>
        <w:ind w:left="1120" w:right="319" w:hanging="337"/>
        <w:spacing w:after="0" w:line="277" w:lineRule="auto"/>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Consultation on the design of 2025 long-term incentives that would be responsive to input from shareholders and enhance the performance linkages to these awards;</w:t>
      </w:r>
    </w:p>
    <w:p>
      <w:pPr>
        <w:spacing w:after="0" w:line="13" w:lineRule="exact"/>
        <w:rPr>
          <w:rFonts w:ascii="Arial" w:cs="Arial" w:eastAsia="Arial" w:hAnsi="Arial"/>
          <w:sz w:val="21"/>
          <w:szCs w:val="21"/>
          <w:color w:val="435F86"/>
        </w:rPr>
      </w:pPr>
    </w:p>
    <w:p>
      <w:pPr>
        <w:ind w:left="1120" w:right="699" w:hanging="337"/>
        <w:spacing w:after="0" w:line="277" w:lineRule="auto"/>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Consultation on technical matters such as the taxation of executive pay arrangements and assistance with disclosure of executive pay arrangements;</w:t>
      </w:r>
    </w:p>
    <w:p>
      <w:pPr>
        <w:spacing w:after="0" w:line="26" w:lineRule="exact"/>
        <w:rPr>
          <w:rFonts w:ascii="Arial" w:cs="Arial" w:eastAsia="Arial" w:hAnsi="Arial"/>
          <w:sz w:val="21"/>
          <w:szCs w:val="21"/>
          <w:color w:val="435F86"/>
        </w:rPr>
      </w:pPr>
    </w:p>
    <w:p>
      <w:pPr>
        <w:ind w:left="1120" w:hanging="337"/>
        <w:spacing w:after="0"/>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Annual assessment of potential risks associated with compensation programs; and</w:t>
      </w:r>
    </w:p>
    <w:p>
      <w:pPr>
        <w:spacing w:after="0" w:line="95" w:lineRule="exact"/>
        <w:rPr>
          <w:rFonts w:ascii="Arial" w:cs="Arial" w:eastAsia="Arial" w:hAnsi="Arial"/>
          <w:sz w:val="21"/>
          <w:szCs w:val="21"/>
          <w:color w:val="435F86"/>
        </w:rPr>
      </w:pPr>
    </w:p>
    <w:p>
      <w:pPr>
        <w:ind w:left="1120" w:hanging="337"/>
        <w:spacing w:after="0"/>
        <w:tabs>
          <w:tab w:leader="none" w:pos="1120" w:val="left"/>
        </w:tabs>
        <w:numPr>
          <w:ilvl w:val="0"/>
          <w:numId w:val="31"/>
        </w:numPr>
        <w:rPr>
          <w:rFonts w:ascii="Arial" w:cs="Arial" w:eastAsia="Arial" w:hAnsi="Arial"/>
          <w:sz w:val="21"/>
          <w:szCs w:val="21"/>
          <w:color w:val="435F86"/>
        </w:rPr>
      </w:pPr>
      <w:r>
        <w:rPr>
          <w:rFonts w:ascii="Arial" w:cs="Arial" w:eastAsia="Arial" w:hAnsi="Arial"/>
          <w:sz w:val="21"/>
          <w:szCs w:val="21"/>
          <w:color w:val="auto"/>
        </w:rPr>
        <w:t>Advice and assistance developing various Company policies or programs.</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Competitive Positioning</w:t>
      </w:r>
    </w:p>
    <w:p>
      <w:pPr>
        <w:spacing w:after="0" w:line="149" w:lineRule="exact"/>
        <w:rPr>
          <w:sz w:val="20"/>
          <w:szCs w:val="20"/>
          <w:color w:val="auto"/>
        </w:rPr>
      </w:pPr>
    </w:p>
    <w:p>
      <w:pPr>
        <w:ind w:left="780" w:right="219"/>
        <w:spacing w:after="0" w:line="238" w:lineRule="auto"/>
        <w:rPr>
          <w:sz w:val="20"/>
          <w:szCs w:val="20"/>
          <w:color w:val="auto"/>
        </w:rPr>
      </w:pPr>
      <w:r>
        <w:rPr>
          <w:rFonts w:ascii="Arial" w:cs="Arial" w:eastAsia="Arial" w:hAnsi="Arial"/>
          <w:sz w:val="21"/>
          <w:szCs w:val="21"/>
          <w:color w:val="auto"/>
        </w:rPr>
        <w:t>Consistent with our goal of providing competitive compensation to attract and retain executives, the LDC Committee reviews market data on executive compensation levels and practices drawn from a group of peer companies similar to the Company in industry focus, revenue and market capitalization. While the LDC Committee does not specifically target any particular percentile for any element of an NEO’s compensation, it does generally consider as a reference point the market median for each element of an NEO’s compensation.</w:t>
      </w:r>
    </w:p>
    <w:p>
      <w:pPr>
        <w:spacing w:after="0" w:line="173" w:lineRule="exact"/>
        <w:rPr>
          <w:sz w:val="20"/>
          <w:szCs w:val="20"/>
          <w:color w:val="auto"/>
        </w:rPr>
      </w:pPr>
    </w:p>
    <w:p>
      <w:pPr>
        <w:ind w:left="780" w:right="259"/>
        <w:spacing w:after="0" w:line="248" w:lineRule="auto"/>
        <w:rPr>
          <w:sz w:val="20"/>
          <w:szCs w:val="20"/>
          <w:color w:val="auto"/>
        </w:rPr>
      </w:pPr>
      <w:r>
        <w:rPr>
          <w:rFonts w:ascii="Arial" w:cs="Arial" w:eastAsia="Arial" w:hAnsi="Arial"/>
          <w:sz w:val="21"/>
          <w:szCs w:val="21"/>
          <w:color w:val="auto"/>
        </w:rPr>
        <w:t>The LDC Committee assessed our 2023 compensation peer group for 2024 compensation decisions, based on a review by Exequity, and the LDC Committee approved several changes. The 2023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307975</wp:posOffset>
            </wp:positionV>
            <wp:extent cx="494665" cy="165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184150</wp:posOffset>
            </wp:positionV>
            <wp:extent cx="5538470"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Compensation-Setting Process</w:t>
      </w:r>
    </w:p>
    <w:p>
      <w:pPr>
        <w:spacing w:after="0" w:line="238" w:lineRule="exact"/>
        <w:rPr>
          <w:sz w:val="20"/>
          <w:szCs w:val="20"/>
          <w:color w:val="auto"/>
        </w:rPr>
      </w:pPr>
    </w:p>
    <w:p>
      <w:pPr>
        <w:ind w:left="780" w:right="800"/>
        <w:spacing w:after="0" w:line="244" w:lineRule="auto"/>
        <w:rPr>
          <w:sz w:val="20"/>
          <w:szCs w:val="20"/>
          <w:color w:val="auto"/>
        </w:rPr>
      </w:pPr>
      <w:r>
        <w:rPr>
          <w:rFonts w:ascii="Arial" w:cs="Arial" w:eastAsia="Arial" w:hAnsi="Arial"/>
          <w:sz w:val="21"/>
          <w:szCs w:val="21"/>
          <w:color w:val="auto"/>
        </w:rPr>
        <w:t>consisted of companies that we identified as serving with the Company for executive talent, business competitors, and companies referenced in the executive pay benchmarking processes disclosed by such talent and business competitors. In identifying candidates for the peer group, in consultation with Exequity, the LDC Committee reviewed companies that generally operated within the following industry segments: Health Care Equipment, Life Sciences Tools and Services, Health Care Supplies, Biotechnology and Pharmaceuticals, and Health Care Technology. When assessing potential peers with these characteristics, the LDC Committee further considered the relative sizes of those peer candidates in relation to the Company. The LDC Committee generally sought to include peer candidates with annual revenues of 0.5x – 4.0x the Company’s revenues and a total enterprise value of 0.2x – 3x the Company’s total enterprise value. The LDC Committee also reviewed peer candidates’ EBITDA relative to the Company’s as an indicator of each company’s scale and performance.</w:t>
      </w:r>
    </w:p>
    <w:p>
      <w:pPr>
        <w:spacing w:after="0" w:line="169" w:lineRule="exact"/>
        <w:rPr>
          <w:sz w:val="20"/>
          <w:szCs w:val="20"/>
          <w:color w:val="auto"/>
        </w:rPr>
      </w:pPr>
    </w:p>
    <w:p>
      <w:pPr>
        <w:ind w:left="780" w:right="820"/>
        <w:spacing w:after="0" w:line="246" w:lineRule="auto"/>
        <w:rPr>
          <w:sz w:val="20"/>
          <w:szCs w:val="20"/>
          <w:color w:val="auto"/>
        </w:rPr>
      </w:pPr>
      <w:r>
        <w:rPr>
          <w:rFonts w:ascii="Arial" w:cs="Arial" w:eastAsia="Arial" w:hAnsi="Arial"/>
          <w:sz w:val="21"/>
          <w:szCs w:val="21"/>
          <w:color w:val="auto"/>
        </w:rPr>
        <w:t>For 2024, Abiomed, Inc. was removed due to its acquisition, and Catalent, Inc. and Charles River Laboratories International, Inc. were removed primarily due to their disparate sizes relative to the Company. In considering potential additions for the 2024 peer group, the LDC Committee reviewed companies within the industry segments mentioned above with annual revenues and total enterprise value of between 0.4x and 2.5x of the Company’s annual revenues and total enterprise value. The LDC Committee also reviewed peer candidates’ EBITDA relative to the Company’s as an indicator of each company’s scale and performance. Based on this analysis, Maravai LifeSciences Holdings, Inc. was added to the peer group.</w:t>
      </w:r>
    </w:p>
    <w:p>
      <w:pPr>
        <w:spacing w:after="0" w:line="161" w:lineRule="exact"/>
        <w:rPr>
          <w:sz w:val="20"/>
          <w:szCs w:val="20"/>
          <w:color w:val="auto"/>
        </w:rPr>
      </w:pPr>
    </w:p>
    <w:p>
      <w:pPr>
        <w:ind w:left="780" w:right="1240"/>
        <w:spacing w:after="0" w:line="277" w:lineRule="auto"/>
        <w:rPr>
          <w:sz w:val="20"/>
          <w:szCs w:val="20"/>
          <w:color w:val="auto"/>
        </w:rPr>
      </w:pPr>
      <w:r>
        <w:rPr>
          <w:rFonts w:ascii="Arial" w:cs="Arial" w:eastAsia="Arial" w:hAnsi="Arial"/>
          <w:sz w:val="21"/>
          <w:szCs w:val="21"/>
          <w:color w:val="auto"/>
        </w:rPr>
        <w:t>The compensation peer group used for 2024 compensation decisions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124460</wp:posOffset>
            </wp:positionV>
            <wp:extent cx="5538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6" w:lineRule="exact"/>
        <w:rPr>
          <w:sz w:val="20"/>
          <w:szCs w:val="20"/>
          <w:color w:val="auto"/>
        </w:rPr>
      </w:pPr>
    </w:p>
    <w:tbl>
      <w:tblPr>
        <w:tblLayout w:type="fixed"/>
        <w:tblInd w:w="780" w:type="dxa"/>
        <w:tblCellMar>
          <w:top w:w="0" w:type="dxa"/>
          <w:left w:w="0" w:type="dxa"/>
          <w:bottom w:w="0" w:type="dxa"/>
          <w:right w:w="0" w:type="dxa"/>
        </w:tblCellMar>
      </w:tblPr>
      <w:tr>
        <w:trPr>
          <w:trHeight w:val="221"/>
        </w:trPr>
        <w:tc>
          <w:tcPr>
            <w:tcW w:w="2640" w:type="dxa"/>
            <w:vAlign w:val="bottom"/>
          </w:tcPr>
          <w:p>
            <w:pPr>
              <w:ind w:left="60"/>
              <w:spacing w:after="0"/>
              <w:rPr>
                <w:sz w:val="20"/>
                <w:szCs w:val="20"/>
                <w:color w:val="auto"/>
              </w:rPr>
            </w:pPr>
            <w:r>
              <w:rPr>
                <w:rFonts w:ascii="Arial" w:cs="Arial" w:eastAsia="Arial" w:hAnsi="Arial"/>
                <w:sz w:val="19"/>
                <w:szCs w:val="19"/>
                <w:color w:val="auto"/>
              </w:rPr>
              <w:t>Avanos Medical, Inc.</w:t>
            </w:r>
          </w:p>
        </w:tc>
        <w:tc>
          <w:tcPr>
            <w:tcW w:w="3120" w:type="dxa"/>
            <w:vAlign w:val="bottom"/>
          </w:tcPr>
          <w:p>
            <w:pPr>
              <w:ind w:left="220"/>
              <w:spacing w:after="0"/>
              <w:rPr>
                <w:sz w:val="20"/>
                <w:szCs w:val="20"/>
                <w:color w:val="auto"/>
              </w:rPr>
            </w:pPr>
            <w:r>
              <w:rPr>
                <w:rFonts w:ascii="Arial" w:cs="Arial" w:eastAsia="Arial" w:hAnsi="Arial"/>
                <w:sz w:val="19"/>
                <w:szCs w:val="19"/>
                <w:color w:val="auto"/>
                <w:w w:val="95"/>
              </w:rPr>
              <w:t>Maravai LifeSciences Holdings, Inc.</w:t>
            </w:r>
          </w:p>
        </w:tc>
        <w:tc>
          <w:tcPr>
            <w:tcW w:w="2960" w:type="dxa"/>
            <w:vAlign w:val="bottom"/>
          </w:tcPr>
          <w:p>
            <w:pPr>
              <w:ind w:left="60"/>
              <w:spacing w:after="0"/>
              <w:rPr>
                <w:sz w:val="20"/>
                <w:szCs w:val="20"/>
                <w:color w:val="auto"/>
              </w:rPr>
            </w:pPr>
            <w:r>
              <w:rPr>
                <w:rFonts w:ascii="Arial" w:cs="Arial" w:eastAsia="Arial" w:hAnsi="Arial"/>
                <w:sz w:val="19"/>
                <w:szCs w:val="19"/>
                <w:color w:val="auto"/>
              </w:rPr>
              <w:t>ResMed Inc.</w:t>
            </w:r>
          </w:p>
        </w:tc>
      </w:tr>
      <w:tr>
        <w:trPr>
          <w:trHeight w:val="221"/>
        </w:trPr>
        <w:tc>
          <w:tcPr>
            <w:tcW w:w="2640" w:type="dxa"/>
            <w:vAlign w:val="bottom"/>
          </w:tcPr>
          <w:p>
            <w:pPr>
              <w:ind w:left="60"/>
              <w:spacing w:after="0"/>
              <w:rPr>
                <w:sz w:val="20"/>
                <w:szCs w:val="20"/>
                <w:color w:val="auto"/>
              </w:rPr>
            </w:pPr>
            <w:r>
              <w:rPr>
                <w:rFonts w:ascii="Arial" w:cs="Arial" w:eastAsia="Arial" w:hAnsi="Arial"/>
                <w:sz w:val="19"/>
                <w:szCs w:val="19"/>
                <w:color w:val="auto"/>
              </w:rPr>
              <w:t>Bio-Techne Corporation</w:t>
            </w:r>
          </w:p>
        </w:tc>
        <w:tc>
          <w:tcPr>
            <w:tcW w:w="3120" w:type="dxa"/>
            <w:vAlign w:val="bottom"/>
          </w:tcPr>
          <w:p>
            <w:pPr>
              <w:ind w:left="220"/>
              <w:spacing w:after="0"/>
              <w:rPr>
                <w:sz w:val="20"/>
                <w:szCs w:val="20"/>
                <w:color w:val="auto"/>
              </w:rPr>
            </w:pPr>
            <w:r>
              <w:rPr>
                <w:rFonts w:ascii="Arial" w:cs="Arial" w:eastAsia="Arial" w:hAnsi="Arial"/>
                <w:sz w:val="19"/>
                <w:szCs w:val="19"/>
                <w:color w:val="auto"/>
              </w:rPr>
              <w:t>Masimo Corporation</w:t>
            </w:r>
          </w:p>
        </w:tc>
        <w:tc>
          <w:tcPr>
            <w:tcW w:w="2960" w:type="dxa"/>
            <w:vAlign w:val="bottom"/>
          </w:tcPr>
          <w:p>
            <w:pPr>
              <w:ind w:left="60"/>
              <w:spacing w:after="0"/>
              <w:rPr>
                <w:sz w:val="20"/>
                <w:szCs w:val="20"/>
                <w:color w:val="auto"/>
              </w:rPr>
            </w:pPr>
            <w:r>
              <w:rPr>
                <w:rFonts w:ascii="Arial" w:cs="Arial" w:eastAsia="Arial" w:hAnsi="Arial"/>
                <w:sz w:val="19"/>
                <w:szCs w:val="19"/>
                <w:color w:val="auto"/>
              </w:rPr>
              <w:t>STERIS plc</w:t>
            </w:r>
          </w:p>
        </w:tc>
      </w:tr>
      <w:tr>
        <w:trPr>
          <w:trHeight w:val="221"/>
        </w:trPr>
        <w:tc>
          <w:tcPr>
            <w:tcW w:w="2640" w:type="dxa"/>
            <w:vAlign w:val="bottom"/>
          </w:tcPr>
          <w:p>
            <w:pPr>
              <w:ind w:left="60"/>
              <w:spacing w:after="0"/>
              <w:rPr>
                <w:sz w:val="20"/>
                <w:szCs w:val="20"/>
                <w:color w:val="auto"/>
              </w:rPr>
            </w:pPr>
            <w:r>
              <w:rPr>
                <w:rFonts w:ascii="Arial" w:cs="Arial" w:eastAsia="Arial" w:hAnsi="Arial"/>
                <w:sz w:val="19"/>
                <w:szCs w:val="19"/>
                <w:color w:val="auto"/>
              </w:rPr>
              <w:t>CONMED Corporation</w:t>
            </w:r>
          </w:p>
        </w:tc>
        <w:tc>
          <w:tcPr>
            <w:tcW w:w="3120" w:type="dxa"/>
            <w:vAlign w:val="bottom"/>
          </w:tcPr>
          <w:p>
            <w:pPr>
              <w:ind w:left="220"/>
              <w:spacing w:after="0"/>
              <w:rPr>
                <w:sz w:val="20"/>
                <w:szCs w:val="20"/>
                <w:color w:val="auto"/>
              </w:rPr>
            </w:pPr>
            <w:r>
              <w:rPr>
                <w:rFonts w:ascii="Arial" w:cs="Arial" w:eastAsia="Arial" w:hAnsi="Arial"/>
                <w:sz w:val="19"/>
                <w:szCs w:val="19"/>
                <w:color w:val="auto"/>
              </w:rPr>
              <w:t>Medpace Holdings, Inc.</w:t>
            </w:r>
          </w:p>
        </w:tc>
        <w:tc>
          <w:tcPr>
            <w:tcW w:w="2960" w:type="dxa"/>
            <w:vAlign w:val="bottom"/>
          </w:tcPr>
          <w:p>
            <w:pPr>
              <w:ind w:left="60"/>
              <w:spacing w:after="0"/>
              <w:rPr>
                <w:sz w:val="20"/>
                <w:szCs w:val="20"/>
                <w:color w:val="auto"/>
              </w:rPr>
            </w:pPr>
            <w:r>
              <w:rPr>
                <w:rFonts w:ascii="Arial" w:cs="Arial" w:eastAsia="Arial" w:hAnsi="Arial"/>
                <w:sz w:val="19"/>
                <w:szCs w:val="19"/>
                <w:color w:val="auto"/>
              </w:rPr>
              <w:t>Tandem Diabetes Care, Inc.</w:t>
            </w:r>
          </w:p>
        </w:tc>
      </w:tr>
      <w:tr>
        <w:trPr>
          <w:trHeight w:val="221"/>
        </w:trPr>
        <w:tc>
          <w:tcPr>
            <w:tcW w:w="2640" w:type="dxa"/>
            <w:vAlign w:val="bottom"/>
          </w:tcPr>
          <w:p>
            <w:pPr>
              <w:ind w:left="60"/>
              <w:spacing w:after="0"/>
              <w:rPr>
                <w:sz w:val="20"/>
                <w:szCs w:val="20"/>
                <w:color w:val="auto"/>
              </w:rPr>
            </w:pPr>
            <w:r>
              <w:rPr>
                <w:rFonts w:ascii="Arial" w:cs="Arial" w:eastAsia="Arial" w:hAnsi="Arial"/>
                <w:sz w:val="19"/>
                <w:szCs w:val="19"/>
                <w:color w:val="auto"/>
              </w:rPr>
              <w:t>The Cooper Companies, Inc.</w:t>
            </w:r>
          </w:p>
        </w:tc>
        <w:tc>
          <w:tcPr>
            <w:tcW w:w="3120" w:type="dxa"/>
            <w:vAlign w:val="bottom"/>
          </w:tcPr>
          <w:p>
            <w:pPr>
              <w:ind w:left="220"/>
              <w:spacing w:after="0"/>
              <w:rPr>
                <w:sz w:val="20"/>
                <w:szCs w:val="20"/>
                <w:color w:val="auto"/>
              </w:rPr>
            </w:pPr>
            <w:r>
              <w:rPr>
                <w:rFonts w:ascii="Arial" w:cs="Arial" w:eastAsia="Arial" w:hAnsi="Arial"/>
                <w:sz w:val="19"/>
                <w:szCs w:val="19"/>
                <w:color w:val="auto"/>
              </w:rPr>
              <w:t>Merit Medical Systems, Inc.</w:t>
            </w:r>
          </w:p>
        </w:tc>
        <w:tc>
          <w:tcPr>
            <w:tcW w:w="2960" w:type="dxa"/>
            <w:vAlign w:val="bottom"/>
          </w:tcPr>
          <w:p>
            <w:pPr>
              <w:ind w:left="60"/>
              <w:spacing w:after="0"/>
              <w:rPr>
                <w:sz w:val="20"/>
                <w:szCs w:val="20"/>
                <w:color w:val="auto"/>
              </w:rPr>
            </w:pPr>
            <w:r>
              <w:rPr>
                <w:rFonts w:ascii="Arial" w:cs="Arial" w:eastAsia="Arial" w:hAnsi="Arial"/>
                <w:sz w:val="19"/>
                <w:szCs w:val="19"/>
                <w:color w:val="auto"/>
              </w:rPr>
              <w:t>Teleflex Incorporated</w:t>
            </w:r>
          </w:p>
        </w:tc>
      </w:tr>
      <w:tr>
        <w:trPr>
          <w:trHeight w:val="221"/>
        </w:trPr>
        <w:tc>
          <w:tcPr>
            <w:tcW w:w="2640" w:type="dxa"/>
            <w:vAlign w:val="bottom"/>
          </w:tcPr>
          <w:p>
            <w:pPr>
              <w:ind w:left="60"/>
              <w:spacing w:after="0"/>
              <w:rPr>
                <w:sz w:val="20"/>
                <w:szCs w:val="20"/>
                <w:color w:val="auto"/>
              </w:rPr>
            </w:pPr>
            <w:r>
              <w:rPr>
                <w:rFonts w:ascii="Arial" w:cs="Arial" w:eastAsia="Arial" w:hAnsi="Arial"/>
                <w:sz w:val="19"/>
                <w:szCs w:val="19"/>
                <w:color w:val="auto"/>
              </w:rPr>
              <w:t>Haemonetics Corporation</w:t>
            </w:r>
          </w:p>
        </w:tc>
        <w:tc>
          <w:tcPr>
            <w:tcW w:w="3120" w:type="dxa"/>
            <w:vAlign w:val="bottom"/>
          </w:tcPr>
          <w:p>
            <w:pPr>
              <w:ind w:left="220"/>
              <w:spacing w:after="0"/>
              <w:rPr>
                <w:sz w:val="20"/>
                <w:szCs w:val="20"/>
                <w:color w:val="auto"/>
              </w:rPr>
            </w:pPr>
            <w:r>
              <w:rPr>
                <w:rFonts w:ascii="Arial" w:cs="Arial" w:eastAsia="Arial" w:hAnsi="Arial"/>
                <w:sz w:val="19"/>
                <w:szCs w:val="19"/>
                <w:color w:val="auto"/>
              </w:rPr>
              <w:t>QuidelOrtho Corporation</w:t>
            </w:r>
          </w:p>
        </w:tc>
        <w:tc>
          <w:tcPr>
            <w:tcW w:w="2960" w:type="dxa"/>
            <w:vAlign w:val="bottom"/>
          </w:tcPr>
          <w:p>
            <w:pPr>
              <w:ind w:left="60"/>
              <w:spacing w:after="0"/>
              <w:rPr>
                <w:sz w:val="20"/>
                <w:szCs w:val="20"/>
                <w:color w:val="auto"/>
              </w:rPr>
            </w:pPr>
            <w:r>
              <w:rPr>
                <w:rFonts w:ascii="Arial" w:cs="Arial" w:eastAsia="Arial" w:hAnsi="Arial"/>
                <w:sz w:val="19"/>
                <w:szCs w:val="19"/>
                <w:color w:val="auto"/>
              </w:rPr>
              <w:t>Waters Corporation</w:t>
            </w:r>
          </w:p>
        </w:tc>
      </w:tr>
      <w:tr>
        <w:trPr>
          <w:trHeight w:val="208"/>
        </w:trPr>
        <w:tc>
          <w:tcPr>
            <w:tcW w:w="2640" w:type="dxa"/>
            <w:vAlign w:val="bottom"/>
          </w:tcPr>
          <w:p>
            <w:pPr>
              <w:ind w:left="60"/>
              <w:spacing w:after="0" w:line="208" w:lineRule="exact"/>
              <w:rPr>
                <w:sz w:val="20"/>
                <w:szCs w:val="20"/>
                <w:color w:val="auto"/>
              </w:rPr>
            </w:pPr>
            <w:r>
              <w:rPr>
                <w:rFonts w:ascii="Arial" w:cs="Arial" w:eastAsia="Arial" w:hAnsi="Arial"/>
                <w:sz w:val="19"/>
                <w:szCs w:val="19"/>
                <w:color w:val="auto"/>
              </w:rPr>
              <w:t>Hologic, Inc.</w:t>
            </w:r>
          </w:p>
        </w:tc>
        <w:tc>
          <w:tcPr>
            <w:tcW w:w="3120" w:type="dxa"/>
            <w:vAlign w:val="bottom"/>
          </w:tcPr>
          <w:p>
            <w:pPr>
              <w:ind w:left="220"/>
              <w:spacing w:after="0" w:line="208" w:lineRule="exact"/>
              <w:rPr>
                <w:sz w:val="20"/>
                <w:szCs w:val="20"/>
                <w:color w:val="auto"/>
              </w:rPr>
            </w:pPr>
            <w:r>
              <w:rPr>
                <w:rFonts w:ascii="Arial" w:cs="Arial" w:eastAsia="Arial" w:hAnsi="Arial"/>
                <w:sz w:val="19"/>
                <w:szCs w:val="19"/>
                <w:color w:val="auto"/>
              </w:rPr>
              <w:t>Repligen Corporation</w:t>
            </w:r>
          </w:p>
        </w:tc>
        <w:tc>
          <w:tcPr>
            <w:tcW w:w="2960" w:type="dxa"/>
            <w:vAlign w:val="bottom"/>
          </w:tcPr>
          <w:p>
            <w:pPr>
              <w:ind w:left="60"/>
              <w:spacing w:after="0" w:line="208" w:lineRule="exact"/>
              <w:rPr>
                <w:sz w:val="20"/>
                <w:szCs w:val="20"/>
                <w:color w:val="auto"/>
              </w:rPr>
            </w:pPr>
            <w:r>
              <w:rPr>
                <w:rFonts w:ascii="Arial" w:cs="Arial" w:eastAsia="Arial" w:hAnsi="Arial"/>
                <w:sz w:val="19"/>
                <w:szCs w:val="19"/>
                <w:color w:val="auto"/>
                <w:w w:val="96"/>
              </w:rPr>
              <w:t>West Pharmaceutical Services, Inc.</w:t>
            </w:r>
          </w:p>
        </w:tc>
      </w:tr>
      <w:tr>
        <w:trPr>
          <w:trHeight w:val="234"/>
        </w:trPr>
        <w:tc>
          <w:tcPr>
            <w:tcW w:w="2640" w:type="dxa"/>
            <w:vAlign w:val="bottom"/>
          </w:tcPr>
          <w:p>
            <w:pPr>
              <w:ind w:left="60"/>
              <w:spacing w:after="0"/>
              <w:rPr>
                <w:sz w:val="20"/>
                <w:szCs w:val="20"/>
                <w:color w:val="auto"/>
              </w:rPr>
            </w:pPr>
            <w:r>
              <w:rPr>
                <w:rFonts w:ascii="Arial" w:cs="Arial" w:eastAsia="Arial" w:hAnsi="Arial"/>
                <w:sz w:val="19"/>
                <w:szCs w:val="19"/>
                <w:color w:val="auto"/>
              </w:rPr>
              <w:t>Integra LifeSciences Holdings</w:t>
            </w:r>
          </w:p>
        </w:tc>
        <w:tc>
          <w:tcPr>
            <w:tcW w:w="31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242"/>
        </w:trPr>
        <w:tc>
          <w:tcPr>
            <w:tcW w:w="2640" w:type="dxa"/>
            <w:vAlign w:val="bottom"/>
            <w:tcBorders>
              <w:bottom w:val="single" w:sz="8" w:color="435F86"/>
            </w:tcBorders>
          </w:tcPr>
          <w:p>
            <w:pPr>
              <w:ind w:left="60"/>
              <w:spacing w:after="0"/>
              <w:rPr>
                <w:sz w:val="20"/>
                <w:szCs w:val="20"/>
                <w:color w:val="auto"/>
              </w:rPr>
            </w:pPr>
            <w:r>
              <w:rPr>
                <w:rFonts w:ascii="Arial" w:cs="Arial" w:eastAsia="Arial" w:hAnsi="Arial"/>
                <w:sz w:val="19"/>
                <w:szCs w:val="19"/>
                <w:color w:val="auto"/>
              </w:rPr>
              <w:t>Corporation</w:t>
            </w:r>
          </w:p>
        </w:tc>
        <w:tc>
          <w:tcPr>
            <w:tcW w:w="3120" w:type="dxa"/>
            <w:vAlign w:val="bottom"/>
            <w:tcBorders>
              <w:bottom w:val="single" w:sz="8" w:color="435F86"/>
            </w:tcBorders>
          </w:tcPr>
          <w:p>
            <w:pPr>
              <w:spacing w:after="0"/>
              <w:rPr>
                <w:sz w:val="21"/>
                <w:szCs w:val="21"/>
                <w:color w:val="auto"/>
              </w:rPr>
            </w:pPr>
          </w:p>
        </w:tc>
        <w:tc>
          <w:tcPr>
            <w:tcW w:w="2960" w:type="dxa"/>
            <w:vAlign w:val="bottom"/>
            <w:tcBorders>
              <w:bottom w:val="single" w:sz="8" w:color="435F86"/>
            </w:tcBorders>
          </w:tcPr>
          <w:p>
            <w:pPr>
              <w:spacing w:after="0"/>
              <w:rPr>
                <w:sz w:val="21"/>
                <w:szCs w:val="21"/>
                <w:color w:val="auto"/>
              </w:rPr>
            </w:pPr>
          </w:p>
        </w:tc>
      </w:tr>
    </w:tbl>
    <w:p>
      <w:pPr>
        <w:spacing w:after="0" w:line="333" w:lineRule="exact"/>
        <w:rPr>
          <w:sz w:val="20"/>
          <w:szCs w:val="20"/>
          <w:color w:val="auto"/>
        </w:rPr>
      </w:pPr>
    </w:p>
    <w:p>
      <w:pPr>
        <w:ind w:left="780"/>
        <w:spacing w:after="0"/>
        <w:rPr>
          <w:sz w:val="20"/>
          <w:szCs w:val="20"/>
          <w:color w:val="auto"/>
        </w:rPr>
      </w:pPr>
      <w:r>
        <w:rPr>
          <w:rFonts w:ascii="Arial" w:cs="Arial" w:eastAsia="Arial" w:hAnsi="Arial"/>
          <w:sz w:val="28"/>
          <w:szCs w:val="28"/>
          <w:color w:val="auto"/>
        </w:rPr>
        <w:t>2024 Compensation Decisions</w:t>
      </w:r>
    </w:p>
    <w:p>
      <w:pPr>
        <w:spacing w:after="0" w:line="149" w:lineRule="exact"/>
        <w:rPr>
          <w:sz w:val="20"/>
          <w:szCs w:val="20"/>
          <w:color w:val="auto"/>
        </w:rPr>
      </w:pPr>
    </w:p>
    <w:p>
      <w:pPr>
        <w:ind w:left="780" w:right="1020"/>
        <w:spacing w:after="0" w:line="249" w:lineRule="auto"/>
        <w:rPr>
          <w:sz w:val="20"/>
          <w:szCs w:val="20"/>
          <w:color w:val="auto"/>
        </w:rPr>
      </w:pPr>
      <w:r>
        <w:rPr>
          <w:rFonts w:ascii="Arial" w:cs="Arial" w:eastAsia="Arial" w:hAnsi="Arial"/>
          <w:sz w:val="21"/>
          <w:szCs w:val="21"/>
          <w:color w:val="auto"/>
        </w:rPr>
        <w:t>The factors described in the table below materially informed the LDC Committee’s decisions in setting 2024 executive compensation as further described below. Specifically, in determining our non-CEO NEOs’ 2024 total target compensation, and recommending to the Board the CEO’s total target compensation and NEOs’ long-term equity incentive compensation, the LDC Committee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737870</wp:posOffset>
            </wp:positionV>
            <wp:extent cx="5538470"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40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80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800"/>
        <w:spacing w:after="0"/>
        <w:rPr>
          <w:sz w:val="20"/>
          <w:szCs w:val="20"/>
          <w:color w:val="auto"/>
        </w:rPr>
      </w:pPr>
      <w:r>
        <w:rPr>
          <w:rFonts w:ascii="Arial" w:cs="Arial" w:eastAsia="Arial" w:hAnsi="Arial"/>
          <w:sz w:val="14"/>
          <w:szCs w:val="14"/>
          <w:b w:val="1"/>
          <w:bCs w:val="1"/>
          <w:color w:val="auto"/>
        </w:rPr>
        <w:t>Compensation-Setting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167640</wp:posOffset>
            </wp:positionV>
            <wp:extent cx="5538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both"/>
        <w:ind w:left="1060" w:right="200" w:hanging="199"/>
        <w:spacing w:after="0" w:line="331" w:lineRule="auto"/>
        <w:tabs>
          <w:tab w:leader="none" w:pos="1060" w:val="left"/>
        </w:tabs>
        <w:numPr>
          <w:ilvl w:val="0"/>
          <w:numId w:val="32"/>
        </w:numPr>
        <w:rPr>
          <w:rFonts w:ascii="Arial" w:cs="Arial" w:eastAsia="Arial" w:hAnsi="Arial"/>
          <w:sz w:val="19"/>
          <w:szCs w:val="19"/>
          <w:color w:val="435F86"/>
        </w:rPr>
      </w:pPr>
      <w:r>
        <w:rPr>
          <w:rFonts w:ascii="Arial" w:cs="Arial" w:eastAsia="Arial" w:hAnsi="Arial"/>
          <w:sz w:val="19"/>
          <w:szCs w:val="19"/>
          <w:color w:val="auto"/>
        </w:rPr>
        <w:t>Market-competitive pay levels and designs, as informed by analysis of peer group data</w:t>
      </w:r>
    </w:p>
    <w:p>
      <w:pPr>
        <w:spacing w:after="0" w:line="46" w:lineRule="exact"/>
        <w:rPr>
          <w:rFonts w:ascii="Arial" w:cs="Arial" w:eastAsia="Arial" w:hAnsi="Arial"/>
          <w:sz w:val="19"/>
          <w:szCs w:val="19"/>
          <w:color w:val="435F86"/>
        </w:rPr>
      </w:pPr>
    </w:p>
    <w:p>
      <w:pPr>
        <w:ind w:left="1060" w:right="100" w:hanging="199"/>
        <w:spacing w:after="0" w:line="291" w:lineRule="auto"/>
        <w:tabs>
          <w:tab w:leader="none" w:pos="1060" w:val="left"/>
        </w:tabs>
        <w:numPr>
          <w:ilvl w:val="0"/>
          <w:numId w:val="32"/>
        </w:numPr>
        <w:rPr>
          <w:rFonts w:ascii="Arial" w:cs="Arial" w:eastAsia="Arial" w:hAnsi="Arial"/>
          <w:sz w:val="19"/>
          <w:szCs w:val="19"/>
          <w:color w:val="435F86"/>
        </w:rPr>
      </w:pPr>
      <w:r>
        <w:rPr>
          <w:rFonts w:ascii="Arial" w:cs="Arial" w:eastAsia="Arial" w:hAnsi="Arial"/>
          <w:sz w:val="19"/>
          <w:szCs w:val="19"/>
          <w:color w:val="auto"/>
        </w:rPr>
        <w:t>Experience, knowledge, skills, qualifications, tenure in position, and expected future contributions of the individual, including with respect to EO litigation</w:t>
      </w:r>
    </w:p>
    <w:p>
      <w:pPr>
        <w:spacing w:after="0" w:line="82" w:lineRule="exact"/>
        <w:rPr>
          <w:rFonts w:ascii="Arial" w:cs="Arial" w:eastAsia="Arial" w:hAnsi="Arial"/>
          <w:sz w:val="19"/>
          <w:szCs w:val="19"/>
          <w:color w:val="435F86"/>
        </w:rPr>
      </w:pPr>
    </w:p>
    <w:p>
      <w:pPr>
        <w:ind w:left="1060" w:hanging="199"/>
        <w:spacing w:after="0" w:line="255" w:lineRule="auto"/>
        <w:tabs>
          <w:tab w:leader="none" w:pos="1060" w:val="left"/>
        </w:tabs>
        <w:numPr>
          <w:ilvl w:val="0"/>
          <w:numId w:val="32"/>
        </w:numPr>
        <w:rPr>
          <w:rFonts w:ascii="Arial" w:cs="Arial" w:eastAsia="Arial" w:hAnsi="Arial"/>
          <w:sz w:val="21"/>
          <w:szCs w:val="21"/>
          <w:color w:val="435F86"/>
        </w:rPr>
      </w:pPr>
      <w:r>
        <w:rPr>
          <w:rFonts w:ascii="Arial" w:cs="Arial" w:eastAsia="Arial" w:hAnsi="Arial"/>
          <w:sz w:val="21"/>
          <w:szCs w:val="21"/>
          <w:color w:val="auto"/>
        </w:rPr>
        <w:t>The need to attract and retain executives with the unique talents and experience to preside over our continued success in an environment of extraordinary challenges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both"/>
        <w:ind w:left="205" w:right="1180" w:hanging="205"/>
        <w:spacing w:after="0" w:line="331" w:lineRule="auto"/>
        <w:tabs>
          <w:tab w:leader="none" w:pos="205" w:val="left"/>
        </w:tabs>
        <w:numPr>
          <w:ilvl w:val="0"/>
          <w:numId w:val="33"/>
        </w:numPr>
        <w:rPr>
          <w:rFonts w:ascii="Arial" w:cs="Arial" w:eastAsia="Arial" w:hAnsi="Arial"/>
          <w:sz w:val="19"/>
          <w:szCs w:val="19"/>
          <w:color w:val="435F86"/>
        </w:rPr>
      </w:pPr>
      <w:r>
        <w:rPr>
          <w:rFonts w:ascii="Arial" w:cs="Arial" w:eastAsia="Arial" w:hAnsi="Arial"/>
          <w:sz w:val="19"/>
          <w:szCs w:val="19"/>
          <w:color w:val="auto"/>
        </w:rPr>
        <w:t>Performance of the executive in relation to short- and long-term business imperatives</w:t>
      </w:r>
    </w:p>
    <w:p>
      <w:pPr>
        <w:spacing w:after="0" w:line="20" w:lineRule="exact"/>
        <w:rPr>
          <w:rFonts w:ascii="Arial" w:cs="Arial" w:eastAsia="Arial" w:hAnsi="Arial"/>
          <w:sz w:val="19"/>
          <w:szCs w:val="19"/>
          <w:color w:val="435F86"/>
        </w:rPr>
      </w:pPr>
    </w:p>
    <w:p>
      <w:pPr>
        <w:ind w:left="205" w:hanging="205"/>
        <w:spacing w:after="0"/>
        <w:tabs>
          <w:tab w:leader="none" w:pos="205" w:val="left"/>
        </w:tabs>
        <w:numPr>
          <w:ilvl w:val="0"/>
          <w:numId w:val="33"/>
        </w:numPr>
        <w:rPr>
          <w:rFonts w:ascii="Arial" w:cs="Arial" w:eastAsia="Arial" w:hAnsi="Arial"/>
          <w:sz w:val="19"/>
          <w:szCs w:val="19"/>
          <w:color w:val="435F86"/>
        </w:rPr>
      </w:pPr>
      <w:r>
        <w:rPr>
          <w:rFonts w:ascii="Arial" w:cs="Arial" w:eastAsia="Arial" w:hAnsi="Arial"/>
          <w:sz w:val="19"/>
          <w:szCs w:val="19"/>
          <w:color w:val="auto"/>
        </w:rPr>
        <w:t>Relative scope of each NEO’s responsibilities</w:t>
      </w:r>
    </w:p>
    <w:p>
      <w:pPr>
        <w:spacing w:after="0" w:line="157" w:lineRule="exact"/>
        <w:rPr>
          <w:rFonts w:ascii="Arial" w:cs="Arial" w:eastAsia="Arial" w:hAnsi="Arial"/>
          <w:sz w:val="19"/>
          <w:szCs w:val="19"/>
          <w:color w:val="435F86"/>
        </w:rPr>
      </w:pPr>
    </w:p>
    <w:p>
      <w:pPr>
        <w:ind w:left="205" w:right="1060" w:hanging="205"/>
        <w:spacing w:after="0" w:line="277" w:lineRule="auto"/>
        <w:tabs>
          <w:tab w:leader="none" w:pos="205" w:val="left"/>
        </w:tabs>
        <w:numPr>
          <w:ilvl w:val="0"/>
          <w:numId w:val="33"/>
        </w:numPr>
        <w:rPr>
          <w:rFonts w:ascii="Arial" w:cs="Arial" w:eastAsia="Arial" w:hAnsi="Arial"/>
          <w:sz w:val="21"/>
          <w:szCs w:val="21"/>
          <w:color w:val="435F86"/>
        </w:rPr>
      </w:pPr>
      <w:r>
        <w:rPr>
          <w:rFonts w:ascii="Arial" w:cs="Arial" w:eastAsia="Arial" w:hAnsi="Arial"/>
          <w:sz w:val="21"/>
          <w:szCs w:val="21"/>
          <w:color w:val="auto"/>
        </w:rPr>
        <w:t>Recommendations of our CEO (except with respect to his own compensation)</w:t>
      </w:r>
    </w:p>
    <w:p>
      <w:pPr>
        <w:spacing w:after="0" w:line="65" w:lineRule="exact"/>
        <w:rPr>
          <w:rFonts w:ascii="Arial" w:cs="Arial" w:eastAsia="Arial" w:hAnsi="Arial"/>
          <w:sz w:val="21"/>
          <w:szCs w:val="21"/>
          <w:color w:val="435F86"/>
        </w:rPr>
      </w:pPr>
    </w:p>
    <w:p>
      <w:pPr>
        <w:ind w:left="205" w:hanging="205"/>
        <w:spacing w:after="0"/>
        <w:tabs>
          <w:tab w:leader="none" w:pos="205" w:val="left"/>
        </w:tabs>
        <w:numPr>
          <w:ilvl w:val="0"/>
          <w:numId w:val="33"/>
        </w:numPr>
        <w:rPr>
          <w:rFonts w:ascii="Arial" w:cs="Arial" w:eastAsia="Arial" w:hAnsi="Arial"/>
          <w:sz w:val="21"/>
          <w:szCs w:val="21"/>
          <w:color w:val="435F86"/>
        </w:rPr>
      </w:pPr>
      <w:r>
        <w:rPr>
          <w:rFonts w:ascii="Arial" w:cs="Arial" w:eastAsia="Arial" w:hAnsi="Arial"/>
          <w:sz w:val="21"/>
          <w:szCs w:val="21"/>
          <w:color w:val="auto"/>
        </w:rPr>
        <w:t>Historical compensation</w:t>
      </w:r>
    </w:p>
    <w:p>
      <w:pPr>
        <w:spacing w:after="0" w:line="108" w:lineRule="exact"/>
        <w:rPr>
          <w:rFonts w:ascii="Arial" w:cs="Arial" w:eastAsia="Arial" w:hAnsi="Arial"/>
          <w:sz w:val="21"/>
          <w:szCs w:val="21"/>
          <w:color w:val="435F86"/>
        </w:rPr>
      </w:pPr>
    </w:p>
    <w:p>
      <w:pPr>
        <w:ind w:left="205" w:hanging="205"/>
        <w:spacing w:after="0"/>
        <w:tabs>
          <w:tab w:leader="none" w:pos="205" w:val="left"/>
        </w:tabs>
        <w:numPr>
          <w:ilvl w:val="0"/>
          <w:numId w:val="33"/>
        </w:numPr>
        <w:rPr>
          <w:rFonts w:ascii="Arial" w:cs="Arial" w:eastAsia="Arial" w:hAnsi="Arial"/>
          <w:sz w:val="21"/>
          <w:szCs w:val="21"/>
          <w:color w:val="435F86"/>
        </w:rPr>
      </w:pPr>
      <w:r>
        <w:rPr>
          <w:rFonts w:ascii="Arial" w:cs="Arial" w:eastAsia="Arial" w:hAnsi="Arial"/>
          <w:sz w:val="21"/>
          <w:szCs w:val="21"/>
          <w:color w:val="auto"/>
        </w:rPr>
        <w:t>Internal pay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448310</wp:posOffset>
            </wp:positionV>
            <wp:extent cx="5538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803" w:lineRule="exact"/>
        <w:rPr>
          <w:sz w:val="20"/>
          <w:szCs w:val="20"/>
          <w:color w:val="auto"/>
        </w:rPr>
      </w:pPr>
    </w:p>
    <w:p>
      <w:pPr>
        <w:sectPr>
          <w:pgSz w:w="11900" w:h="16838" w:orient="portrait"/>
          <w:cols w:equalWidth="0" w:num="2">
            <w:col w:w="5020" w:space="215"/>
            <w:col w:w="5065"/>
          </w:cols>
          <w:pgMar w:left="800" w:top="93" w:right="799" w:bottom="1440" w:gutter="0" w:footer="0" w:header="0"/>
          <w:type w:val="continuous"/>
        </w:sectPr>
      </w:pPr>
    </w:p>
    <w:p>
      <w:pPr>
        <w:spacing w:after="0" w:line="72" w:lineRule="exact"/>
        <w:rPr>
          <w:sz w:val="20"/>
          <w:szCs w:val="20"/>
          <w:color w:val="auto"/>
        </w:rPr>
      </w:pPr>
    </w:p>
    <w:p>
      <w:pPr>
        <w:ind w:left="780" w:right="840"/>
        <w:spacing w:after="0" w:line="242" w:lineRule="auto"/>
        <w:rPr>
          <w:sz w:val="20"/>
          <w:szCs w:val="20"/>
          <w:color w:val="auto"/>
        </w:rPr>
      </w:pPr>
      <w:r>
        <w:rPr>
          <w:rFonts w:ascii="Arial" w:cs="Arial" w:eastAsia="Arial" w:hAnsi="Arial"/>
          <w:sz w:val="21"/>
          <w:szCs w:val="21"/>
          <w:color w:val="auto"/>
        </w:rPr>
        <w:t>The LDC Committee did not assign a particular weighting to any of these factors. Rather, the LDC Committee considered this information in light of their experience and knowledge of the Company, the competitive market in which the Company operates, their knowledge of each NEO and business judgment.</w:t>
      </w:r>
    </w:p>
    <w:p>
      <w:pPr>
        <w:spacing w:after="0" w:line="3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Compensation Elements for 2024</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Base Salary</w:t>
      </w:r>
    </w:p>
    <w:p>
      <w:pPr>
        <w:spacing w:after="0" w:line="149" w:lineRule="exact"/>
        <w:rPr>
          <w:sz w:val="20"/>
          <w:szCs w:val="20"/>
          <w:color w:val="auto"/>
        </w:rPr>
      </w:pPr>
    </w:p>
    <w:p>
      <w:pPr>
        <w:ind w:left="780" w:right="920"/>
        <w:spacing w:after="0" w:line="238" w:lineRule="auto"/>
        <w:rPr>
          <w:sz w:val="20"/>
          <w:szCs w:val="20"/>
          <w:color w:val="auto"/>
        </w:rPr>
      </w:pPr>
      <w:r>
        <w:rPr>
          <w:rFonts w:ascii="Arial" w:cs="Arial" w:eastAsia="Arial" w:hAnsi="Arial"/>
          <w:sz w:val="21"/>
          <w:szCs w:val="21"/>
          <w:color w:val="auto"/>
        </w:rPr>
        <w:t>To maintain competitiveness and internal pay equity, we provide each NEO with a base salary. This compensation component constitutes a stable element of compensation while other compensation elements are variable. As described above, when setting base salaries, the LDC Committee considers a multitude of factors, including market practice, individual performance, Company performance, any change in the executive’s position within our business, the scope of his or her responsibilities and any changes thereto.</w:t>
      </w:r>
    </w:p>
    <w:p>
      <w:pPr>
        <w:spacing w:after="0" w:line="173" w:lineRule="exact"/>
        <w:rPr>
          <w:sz w:val="20"/>
          <w:szCs w:val="20"/>
          <w:color w:val="auto"/>
        </w:rPr>
      </w:pPr>
    </w:p>
    <w:p>
      <w:pPr>
        <w:ind w:left="780" w:right="880"/>
        <w:spacing w:after="0" w:line="266" w:lineRule="auto"/>
        <w:rPr>
          <w:sz w:val="20"/>
          <w:szCs w:val="20"/>
          <w:color w:val="auto"/>
        </w:rPr>
      </w:pPr>
      <w:r>
        <w:rPr>
          <w:rFonts w:ascii="Arial" w:cs="Arial" w:eastAsia="Arial" w:hAnsi="Arial"/>
          <w:sz w:val="19"/>
          <w:szCs w:val="19"/>
          <w:color w:val="auto"/>
        </w:rPr>
        <w:t>Base salary increases are not guaranteed or automatic. In March 2024, based on the factors described above in “2024 Compensation Decisions,” and on the LDC Committee’s evaluation of each executive’s contributions in 2023 and position compared to market data, a base salary increase for Messrs. Petras, Rutz and Lyons, effective April 1, 2024, was approved. After reviewing competitive market data provided by Exequity and in consideration of his individual performance, Mr. Petras’ salary was increased to $1,102,500 from $1,050,000, Mr. Rutz’s salary was increased to $500,000 from $470,000 and Mr. Lyons’ salary was increased to $500,000 from $475,000.</w:t>
      </w:r>
    </w:p>
    <w:p>
      <w:pPr>
        <w:spacing w:after="0" w:line="14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The base salaries of our NEOs for 2023 and 2024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3"/>
          </w:tcPr>
          <w:p>
            <w:pPr>
              <w:jc w:val="right"/>
              <w:ind w:right="616"/>
              <w:spacing w:after="0"/>
              <w:rPr>
                <w:sz w:val="20"/>
                <w:szCs w:val="20"/>
                <w:color w:val="auto"/>
              </w:rPr>
            </w:pPr>
            <w:r>
              <w:rPr>
                <w:rFonts w:ascii="Arial" w:cs="Arial" w:eastAsia="Arial" w:hAnsi="Arial"/>
                <w:sz w:val="16"/>
                <w:szCs w:val="16"/>
                <w:b w:val="1"/>
                <w:bCs w:val="1"/>
                <w:color w:val="435F86"/>
              </w:rPr>
              <w:t>Base Salary</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7"/>
        </w:trPr>
        <w:tc>
          <w:tcPr>
            <w:tcW w:w="7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60" w:type="dxa"/>
            <w:vAlign w:val="bottom"/>
            <w:tcBorders>
              <w:bottom w:val="single" w:sz="8" w:color="435F86"/>
            </w:tcBorders>
          </w:tcPr>
          <w:p>
            <w:pPr>
              <w:spacing w:after="0"/>
              <w:rPr>
                <w:sz w:val="20"/>
                <w:szCs w:val="20"/>
                <w:color w:val="auto"/>
              </w:rPr>
            </w:pPr>
          </w:p>
        </w:tc>
        <w:tc>
          <w:tcPr>
            <w:tcW w:w="1940" w:type="dxa"/>
            <w:vAlign w:val="bottom"/>
            <w:tcBorders>
              <w:bottom w:val="single" w:sz="8" w:color="435F86"/>
            </w:tcBorders>
            <w:gridSpan w:val="3"/>
          </w:tcPr>
          <w:p>
            <w:pPr>
              <w:jc w:val="right"/>
              <w:ind w:right="316"/>
              <w:spacing w:after="0"/>
              <w:rPr>
                <w:sz w:val="20"/>
                <w:szCs w:val="20"/>
                <w:color w:val="auto"/>
              </w:rPr>
            </w:pPr>
            <w:r>
              <w:rPr>
                <w:rFonts w:ascii="Arial" w:cs="Arial" w:eastAsia="Arial" w:hAnsi="Arial"/>
                <w:sz w:val="16"/>
                <w:szCs w:val="16"/>
                <w:b w:val="1"/>
                <w:bCs w:val="1"/>
                <w:color w:val="435F86"/>
                <w:w w:val="98"/>
              </w:rPr>
              <w:t xml:space="preserve">(Annualized Rate) </w:t>
            </w:r>
            <w:r>
              <w:rPr>
                <w:rFonts w:ascii="Arial" w:cs="Arial" w:eastAsia="Arial" w:hAnsi="Arial"/>
                <w:sz w:val="19"/>
                <w:szCs w:val="19"/>
                <w:b w:val="1"/>
                <w:bCs w:val="1"/>
                <w:color w:val="435F86"/>
                <w:w w:val="98"/>
                <w:vertAlign w:val="superscript"/>
              </w:rPr>
              <w:t>(1)</w:t>
            </w:r>
          </w:p>
        </w:tc>
        <w:tc>
          <w:tcPr>
            <w:tcW w:w="820" w:type="dxa"/>
            <w:vAlign w:val="bottom"/>
          </w:tcPr>
          <w:p>
            <w:pPr>
              <w:ind w:left="260"/>
              <w:spacing w:after="0"/>
              <w:rPr>
                <w:sz w:val="20"/>
                <w:szCs w:val="20"/>
                <w:color w:val="auto"/>
              </w:rPr>
            </w:pPr>
            <w:r>
              <w:rPr>
                <w:rFonts w:ascii="Arial" w:cs="Arial" w:eastAsia="Arial" w:hAnsi="Arial"/>
                <w:sz w:val="16"/>
                <w:szCs w:val="16"/>
                <w:b w:val="1"/>
                <w:bCs w:val="1"/>
                <w:color w:val="435F86"/>
              </w:rPr>
              <w:t>​</w:t>
            </w:r>
          </w:p>
        </w:tc>
        <w:tc>
          <w:tcPr>
            <w:tcW w:w="880" w:type="dxa"/>
            <w:vAlign w:val="bottom"/>
            <w:gridSpan w:val="2"/>
          </w:tcPr>
          <w:p>
            <w:pPr>
              <w:spacing w:after="0"/>
              <w:rPr>
                <w:sz w:val="20"/>
                <w:szCs w:val="20"/>
                <w:color w:val="auto"/>
              </w:rPr>
            </w:pPr>
            <w:r>
              <w:rPr>
                <w:rFonts w:ascii="Arial" w:cs="Arial" w:eastAsia="Arial" w:hAnsi="Arial"/>
                <w:sz w:val="16"/>
                <w:szCs w:val="16"/>
                <w:b w:val="1"/>
                <w:bCs w:val="1"/>
                <w:color w:val="435F86"/>
              </w:rPr>
              <w:t>​​</w:t>
            </w:r>
          </w:p>
        </w:tc>
      </w:tr>
      <w:tr>
        <w:trPr>
          <w:trHeight w:val="240"/>
        </w:trPr>
        <w:tc>
          <w:tcPr>
            <w:tcW w:w="780" w:type="dxa"/>
            <w:vAlign w:val="bottom"/>
          </w:tcPr>
          <w:p>
            <w:pPr>
              <w:spacing w:after="0"/>
              <w:rPr>
                <w:sz w:val="20"/>
                <w:szCs w:val="20"/>
                <w:color w:val="auto"/>
              </w:rPr>
            </w:pPr>
          </w:p>
        </w:tc>
        <w:tc>
          <w:tcPr>
            <w:tcW w:w="3060" w:type="dxa"/>
            <w:vAlign w:val="bottom"/>
          </w:tcPr>
          <w:p>
            <w:pPr>
              <w:ind w:left="80"/>
              <w:spacing w:after="0"/>
              <w:rPr>
                <w:sz w:val="20"/>
                <w:szCs w:val="20"/>
                <w:color w:val="auto"/>
              </w:rPr>
            </w:pPr>
            <w:r>
              <w:rPr>
                <w:rFonts w:ascii="Arial" w:cs="Arial" w:eastAsia="Arial" w:hAnsi="Arial"/>
                <w:sz w:val="16"/>
                <w:szCs w:val="16"/>
                <w:b w:val="1"/>
                <w:bCs w:val="1"/>
                <w:color w:val="435F86"/>
              </w:rPr>
              <w:t>Named Executive Officer</w:t>
            </w:r>
          </w:p>
        </w:tc>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8"/>
              <w:spacing w:after="0"/>
              <w:rPr>
                <w:sz w:val="20"/>
                <w:szCs w:val="20"/>
                <w:color w:val="auto"/>
              </w:rPr>
            </w:pPr>
            <w:r>
              <w:rPr>
                <w:rFonts w:ascii="Arial" w:cs="Arial" w:eastAsia="Arial" w:hAnsi="Arial"/>
                <w:sz w:val="16"/>
                <w:szCs w:val="16"/>
                <w:b w:val="1"/>
                <w:bCs w:val="1"/>
                <w:color w:val="435F86"/>
              </w:rPr>
              <w:t>2023</w:t>
            </w:r>
          </w:p>
        </w:tc>
        <w:tc>
          <w:tcPr>
            <w:tcW w:w="260" w:type="dxa"/>
            <w:vAlign w:val="bottom"/>
          </w:tcPr>
          <w:p>
            <w:pPr>
              <w:spacing w:after="0"/>
              <w:rPr>
                <w:sz w:val="20"/>
                <w:szCs w:val="20"/>
                <w:color w:val="auto"/>
              </w:rPr>
            </w:pPr>
          </w:p>
        </w:tc>
        <w:tc>
          <w:tcPr>
            <w:tcW w:w="840" w:type="dxa"/>
            <w:vAlign w:val="bottom"/>
          </w:tcPr>
          <w:p>
            <w:pPr>
              <w:jc w:val="right"/>
              <w:ind w:right="296"/>
              <w:spacing w:after="0"/>
              <w:rPr>
                <w:sz w:val="20"/>
                <w:szCs w:val="20"/>
                <w:color w:val="auto"/>
              </w:rPr>
            </w:pPr>
            <w:r>
              <w:rPr>
                <w:rFonts w:ascii="Arial" w:cs="Arial" w:eastAsia="Arial" w:hAnsi="Arial"/>
                <w:sz w:val="16"/>
                <w:szCs w:val="16"/>
                <w:b w:val="1"/>
                <w:bCs w:val="1"/>
                <w:color w:val="435F86"/>
              </w:rPr>
              <w:t>2024</w:t>
            </w:r>
          </w:p>
        </w:tc>
        <w:tc>
          <w:tcPr>
            <w:tcW w:w="1700" w:type="dxa"/>
            <w:vAlign w:val="bottom"/>
            <w:gridSpan w:val="3"/>
          </w:tcPr>
          <w:p>
            <w:pPr>
              <w:ind w:left="100"/>
              <w:spacing w:after="0" w:line="240" w:lineRule="exact"/>
              <w:rPr>
                <w:sz w:val="20"/>
                <w:szCs w:val="20"/>
                <w:color w:val="auto"/>
              </w:rPr>
            </w:pPr>
            <w:r>
              <w:rPr>
                <w:rFonts w:ascii="Arial" w:cs="Arial" w:eastAsia="Arial" w:hAnsi="Arial"/>
                <w:sz w:val="14"/>
                <w:szCs w:val="14"/>
                <w:b w:val="1"/>
                <w:bCs w:val="1"/>
                <w:color w:val="435F86"/>
              </w:rPr>
              <w:t xml:space="preserve">% Change </w:t>
            </w:r>
            <w:r>
              <w:rPr>
                <w:rFonts w:ascii="Arial" w:cs="Arial" w:eastAsia="Arial" w:hAnsi="Arial"/>
                <w:sz w:val="27"/>
                <w:szCs w:val="27"/>
                <w:b w:val="1"/>
                <w:bCs w:val="1"/>
                <w:color w:val="435F86"/>
                <w:vertAlign w:val="subscript"/>
              </w:rPr>
              <w:t>​</w:t>
            </w:r>
          </w:p>
        </w:tc>
      </w:tr>
      <w:tr>
        <w:trPr>
          <w:trHeight w:val="253"/>
        </w:trPr>
        <w:tc>
          <w:tcPr>
            <w:tcW w:w="780" w:type="dxa"/>
            <w:vAlign w:val="bottom"/>
          </w:tcPr>
          <w:p>
            <w:pPr>
              <w:spacing w:after="0"/>
              <w:rPr>
                <w:sz w:val="21"/>
                <w:szCs w:val="21"/>
                <w:color w:val="auto"/>
              </w:rPr>
            </w:pPr>
          </w:p>
        </w:tc>
        <w:tc>
          <w:tcPr>
            <w:tcW w:w="3060" w:type="dxa"/>
            <w:vAlign w:val="bottom"/>
            <w:tcBorders>
              <w:top w:val="single" w:sz="8" w:color="435F86"/>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B. Petras, Jr.</w:t>
            </w:r>
          </w:p>
        </w:tc>
        <w:tc>
          <w:tcPr>
            <w:tcW w:w="2560" w:type="dxa"/>
            <w:vAlign w:val="bottom"/>
            <w:tcBorders>
              <w:top w:val="single" w:sz="8" w:color="435F86"/>
              <w:bottom w:val="single" w:sz="8" w:color="7B8FAA"/>
            </w:tcBorders>
            <w:shd w:val="clear" w:color="auto" w:fill="CCEEFF"/>
          </w:tcPr>
          <w:p>
            <w:pPr>
              <w:spacing w:after="0"/>
              <w:rPr>
                <w:sz w:val="21"/>
                <w:szCs w:val="21"/>
                <w:color w:val="auto"/>
              </w:rPr>
            </w:pPr>
          </w:p>
        </w:tc>
        <w:tc>
          <w:tcPr>
            <w:tcW w:w="1100" w:type="dxa"/>
            <w:vAlign w:val="bottom"/>
            <w:tcBorders>
              <w:top w:val="single" w:sz="8" w:color="435F86"/>
              <w:bottom w:val="single" w:sz="8" w:color="7B8FAA"/>
            </w:tcBorders>
            <w:gridSpan w:val="2"/>
            <w:shd w:val="clear" w:color="auto" w:fill="CCEEFF"/>
          </w:tcPr>
          <w:p>
            <w:pPr>
              <w:jc w:val="right"/>
              <w:ind w:right="38"/>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$1,050,000</w:t>
            </w:r>
          </w:p>
        </w:tc>
        <w:tc>
          <w:tcPr>
            <w:tcW w:w="1100" w:type="dxa"/>
            <w:vAlign w:val="bottom"/>
            <w:tcBorders>
              <w:top w:val="single" w:sz="8" w:color="435F86"/>
              <w:bottom w:val="single" w:sz="8" w:color="7B8FAA"/>
            </w:tcBorders>
            <w:gridSpan w:val="2"/>
            <w:shd w:val="clear" w:color="auto" w:fill="CCEEFF"/>
          </w:tcPr>
          <w:p>
            <w:pPr>
              <w:jc w:val="right"/>
              <w:ind w:right="16"/>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$1,102,500</w:t>
            </w:r>
          </w:p>
        </w:tc>
        <w:tc>
          <w:tcPr>
            <w:tcW w:w="900" w:type="dxa"/>
            <w:vAlign w:val="bottom"/>
            <w:tcBorders>
              <w:top w:val="single" w:sz="8" w:color="435F86"/>
              <w:bottom w:val="single" w:sz="8" w:color="7B8FAA"/>
            </w:tcBorders>
            <w:gridSpan w:val="2"/>
            <w:shd w:val="clear" w:color="auto" w:fill="CCEEFF"/>
          </w:tcPr>
          <w:p>
            <w:pPr>
              <w:ind w:lef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5.00%</w:t>
            </w:r>
            <w:r>
              <w:rPr>
                <w:rFonts w:ascii="Arial" w:cs="Arial" w:eastAsia="Arial" w:hAnsi="Arial"/>
                <w:sz w:val="29"/>
                <w:szCs w:val="29"/>
                <w:color w:val="auto"/>
                <w:vertAlign w:val="subscript"/>
              </w:rPr>
              <w:t>​​</w:t>
            </w:r>
          </w:p>
        </w:tc>
        <w:tc>
          <w:tcPr>
            <w:tcW w:w="800" w:type="dxa"/>
            <w:vAlign w:val="bottom"/>
          </w:tcPr>
          <w:p>
            <w:pPr>
              <w:spacing w:after="0"/>
              <w:rPr>
                <w:sz w:val="21"/>
                <w:szCs w:val="21"/>
                <w:color w:val="auto"/>
              </w:rPr>
            </w:pPr>
          </w:p>
        </w:tc>
      </w:tr>
      <w:tr>
        <w:trPr>
          <w:trHeight w:val="253"/>
        </w:trPr>
        <w:tc>
          <w:tcPr>
            <w:tcW w:w="78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17"/>
                <w:szCs w:val="17"/>
                <w:color w:val="auto"/>
              </w:rPr>
              <w:t>Jonathan M. Lyons</w:t>
            </w:r>
          </w:p>
        </w:tc>
        <w:tc>
          <w:tcPr>
            <w:tcW w:w="2560" w:type="dxa"/>
            <w:vAlign w:val="bottom"/>
          </w:tcPr>
          <w:p>
            <w:pPr>
              <w:spacing w:after="0"/>
              <w:rPr>
                <w:sz w:val="21"/>
                <w:szCs w:val="21"/>
                <w:color w:val="auto"/>
              </w:rPr>
            </w:pP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8"/>
              <w:spacing w:after="0"/>
              <w:rPr>
                <w:sz w:val="20"/>
                <w:szCs w:val="20"/>
                <w:color w:val="auto"/>
              </w:rPr>
            </w:pPr>
            <w:r>
              <w:rPr>
                <w:rFonts w:ascii="Arial" w:cs="Arial" w:eastAsia="Arial" w:hAnsi="Arial"/>
                <w:sz w:val="17"/>
                <w:szCs w:val="17"/>
                <w:color w:val="auto"/>
              </w:rPr>
              <w:t>475,000</w:t>
            </w: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500,000</w:t>
            </w:r>
          </w:p>
        </w:tc>
        <w:tc>
          <w:tcPr>
            <w:tcW w:w="820" w:type="dxa"/>
            <w:vAlign w:val="bottom"/>
          </w:tcPr>
          <w:p>
            <w:pPr>
              <w:ind w:lef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5.26%</w:t>
            </w:r>
          </w:p>
        </w:tc>
        <w:tc>
          <w:tcPr>
            <w:tcW w:w="88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780" w:type="dxa"/>
            <w:vAlign w:val="bottom"/>
          </w:tcPr>
          <w:p>
            <w:pPr>
              <w:spacing w:after="0"/>
              <w:rPr>
                <w:sz w:val="21"/>
                <w:szCs w:val="21"/>
                <w:color w:val="auto"/>
              </w:rPr>
            </w:pPr>
          </w:p>
        </w:tc>
        <w:tc>
          <w:tcPr>
            <w:tcW w:w="306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P. Rutz</w:t>
            </w:r>
          </w:p>
        </w:tc>
        <w:tc>
          <w:tcPr>
            <w:tcW w:w="2560" w:type="dxa"/>
            <w:vAlign w:val="bottom"/>
            <w:tcBorders>
              <w:top w:val="single" w:sz="8" w:color="7B8FAA"/>
              <w:bottom w:val="single" w:sz="8" w:color="7B8FAA"/>
            </w:tcBorders>
            <w:shd w:val="clear" w:color="auto" w:fill="CCEEFF"/>
          </w:tcPr>
          <w:p>
            <w:pPr>
              <w:spacing w:after="0"/>
              <w:rPr>
                <w:sz w:val="21"/>
                <w:szCs w:val="21"/>
                <w:color w:val="auto"/>
              </w:rPr>
            </w:pPr>
          </w:p>
        </w:tc>
        <w:tc>
          <w:tcPr>
            <w:tcW w:w="260" w:type="dxa"/>
            <w:vAlign w:val="bottom"/>
            <w:tcBorders>
              <w:top w:val="single" w:sz="8" w:color="7B8FAA"/>
              <w:bottom w:val="single" w:sz="8" w:color="7B8FAA"/>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7B8FAA"/>
              <w:bottom w:val="single" w:sz="8" w:color="7B8FAA"/>
            </w:tcBorders>
            <w:shd w:val="clear" w:color="auto" w:fill="CCEEFF"/>
          </w:tcPr>
          <w:p>
            <w:pPr>
              <w:jc w:val="right"/>
              <w:ind w:right="38"/>
              <w:spacing w:after="0"/>
              <w:rPr>
                <w:sz w:val="20"/>
                <w:szCs w:val="20"/>
                <w:color w:val="auto"/>
              </w:rPr>
            </w:pPr>
            <w:r>
              <w:rPr>
                <w:rFonts w:ascii="Arial" w:cs="Arial" w:eastAsia="Arial" w:hAnsi="Arial"/>
                <w:sz w:val="17"/>
                <w:szCs w:val="17"/>
                <w:color w:val="auto"/>
              </w:rPr>
              <w:t>470,000</w:t>
            </w:r>
          </w:p>
        </w:tc>
        <w:tc>
          <w:tcPr>
            <w:tcW w:w="260" w:type="dxa"/>
            <w:vAlign w:val="bottom"/>
            <w:tcBorders>
              <w:top w:val="single" w:sz="8" w:color="7B8FAA"/>
              <w:bottom w:val="single" w:sz="8" w:color="7B8FAA"/>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7B8FAA"/>
              <w:bottom w:val="single" w:sz="8" w:color="7B8FAA"/>
            </w:tcBorders>
            <w:shd w:val="clear" w:color="auto" w:fill="CCEEFF"/>
          </w:tcPr>
          <w:p>
            <w:pPr>
              <w:jc w:val="right"/>
              <w:ind w:right="16"/>
              <w:spacing w:after="0"/>
              <w:rPr>
                <w:sz w:val="20"/>
                <w:szCs w:val="20"/>
                <w:color w:val="auto"/>
              </w:rPr>
            </w:pPr>
            <w:r>
              <w:rPr>
                <w:rFonts w:ascii="Arial" w:cs="Arial" w:eastAsia="Arial" w:hAnsi="Arial"/>
                <w:sz w:val="17"/>
                <w:szCs w:val="17"/>
                <w:color w:val="auto"/>
              </w:rPr>
              <w:t>500,000</w:t>
            </w:r>
          </w:p>
        </w:tc>
        <w:tc>
          <w:tcPr>
            <w:tcW w:w="820" w:type="dxa"/>
            <w:vAlign w:val="bottom"/>
            <w:tcBorders>
              <w:top w:val="single" w:sz="8" w:color="7B8FAA"/>
              <w:bottom w:val="single" w:sz="8" w:color="7B8FAA"/>
            </w:tcBorders>
            <w:shd w:val="clear" w:color="auto" w:fill="CCEEFF"/>
          </w:tcPr>
          <w:p>
            <w:pPr>
              <w:ind w:lef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6.38%</w:t>
            </w:r>
          </w:p>
        </w:tc>
        <w:tc>
          <w:tcPr>
            <w:tcW w:w="8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r>
      <w:tr>
        <w:trPr>
          <w:trHeight w:val="253"/>
        </w:trPr>
        <w:tc>
          <w:tcPr>
            <w:tcW w:w="780" w:type="dxa"/>
            <w:vAlign w:val="bottom"/>
          </w:tcPr>
          <w:p>
            <w:pPr>
              <w:spacing w:after="0"/>
              <w:rPr>
                <w:sz w:val="21"/>
                <w:szCs w:val="21"/>
                <w:color w:val="auto"/>
              </w:rPr>
            </w:pPr>
          </w:p>
        </w:tc>
        <w:tc>
          <w:tcPr>
            <w:tcW w:w="3060" w:type="dxa"/>
            <w:vAlign w:val="bottom"/>
          </w:tcPr>
          <w:p>
            <w:pPr>
              <w:ind w:left="80"/>
              <w:spacing w:after="0"/>
              <w:rPr>
                <w:sz w:val="20"/>
                <w:szCs w:val="20"/>
                <w:color w:val="auto"/>
              </w:rPr>
            </w:pPr>
            <w:r>
              <w:rPr>
                <w:rFonts w:ascii="Arial" w:cs="Arial" w:eastAsia="Arial" w:hAnsi="Arial"/>
                <w:sz w:val="17"/>
                <w:szCs w:val="17"/>
                <w:color w:val="auto"/>
              </w:rPr>
              <w:t>Alexander Dimitrief</w:t>
            </w:r>
          </w:p>
        </w:tc>
        <w:tc>
          <w:tcPr>
            <w:tcW w:w="2560" w:type="dxa"/>
            <w:vAlign w:val="bottom"/>
          </w:tcPr>
          <w:p>
            <w:pPr>
              <w:spacing w:after="0"/>
              <w:rPr>
                <w:sz w:val="21"/>
                <w:szCs w:val="21"/>
                <w:color w:val="auto"/>
              </w:rPr>
            </w:pP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8"/>
              <w:spacing w:after="0"/>
              <w:rPr>
                <w:sz w:val="20"/>
                <w:szCs w:val="20"/>
                <w:color w:val="auto"/>
              </w:rPr>
            </w:pPr>
            <w:r>
              <w:rPr>
                <w:rFonts w:ascii="Arial" w:cs="Arial" w:eastAsia="Arial" w:hAnsi="Arial"/>
                <w:sz w:val="17"/>
                <w:szCs w:val="17"/>
                <w:color w:val="auto"/>
              </w:rPr>
              <w:t>600,000</w:t>
            </w:r>
          </w:p>
        </w:tc>
        <w:tc>
          <w:tcPr>
            <w:tcW w:w="260" w:type="dxa"/>
            <w:vAlign w:val="bottom"/>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6"/>
              <w:spacing w:after="0"/>
              <w:rPr>
                <w:sz w:val="20"/>
                <w:szCs w:val="20"/>
                <w:color w:val="auto"/>
              </w:rPr>
            </w:pPr>
            <w:r>
              <w:rPr>
                <w:rFonts w:ascii="Arial" w:cs="Arial" w:eastAsia="Arial" w:hAnsi="Arial"/>
                <w:sz w:val="17"/>
                <w:szCs w:val="17"/>
                <w:color w:val="auto"/>
              </w:rPr>
              <w:t>600,000</w:t>
            </w:r>
          </w:p>
        </w:tc>
        <w:tc>
          <w:tcPr>
            <w:tcW w:w="820" w:type="dxa"/>
            <w:vAlign w:val="bottom"/>
          </w:tcPr>
          <w:p>
            <w:pPr>
              <w:ind w:left="26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88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97"/>
        </w:trPr>
        <w:tc>
          <w:tcPr>
            <w:tcW w:w="780" w:type="dxa"/>
            <w:vAlign w:val="bottom"/>
          </w:tcPr>
          <w:p>
            <w:pPr>
              <w:spacing w:after="0"/>
              <w:rPr>
                <w:sz w:val="24"/>
                <w:szCs w:val="24"/>
                <w:color w:val="auto"/>
              </w:rPr>
            </w:pPr>
          </w:p>
        </w:tc>
        <w:tc>
          <w:tcPr>
            <w:tcW w:w="3060" w:type="dxa"/>
            <w:vAlign w:val="bottom"/>
            <w:tcBorders>
              <w:top w:val="single" w:sz="8" w:color="435F86"/>
              <w:bottom w:val="single" w:sz="8" w:color="28B5DE"/>
            </w:tcBorders>
          </w:tcPr>
          <w:p>
            <w:pPr>
              <w:spacing w:after="0"/>
              <w:rPr>
                <w:sz w:val="24"/>
                <w:szCs w:val="24"/>
                <w:color w:val="auto"/>
              </w:rPr>
            </w:pPr>
          </w:p>
        </w:tc>
        <w:tc>
          <w:tcPr>
            <w:tcW w:w="2560" w:type="dxa"/>
            <w:vAlign w:val="bottom"/>
            <w:tcBorders>
              <w:top w:val="single" w:sz="8" w:color="435F86"/>
              <w:bottom w:val="single" w:sz="8" w:color="28B5DE"/>
            </w:tcBorders>
          </w:tcPr>
          <w:p>
            <w:pPr>
              <w:spacing w:after="0"/>
              <w:rPr>
                <w:sz w:val="24"/>
                <w:szCs w:val="24"/>
                <w:color w:val="auto"/>
              </w:rPr>
            </w:pPr>
          </w:p>
        </w:tc>
        <w:tc>
          <w:tcPr>
            <w:tcW w:w="260" w:type="dxa"/>
            <w:vAlign w:val="bottom"/>
            <w:tcBorders>
              <w:top w:val="single" w:sz="8" w:color="435F86"/>
              <w:bottom w:val="single" w:sz="8" w:color="28B5DE"/>
            </w:tcBorders>
          </w:tcPr>
          <w:p>
            <w:pPr>
              <w:spacing w:after="0"/>
              <w:rPr>
                <w:sz w:val="24"/>
                <w:szCs w:val="24"/>
                <w:color w:val="auto"/>
              </w:rPr>
            </w:pPr>
          </w:p>
        </w:tc>
        <w:tc>
          <w:tcPr>
            <w:tcW w:w="840" w:type="dxa"/>
            <w:vAlign w:val="bottom"/>
            <w:tcBorders>
              <w:top w:val="single" w:sz="8" w:color="435F86"/>
              <w:bottom w:val="single" w:sz="8" w:color="28B5DE"/>
            </w:tcBorders>
          </w:tcPr>
          <w:p>
            <w:pPr>
              <w:spacing w:after="0"/>
              <w:rPr>
                <w:sz w:val="24"/>
                <w:szCs w:val="24"/>
                <w:color w:val="auto"/>
              </w:rPr>
            </w:pPr>
          </w:p>
        </w:tc>
        <w:tc>
          <w:tcPr>
            <w:tcW w:w="260" w:type="dxa"/>
            <w:vAlign w:val="bottom"/>
            <w:tcBorders>
              <w:top w:val="single" w:sz="8" w:color="435F86"/>
              <w:bottom w:val="single" w:sz="8" w:color="28B5DE"/>
            </w:tcBorders>
          </w:tcPr>
          <w:p>
            <w:pPr>
              <w:spacing w:after="0"/>
              <w:rPr>
                <w:sz w:val="24"/>
                <w:szCs w:val="24"/>
                <w:color w:val="auto"/>
              </w:rPr>
            </w:pPr>
          </w:p>
        </w:tc>
        <w:tc>
          <w:tcPr>
            <w:tcW w:w="840" w:type="dxa"/>
            <w:vAlign w:val="bottom"/>
            <w:tcBorders>
              <w:top w:val="single" w:sz="8" w:color="435F86"/>
              <w:bottom w:val="single" w:sz="8" w:color="28B5DE"/>
            </w:tcBorders>
          </w:tcPr>
          <w:p>
            <w:pPr>
              <w:spacing w:after="0"/>
              <w:rPr>
                <w:sz w:val="24"/>
                <w:szCs w:val="24"/>
                <w:color w:val="auto"/>
              </w:rPr>
            </w:pPr>
          </w:p>
        </w:tc>
        <w:tc>
          <w:tcPr>
            <w:tcW w:w="820" w:type="dxa"/>
            <w:vAlign w:val="bottom"/>
            <w:tcBorders>
              <w:top w:val="single" w:sz="8" w:color="435F86"/>
              <w:bottom w:val="single" w:sz="8" w:color="28B5DE"/>
            </w:tcBorders>
          </w:tcPr>
          <w:p>
            <w:pPr>
              <w:spacing w:after="0"/>
              <w:rPr>
                <w:sz w:val="24"/>
                <w:szCs w:val="24"/>
                <w:color w:val="auto"/>
              </w:rPr>
            </w:pPr>
          </w:p>
        </w:tc>
        <w:tc>
          <w:tcPr>
            <w:tcW w:w="80" w:type="dxa"/>
            <w:vAlign w:val="bottom"/>
            <w:tcBorders>
              <w:top w:val="single" w:sz="8" w:color="435F86"/>
              <w:bottom w:val="single" w:sz="8" w:color="28B5DE"/>
            </w:tcBorders>
          </w:tcPr>
          <w:p>
            <w:pPr>
              <w:spacing w:after="0"/>
              <w:rPr>
                <w:sz w:val="24"/>
                <w:szCs w:val="24"/>
                <w:color w:val="auto"/>
              </w:rPr>
            </w:pPr>
          </w:p>
        </w:tc>
        <w:tc>
          <w:tcPr>
            <w:tcW w:w="800" w:type="dxa"/>
            <w:vAlign w:val="bottom"/>
          </w:tcPr>
          <w:p>
            <w:pPr>
              <w:spacing w:after="0"/>
              <w:rPr>
                <w:sz w:val="24"/>
                <w:szCs w:val="24"/>
                <w:color w:val="auto"/>
              </w:rPr>
            </w:pPr>
          </w:p>
        </w:tc>
      </w:tr>
      <w:tr>
        <w:trPr>
          <w:trHeight w:val="562"/>
        </w:trPr>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60" w:type="dxa"/>
            <w:vAlign w:val="bottom"/>
          </w:tcPr>
          <w:p>
            <w:pPr>
              <w:jc w:val="right"/>
              <w:ind w:right="1073"/>
              <w:spacing w:after="0"/>
              <w:rPr>
                <w:sz w:val="20"/>
                <w:szCs w:val="20"/>
                <w:color w:val="auto"/>
              </w:rPr>
            </w:pPr>
            <w:r>
              <w:rPr>
                <w:rFonts w:ascii="Arial" w:cs="Arial" w:eastAsia="Arial" w:hAnsi="Arial"/>
                <w:sz w:val="17"/>
                <w:szCs w:val="17"/>
                <w:color w:val="auto"/>
              </w:rPr>
              <w:t>41</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7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-601345</wp:posOffset>
            </wp:positionV>
            <wp:extent cx="494665" cy="165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4665" cy="16510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 Elements for 2024</w:t>
      </w:r>
    </w:p>
    <w:p>
      <w:pPr>
        <w:spacing w:after="0" w:line="247" w:lineRule="exact"/>
        <w:rPr>
          <w:sz w:val="20"/>
          <w:szCs w:val="20"/>
          <w:color w:val="auto"/>
        </w:rPr>
      </w:pPr>
    </w:p>
    <w:p>
      <w:pPr>
        <w:ind w:left="1120" w:right="1100" w:hanging="337"/>
        <w:spacing w:after="0" w:line="295" w:lineRule="auto"/>
        <w:tabs>
          <w:tab w:leader="none" w:pos="11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Please refer to the Summary Compensation Table for actual base salary amounts earned by our NEOs in 2022, 2023 and 2024, as applicable.</w:t>
      </w:r>
    </w:p>
    <w:p>
      <w:pPr>
        <w:spacing w:after="0" w:line="129" w:lineRule="exact"/>
        <w:rPr>
          <w:sz w:val="20"/>
          <w:szCs w:val="20"/>
          <w:color w:val="auto"/>
        </w:rPr>
      </w:pPr>
    </w:p>
    <w:p>
      <w:pPr>
        <w:ind w:left="780"/>
        <w:spacing w:after="0"/>
        <w:rPr>
          <w:sz w:val="20"/>
          <w:szCs w:val="20"/>
          <w:color w:val="auto"/>
        </w:rPr>
      </w:pPr>
      <w:r>
        <w:rPr>
          <w:rFonts w:ascii="Arial" w:cs="Arial" w:eastAsia="Arial" w:hAnsi="Arial"/>
          <w:sz w:val="28"/>
          <w:szCs w:val="28"/>
          <w:color w:val="auto"/>
        </w:rPr>
        <w:t>Annual Incentive Plan (AIP)</w:t>
      </w:r>
    </w:p>
    <w:p>
      <w:pPr>
        <w:spacing w:after="0" w:line="149" w:lineRule="exact"/>
        <w:rPr>
          <w:sz w:val="20"/>
          <w:szCs w:val="20"/>
          <w:color w:val="auto"/>
        </w:rPr>
      </w:pPr>
    </w:p>
    <w:p>
      <w:pPr>
        <w:ind w:left="780" w:right="940"/>
        <w:spacing w:after="0" w:line="280" w:lineRule="auto"/>
        <w:rPr>
          <w:sz w:val="20"/>
          <w:szCs w:val="20"/>
          <w:color w:val="auto"/>
        </w:rPr>
      </w:pPr>
      <w:r>
        <w:rPr>
          <w:rFonts w:ascii="Arial" w:cs="Arial" w:eastAsia="Arial" w:hAnsi="Arial"/>
          <w:sz w:val="19"/>
          <w:szCs w:val="19"/>
          <w:color w:val="auto"/>
        </w:rPr>
        <w:t>Our AIP is designed to reward high performance, help ensure employees are aligned with our mission, values and priorities and provide market competitive rewards. Our executive officers (including our NEOs) are eligible to participate in our AIP. The LDC Committee administers the AIP with respect to our NEOs by approving annual performance metrics, including threshold, target and maximum performance levels, establishing performance targets as a percentage of base salary for each NEO, and evaluating actual Company performance against selected measures.</w:t>
      </w:r>
    </w:p>
    <w:p>
      <w:pPr>
        <w:spacing w:after="0" w:line="132" w:lineRule="exact"/>
        <w:rPr>
          <w:sz w:val="20"/>
          <w:szCs w:val="20"/>
          <w:color w:val="auto"/>
        </w:rPr>
      </w:pPr>
    </w:p>
    <w:p>
      <w:pPr>
        <w:ind w:left="780" w:right="800"/>
        <w:spacing w:after="0" w:line="248" w:lineRule="auto"/>
        <w:rPr>
          <w:sz w:val="20"/>
          <w:szCs w:val="20"/>
          <w:color w:val="auto"/>
        </w:rPr>
      </w:pPr>
      <w:r>
        <w:rPr>
          <w:rFonts w:ascii="Arial" w:cs="Arial" w:eastAsia="Arial" w:hAnsi="Arial"/>
          <w:sz w:val="21"/>
          <w:szCs w:val="21"/>
          <w:color w:val="auto"/>
        </w:rPr>
        <w:t>The annual cash incentive opportunities set for our NEOs under our 2024 AIP were tied to (i) the Company’s achievement of financial performance goals (and Sterigenics’ financial performance goals, in Mr. Rutz’s case) approved by the LDC Committee at the beginning of the applicable performance period, and (ii) individual performance. There is no AIP payout if the Company does not (or, in the case of Mr. Rutz, the Company and Sterigenics do not) achieve threshold performance for the financial performance metric.</w:t>
      </w:r>
    </w:p>
    <w:p>
      <w:pPr>
        <w:spacing w:after="0" w:line="164" w:lineRule="exact"/>
        <w:rPr>
          <w:sz w:val="20"/>
          <w:szCs w:val="20"/>
          <w:color w:val="auto"/>
        </w:rPr>
      </w:pPr>
    </w:p>
    <w:p>
      <w:pPr>
        <w:ind w:left="780" w:right="800"/>
        <w:spacing w:after="0" w:line="255" w:lineRule="auto"/>
        <w:rPr>
          <w:sz w:val="20"/>
          <w:szCs w:val="20"/>
          <w:color w:val="auto"/>
        </w:rPr>
      </w:pPr>
      <w:r>
        <w:rPr>
          <w:rFonts w:ascii="Arial" w:cs="Arial" w:eastAsia="Arial" w:hAnsi="Arial"/>
          <w:sz w:val="20"/>
          <w:szCs w:val="20"/>
          <w:color w:val="auto"/>
        </w:rPr>
        <w:t>The target financial metrics for the Company and Sterigenics for our 2024 AIP are included in the below table. Our 2024 AIP financial performance metric for the Company (“Company AIP Metric”) was based on our non-GAAP financial measure, Adjusted EBITDA. In general, Adjusted EBITDA for these purposes is calculated as net income (loss) before interest expense, provision (benefit) for incomes taxes, depreciation (including depreciation of Co-60 used in our operations), amortization, and certain other adjustments that we do not consider in our evaluation of our ongoing operating performance from period to period. The 2024 Company AIP Metric was calculated in a manner consistent with the calculation of Adjusted EBITDA as reported in the Company’s Form 10-K for the year ended December 31, 2024, subject to adjustments as deemed appropriate by the LDC Committee. Our 2024 AIP financial performance metric for Sterigenics (“Sterigenics AIP Metric”) was based on Sterigenics Segment Income excluding the impacts of the Corporate allocation. In general, Sterigenics Segment Income for these purposes is calculated as Sterigenics net income (loss) before interest expense, provision (benefit) for income taxes, depreciation (including depreciation of Co-60 used in our operations), amortization, and certain other adjustments that we do not consider in our evaluation of our ongoing operating performance from period to period. The 2024 Sterigenics AIP Metric was calculated in a manner consistent with the calculation of Sterigenics Segment Income, excluding the Corporate allocation, as reported in the Company’s Form 10-K for the year ended December 31, 2024. AIP performance between threshold, target and maximum goals is determined based on linear interpolation.</w:t>
      </w:r>
    </w:p>
    <w:p>
      <w:pPr>
        <w:spacing w:after="0" w:line="173" w:lineRule="exact"/>
        <w:rPr>
          <w:sz w:val="20"/>
          <w:szCs w:val="20"/>
          <w:color w:val="auto"/>
        </w:rPr>
      </w:pPr>
    </w:p>
    <w:p>
      <w:pPr>
        <w:ind w:left="780" w:right="900"/>
        <w:spacing w:after="0" w:line="261" w:lineRule="auto"/>
        <w:rPr>
          <w:sz w:val="20"/>
          <w:szCs w:val="20"/>
          <w:color w:val="auto"/>
        </w:rPr>
      </w:pPr>
      <w:r>
        <w:rPr>
          <w:rFonts w:ascii="Arial" w:cs="Arial" w:eastAsia="Arial" w:hAnsi="Arial"/>
          <w:sz w:val="20"/>
          <w:szCs w:val="20"/>
          <w:color w:val="auto"/>
        </w:rPr>
        <w:t>Target levels of performance were based on the Company’s beginning-of-year business plan, and were consistent with external guidance. The targets were deemed by the LDC Committee to be challenging but attainable with excellent performance. The ranges of performance from threshold to target were developed as a function of the variability of Company-wide Adjusted EBITDA and Sterigenics Segment Income, and are generally consistent with ranges employed by companies in our industry and in the general market with respect to EBITDA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135255</wp:posOffset>
            </wp:positionV>
            <wp:extent cx="5538470"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42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Compensation Elements for 2024</w:t>
      </w:r>
    </w:p>
    <w:p>
      <w:pPr>
        <w:spacing w:after="0" w:line="312"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880" w:type="dxa"/>
            <w:vAlign w:val="bottom"/>
            <w:gridSpan w:val="3"/>
          </w:tcPr>
          <w:p>
            <w:pPr>
              <w:spacing w:after="0"/>
              <w:rPr>
                <w:sz w:val="20"/>
                <w:szCs w:val="20"/>
                <w:color w:val="auto"/>
              </w:rPr>
            </w:pPr>
            <w:r>
              <w:rPr>
                <w:rFonts w:ascii="Arial" w:cs="Arial" w:eastAsia="Arial" w:hAnsi="Arial"/>
                <w:sz w:val="16"/>
                <w:szCs w:val="16"/>
                <w:b w:val="1"/>
                <w:bCs w:val="1"/>
                <w:color w:val="435F86"/>
              </w:rPr>
              <w:t>2024 Financial Performance Goal</w:t>
            </w:r>
          </w:p>
        </w:tc>
        <w:tc>
          <w:tcPr>
            <w:tcW w:w="420" w:type="dxa"/>
            <w:vAlign w:val="bottom"/>
          </w:tcPr>
          <w:p>
            <w:pPr>
              <w:spacing w:after="0"/>
              <w:rPr>
                <w:sz w:val="16"/>
                <w:szCs w:val="16"/>
                <w:color w:val="auto"/>
              </w:rPr>
            </w:pPr>
          </w:p>
        </w:tc>
        <w:tc>
          <w:tcPr>
            <w:tcW w:w="1900" w:type="dxa"/>
            <w:vAlign w:val="bottom"/>
          </w:tcPr>
          <w:p>
            <w:pPr>
              <w:jc w:val="center"/>
              <w:ind w:right="75"/>
              <w:spacing w:after="0"/>
              <w:rPr>
                <w:sz w:val="20"/>
                <w:szCs w:val="20"/>
                <w:color w:val="auto"/>
              </w:rPr>
            </w:pPr>
            <w:r>
              <w:rPr>
                <w:rFonts w:ascii="Arial" w:cs="Arial" w:eastAsia="Arial" w:hAnsi="Arial"/>
                <w:sz w:val="16"/>
                <w:szCs w:val="16"/>
                <w:b w:val="1"/>
                <w:bCs w:val="1"/>
                <w:color w:val="435F86"/>
                <w:w w:val="94"/>
              </w:rPr>
              <w:t>Performance as</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435F86"/>
              </w:rPr>
              <w:t>AIP Earned Value</w:t>
            </w:r>
          </w:p>
        </w:tc>
      </w:tr>
      <w:tr>
        <w:trPr>
          <w:trHeight w:val="222"/>
        </w:trPr>
        <w:tc>
          <w:tcPr>
            <w:tcW w:w="3980" w:type="dxa"/>
            <w:vAlign w:val="bottom"/>
            <w:tcBorders>
              <w:bottom w:val="single" w:sz="8" w:color="435F86"/>
            </w:tcBorders>
            <w:gridSpan w:val="4"/>
          </w:tcPr>
          <w:p>
            <w:pPr>
              <w:ind w:left="40"/>
              <w:spacing w:after="0"/>
              <w:rPr>
                <w:sz w:val="20"/>
                <w:szCs w:val="20"/>
                <w:color w:val="auto"/>
              </w:rPr>
            </w:pPr>
            <w:r>
              <w:rPr>
                <w:rFonts w:ascii="Arial" w:cs="Arial" w:eastAsia="Arial" w:hAnsi="Arial"/>
                <w:sz w:val="16"/>
                <w:szCs w:val="16"/>
                <w:b w:val="1"/>
                <w:bCs w:val="1"/>
                <w:color w:val="435F86"/>
              </w:rPr>
              <w:t>​(dollars in millions)</w:t>
            </w:r>
          </w:p>
        </w:tc>
        <w:tc>
          <w:tcPr>
            <w:tcW w:w="420" w:type="dxa"/>
            <w:vAlign w:val="bottom"/>
            <w:tcBorders>
              <w:bottom w:val="single" w:sz="8" w:color="435F86"/>
            </w:tcBorders>
          </w:tcPr>
          <w:p>
            <w:pPr>
              <w:ind w:left="140"/>
              <w:spacing w:after="0"/>
              <w:rPr>
                <w:sz w:val="20"/>
                <w:szCs w:val="20"/>
                <w:color w:val="auto"/>
              </w:rPr>
            </w:pPr>
            <w:r>
              <w:rPr>
                <w:rFonts w:ascii="Arial" w:cs="Arial" w:eastAsia="Arial" w:hAnsi="Arial"/>
                <w:sz w:val="16"/>
                <w:szCs w:val="16"/>
                <w:b w:val="1"/>
                <w:bCs w:val="1"/>
                <w:color w:val="435F86"/>
              </w:rPr>
              <w:t>​ ​</w:t>
            </w:r>
          </w:p>
        </w:tc>
        <w:tc>
          <w:tcPr>
            <w:tcW w:w="1900" w:type="dxa"/>
            <w:vAlign w:val="bottom"/>
            <w:tcBorders>
              <w:bottom w:val="single" w:sz="8" w:color="435F86"/>
            </w:tcBorders>
          </w:tcPr>
          <w:p>
            <w:pPr>
              <w:jc w:val="center"/>
              <w:ind w:right="55"/>
              <w:spacing w:after="0"/>
              <w:rPr>
                <w:sz w:val="20"/>
                <w:szCs w:val="20"/>
                <w:color w:val="auto"/>
              </w:rPr>
            </w:pPr>
            <w:r>
              <w:rPr>
                <w:rFonts w:ascii="Arial" w:cs="Arial" w:eastAsia="Arial" w:hAnsi="Arial"/>
                <w:sz w:val="16"/>
                <w:szCs w:val="16"/>
                <w:b w:val="1"/>
                <w:bCs w:val="1"/>
                <w:color w:val="435F86"/>
                <w:w w:val="92"/>
              </w:rPr>
              <w:t>Percentage of Target</w:t>
            </w:r>
          </w:p>
        </w:tc>
        <w:tc>
          <w:tcPr>
            <w:tcW w:w="2420" w:type="dxa"/>
            <w:vAlign w:val="bottom"/>
            <w:tcBorders>
              <w:bottom w:val="single" w:sz="8" w:color="435F86"/>
            </w:tcBorders>
          </w:tcPr>
          <w:p>
            <w:pPr>
              <w:jc w:val="center"/>
              <w:ind w:left="75"/>
              <w:spacing w:after="0"/>
              <w:rPr>
                <w:sz w:val="20"/>
                <w:szCs w:val="20"/>
                <w:color w:val="auto"/>
              </w:rPr>
            </w:pPr>
            <w:r>
              <w:rPr>
                <w:rFonts w:ascii="Arial" w:cs="Arial" w:eastAsia="Arial" w:hAnsi="Arial"/>
                <w:sz w:val="16"/>
                <w:szCs w:val="16"/>
                <w:b w:val="1"/>
                <w:bCs w:val="1"/>
                <w:color w:val="435F86"/>
                <w:w w:val="93"/>
              </w:rPr>
              <w:t>(as % of Target Opportunity)</w:t>
            </w:r>
          </w:p>
        </w:tc>
      </w:tr>
      <w:tr>
        <w:trPr>
          <w:trHeight w:val="240"/>
        </w:trPr>
        <w:tc>
          <w:tcPr>
            <w:tcW w:w="3980" w:type="dxa"/>
            <w:vAlign w:val="bottom"/>
            <w:gridSpan w:val="4"/>
          </w:tcPr>
          <w:p>
            <w:pPr>
              <w:ind w:left="40"/>
              <w:spacing w:after="0"/>
              <w:rPr>
                <w:sz w:val="20"/>
                <w:szCs w:val="20"/>
                <w:color w:val="auto"/>
              </w:rPr>
            </w:pPr>
            <w:r>
              <w:rPr>
                <w:rFonts w:ascii="Arial" w:cs="Arial" w:eastAsia="Arial" w:hAnsi="Arial"/>
                <w:sz w:val="17"/>
                <w:szCs w:val="17"/>
                <w:b w:val="1"/>
                <w:bCs w:val="1"/>
                <w:i w:val="1"/>
                <w:iCs w:val="1"/>
                <w:color w:val="auto"/>
              </w:rPr>
              <w:t>​Company AIP Metric</w:t>
            </w:r>
          </w:p>
        </w:tc>
        <w:tc>
          <w:tcPr>
            <w:tcW w:w="42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 ​</w:t>
            </w:r>
          </w:p>
        </w:tc>
        <w:tc>
          <w:tcPr>
            <w:tcW w:w="1900" w:type="dxa"/>
            <w:vAlign w:val="bottom"/>
          </w:tcPr>
          <w:p>
            <w:pPr>
              <w:spacing w:after="0"/>
              <w:rPr>
                <w:sz w:val="20"/>
                <w:szCs w:val="20"/>
                <w:color w:val="auto"/>
              </w:rPr>
            </w:pPr>
          </w:p>
        </w:tc>
        <w:tc>
          <w:tcPr>
            <w:tcW w:w="2420" w:type="dxa"/>
            <w:vAlign w:val="bottom"/>
          </w:tcPr>
          <w:p>
            <w:pPr>
              <w:jc w:val="center"/>
              <w:ind w:left="115"/>
              <w:spacing w:after="0"/>
              <w:rPr>
                <w:sz w:val="20"/>
                <w:szCs w:val="20"/>
                <w:color w:val="auto"/>
              </w:rPr>
            </w:pPr>
            <w:r>
              <w:rPr>
                <w:rFonts w:ascii="Arial" w:cs="Arial" w:eastAsia="Arial" w:hAnsi="Arial"/>
                <w:sz w:val="17"/>
                <w:szCs w:val="17"/>
                <w:b w:val="1"/>
                <w:bCs w:val="1"/>
                <w:i w:val="1"/>
                <w:iCs w:val="1"/>
                <w:color w:val="auto"/>
              </w:rPr>
              <w:t>​</w:t>
            </w:r>
          </w:p>
        </w:tc>
      </w:tr>
      <w:tr>
        <w:trPr>
          <w:trHeight w:val="20"/>
        </w:trPr>
        <w:tc>
          <w:tcPr>
            <w:tcW w:w="100" w:type="dxa"/>
            <w:vAlign w:val="bottom"/>
            <w:tcBorders>
              <w:bottom w:val="single" w:sz="8" w:color="A1AFC2"/>
            </w:tcBorders>
          </w:tcPr>
          <w:p>
            <w:pPr>
              <w:spacing w:after="0" w:line="20" w:lineRule="exact"/>
              <w:rPr>
                <w:sz w:val="1"/>
                <w:szCs w:val="1"/>
                <w:color w:val="auto"/>
              </w:rPr>
            </w:pPr>
          </w:p>
        </w:tc>
        <w:tc>
          <w:tcPr>
            <w:tcW w:w="1620" w:type="dxa"/>
            <w:vAlign w:val="bottom"/>
            <w:tcBorders>
              <w:top w:val="single" w:sz="8" w:color="auto"/>
              <w:bottom w:val="single" w:sz="8" w:color="A1AFC2"/>
            </w:tcBorders>
          </w:tcPr>
          <w:p>
            <w:pPr>
              <w:spacing w:after="0" w:line="20" w:lineRule="exact"/>
              <w:rPr>
                <w:sz w:val="1"/>
                <w:szCs w:val="1"/>
                <w:color w:val="auto"/>
              </w:rPr>
            </w:pPr>
          </w:p>
        </w:tc>
        <w:tc>
          <w:tcPr>
            <w:tcW w:w="120" w:type="dxa"/>
            <w:vAlign w:val="bottom"/>
            <w:tcBorders>
              <w:bottom w:val="single" w:sz="8" w:color="A1AFC2"/>
            </w:tcBorders>
          </w:tcPr>
          <w:p>
            <w:pPr>
              <w:spacing w:after="0" w:line="20" w:lineRule="exact"/>
              <w:rPr>
                <w:sz w:val="1"/>
                <w:szCs w:val="1"/>
                <w:color w:val="auto"/>
              </w:rPr>
            </w:pPr>
          </w:p>
        </w:tc>
        <w:tc>
          <w:tcPr>
            <w:tcW w:w="2140" w:type="dxa"/>
            <w:vAlign w:val="bottom"/>
            <w:tcBorders>
              <w:bottom w:val="single" w:sz="8" w:color="A1AFC2"/>
            </w:tcBorders>
          </w:tcPr>
          <w:p>
            <w:pPr>
              <w:spacing w:after="0" w:line="20" w:lineRule="exact"/>
              <w:rPr>
                <w:sz w:val="1"/>
                <w:szCs w:val="1"/>
                <w:color w:val="auto"/>
              </w:rPr>
            </w:pPr>
          </w:p>
        </w:tc>
        <w:tc>
          <w:tcPr>
            <w:tcW w:w="420" w:type="dxa"/>
            <w:vAlign w:val="bottom"/>
            <w:tcBorders>
              <w:bottom w:val="single" w:sz="8" w:color="A1AFC2"/>
            </w:tcBorders>
          </w:tcPr>
          <w:p>
            <w:pPr>
              <w:spacing w:after="0" w:line="20" w:lineRule="exact"/>
              <w:rPr>
                <w:sz w:val="1"/>
                <w:szCs w:val="1"/>
                <w:color w:val="auto"/>
              </w:rPr>
            </w:pPr>
          </w:p>
        </w:tc>
        <w:tc>
          <w:tcPr>
            <w:tcW w:w="1900" w:type="dxa"/>
            <w:vAlign w:val="bottom"/>
            <w:tcBorders>
              <w:bottom w:val="single" w:sz="8" w:color="A1AFC2"/>
            </w:tcBorders>
          </w:tcPr>
          <w:p>
            <w:pPr>
              <w:spacing w:after="0" w:line="20" w:lineRule="exact"/>
              <w:rPr>
                <w:sz w:val="1"/>
                <w:szCs w:val="1"/>
                <w:color w:val="auto"/>
              </w:rPr>
            </w:pPr>
          </w:p>
        </w:tc>
        <w:tc>
          <w:tcPr>
            <w:tcW w:w="2420" w:type="dxa"/>
            <w:vAlign w:val="bottom"/>
            <w:tcBorders>
              <w:bottom w:val="single" w:sz="8" w:color="A1AFC2"/>
            </w:tcBorders>
          </w:tcPr>
          <w:p>
            <w:pPr>
              <w:spacing w:after="0" w:line="20" w:lineRule="exact"/>
              <w:rPr>
                <w:sz w:val="1"/>
                <w:szCs w:val="1"/>
                <w:color w:val="auto"/>
              </w:rPr>
            </w:pPr>
          </w:p>
        </w:tc>
      </w:tr>
      <w:tr>
        <w:trPr>
          <w:trHeight w:val="239"/>
        </w:trPr>
        <w:tc>
          <w:tcPr>
            <w:tcW w:w="3980" w:type="dxa"/>
            <w:vAlign w:val="bottom"/>
            <w:tcBorders>
              <w:bottom w:val="single" w:sz="8" w:color="A1AFC2"/>
            </w:tcBorders>
            <w:gridSpan w:val="4"/>
          </w:tcPr>
          <w:p>
            <w:pPr>
              <w:ind w:left="40"/>
              <w:spacing w:after="0"/>
              <w:rPr>
                <w:sz w:val="20"/>
                <w:szCs w:val="20"/>
                <w:color w:val="auto"/>
              </w:rPr>
            </w:pPr>
            <w:r>
              <w:rPr>
                <w:rFonts w:ascii="Arial" w:cs="Arial" w:eastAsia="Arial" w:hAnsi="Arial"/>
                <w:sz w:val="17"/>
                <w:szCs w:val="17"/>
                <w:color w:val="auto"/>
                <w:w w:val="99"/>
              </w:rPr>
              <w:t>​Below Threshold: Adjusted EBITDA &lt; $511.5 million</w:t>
            </w:r>
          </w:p>
        </w:tc>
        <w:tc>
          <w:tcPr>
            <w:tcW w:w="420" w:type="dxa"/>
            <w:vAlign w:val="bottom"/>
            <w:tcBorders>
              <w:bottom w:val="single" w:sz="8" w:color="A1AFC2"/>
            </w:tcBorders>
          </w:tcPr>
          <w:p>
            <w:pPr>
              <w:ind w:left="140"/>
              <w:spacing w:after="0"/>
              <w:rPr>
                <w:sz w:val="20"/>
                <w:szCs w:val="20"/>
                <w:color w:val="auto"/>
              </w:rPr>
            </w:pPr>
            <w:r>
              <w:rPr>
                <w:rFonts w:ascii="Arial" w:cs="Arial" w:eastAsia="Arial" w:hAnsi="Arial"/>
                <w:sz w:val="17"/>
                <w:szCs w:val="17"/>
                <w:color w:val="auto"/>
              </w:rPr>
              <w:t>​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95"/>
              </w:rPr>
              <w:t>&lt;90%</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87"/>
              </w:rPr>
              <w:t>    0%</w:t>
            </w:r>
          </w:p>
        </w:tc>
      </w:tr>
      <w:tr>
        <w:trPr>
          <w:trHeight w:val="253"/>
        </w:trPr>
        <w:tc>
          <w:tcPr>
            <w:tcW w:w="3980" w:type="dxa"/>
            <w:vAlign w:val="bottom"/>
            <w:tcBorders>
              <w:bottom w:val="single" w:sz="8" w:color="A1AFC2"/>
            </w:tcBorders>
            <w:gridSpan w:val="4"/>
          </w:tcPr>
          <w:p>
            <w:pPr>
              <w:ind w:left="40"/>
              <w:spacing w:after="0"/>
              <w:rPr>
                <w:sz w:val="20"/>
                <w:szCs w:val="20"/>
                <w:color w:val="auto"/>
              </w:rPr>
            </w:pPr>
            <w:r>
              <w:rPr>
                <w:rFonts w:ascii="Arial" w:cs="Arial" w:eastAsia="Arial" w:hAnsi="Arial"/>
                <w:sz w:val="17"/>
                <w:szCs w:val="17"/>
                <w:color w:val="auto"/>
              </w:rPr>
              <w:t>​Threshold: Adjusted EBITDA of $511.5 million</w:t>
            </w:r>
          </w:p>
        </w:tc>
        <w:tc>
          <w:tcPr>
            <w:tcW w:w="420" w:type="dxa"/>
            <w:vAlign w:val="bottom"/>
            <w:tcBorders>
              <w:bottom w:val="single" w:sz="8" w:color="A1AFC2"/>
            </w:tcBorders>
          </w:tcPr>
          <w:p>
            <w:pPr>
              <w:ind w:left="140"/>
              <w:spacing w:after="0"/>
              <w:rPr>
                <w:sz w:val="20"/>
                <w:szCs w:val="20"/>
                <w:color w:val="auto"/>
              </w:rPr>
            </w:pPr>
            <w:r>
              <w:rPr>
                <w:rFonts w:ascii="Arial" w:cs="Arial" w:eastAsia="Arial" w:hAnsi="Arial"/>
                <w:sz w:val="17"/>
                <w:szCs w:val="17"/>
                <w:color w:val="auto"/>
              </w:rPr>
              <w:t>​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87"/>
              </w:rPr>
              <w:t>  90%</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87"/>
              </w:rPr>
              <w:t>  70%</w:t>
            </w:r>
          </w:p>
        </w:tc>
      </w:tr>
      <w:tr>
        <w:trPr>
          <w:trHeight w:val="253"/>
        </w:trPr>
        <w:tc>
          <w:tcPr>
            <w:tcW w:w="3980" w:type="dxa"/>
            <w:vAlign w:val="bottom"/>
            <w:tcBorders>
              <w:bottom w:val="single" w:sz="8" w:color="A1AFC2"/>
            </w:tcBorders>
            <w:gridSpan w:val="4"/>
          </w:tcPr>
          <w:p>
            <w:pPr>
              <w:ind w:left="40"/>
              <w:spacing w:after="0"/>
              <w:rPr>
                <w:sz w:val="20"/>
                <w:szCs w:val="20"/>
                <w:color w:val="auto"/>
              </w:rPr>
            </w:pPr>
            <w:r>
              <w:rPr>
                <w:rFonts w:ascii="Arial" w:cs="Arial" w:eastAsia="Arial" w:hAnsi="Arial"/>
                <w:sz w:val="17"/>
                <w:szCs w:val="17"/>
                <w:color w:val="auto"/>
              </w:rPr>
              <w:t>​Target: Adjusted EBITDA of $568.6 million</w:t>
            </w:r>
          </w:p>
        </w:tc>
        <w:tc>
          <w:tcPr>
            <w:tcW w:w="420" w:type="dxa"/>
            <w:vAlign w:val="bottom"/>
            <w:tcBorders>
              <w:bottom w:val="single" w:sz="8" w:color="A1AFC2"/>
            </w:tcBorders>
          </w:tcPr>
          <w:p>
            <w:pPr>
              <w:ind w:left="140"/>
              <w:spacing w:after="0"/>
              <w:rPr>
                <w:sz w:val="20"/>
                <w:szCs w:val="20"/>
                <w:color w:val="auto"/>
              </w:rPr>
            </w:pPr>
            <w:r>
              <w:rPr>
                <w:rFonts w:ascii="Arial" w:cs="Arial" w:eastAsia="Arial" w:hAnsi="Arial"/>
                <w:sz w:val="17"/>
                <w:szCs w:val="17"/>
                <w:color w:val="auto"/>
              </w:rPr>
              <w:t>​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96"/>
              </w:rPr>
              <w:t>100%</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96"/>
              </w:rPr>
              <w:t>100%</w:t>
            </w:r>
          </w:p>
        </w:tc>
      </w:tr>
      <w:tr>
        <w:trPr>
          <w:trHeight w:val="253"/>
        </w:trPr>
        <w:tc>
          <w:tcPr>
            <w:tcW w:w="4400" w:type="dxa"/>
            <w:vAlign w:val="bottom"/>
            <w:tcBorders>
              <w:bottom w:val="single" w:sz="8" w:color="A1AFC2"/>
            </w:tcBorders>
            <w:gridSpan w:val="5"/>
          </w:tcPr>
          <w:p>
            <w:pPr>
              <w:ind w:left="40"/>
              <w:spacing w:after="0"/>
              <w:rPr>
                <w:sz w:val="20"/>
                <w:szCs w:val="20"/>
                <w:color w:val="auto"/>
              </w:rPr>
            </w:pPr>
            <w:r>
              <w:rPr>
                <w:rFonts w:ascii="Arial" w:cs="Arial" w:eastAsia="Arial" w:hAnsi="Arial"/>
                <w:sz w:val="17"/>
                <w:szCs w:val="17"/>
                <w:color w:val="auto"/>
              </w:rPr>
              <w:t>​Maximum: Adjusted EBITDA of $636.8 million or more ​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96"/>
              </w:rPr>
              <w:t>112%</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96"/>
              </w:rPr>
              <w:t>Up to a maximum of 200%</w:t>
            </w:r>
          </w:p>
        </w:tc>
      </w:tr>
      <w:tr>
        <w:trPr>
          <w:trHeight w:val="227"/>
        </w:trPr>
        <w:tc>
          <w:tcPr>
            <w:tcW w:w="3980" w:type="dxa"/>
            <w:vAlign w:val="bottom"/>
            <w:gridSpan w:val="4"/>
          </w:tcPr>
          <w:p>
            <w:pPr>
              <w:ind w:left="40"/>
              <w:spacing w:after="0"/>
              <w:rPr>
                <w:sz w:val="20"/>
                <w:szCs w:val="20"/>
                <w:color w:val="auto"/>
              </w:rPr>
            </w:pPr>
            <w:r>
              <w:rPr>
                <w:rFonts w:ascii="Arial" w:cs="Arial" w:eastAsia="Arial" w:hAnsi="Arial"/>
                <w:sz w:val="17"/>
                <w:szCs w:val="17"/>
                <w:b w:val="1"/>
                <w:bCs w:val="1"/>
                <w:i w:val="1"/>
                <w:iCs w:val="1"/>
                <w:color w:val="auto"/>
              </w:rPr>
              <w:t>​Sterigenics AIP Metric</w:t>
            </w:r>
          </w:p>
        </w:tc>
        <w:tc>
          <w:tcPr>
            <w:tcW w:w="42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 ​</w:t>
            </w:r>
          </w:p>
        </w:tc>
        <w:tc>
          <w:tcPr>
            <w:tcW w:w="1900" w:type="dxa"/>
            <w:vAlign w:val="bottom"/>
          </w:tcPr>
          <w:p>
            <w:pPr>
              <w:spacing w:after="0"/>
              <w:rPr>
                <w:sz w:val="19"/>
                <w:szCs w:val="19"/>
                <w:color w:val="auto"/>
              </w:rPr>
            </w:pPr>
          </w:p>
        </w:tc>
        <w:tc>
          <w:tcPr>
            <w:tcW w:w="2420" w:type="dxa"/>
            <w:vAlign w:val="bottom"/>
          </w:tcPr>
          <w:p>
            <w:pPr>
              <w:jc w:val="center"/>
              <w:ind w:left="115"/>
              <w:spacing w:after="0"/>
              <w:rPr>
                <w:sz w:val="20"/>
                <w:szCs w:val="20"/>
                <w:color w:val="auto"/>
              </w:rPr>
            </w:pPr>
            <w:r>
              <w:rPr>
                <w:rFonts w:ascii="Arial" w:cs="Arial" w:eastAsia="Arial" w:hAnsi="Arial"/>
                <w:sz w:val="17"/>
                <w:szCs w:val="17"/>
                <w:b w:val="1"/>
                <w:bCs w:val="1"/>
                <w:i w:val="1"/>
                <w:iCs w:val="1"/>
                <w:color w:val="auto"/>
              </w:rPr>
              <w:t>​</w:t>
            </w:r>
          </w:p>
        </w:tc>
      </w:tr>
      <w:tr>
        <w:trPr>
          <w:trHeight w:val="20"/>
        </w:trPr>
        <w:tc>
          <w:tcPr>
            <w:tcW w:w="100" w:type="dxa"/>
            <w:vAlign w:val="bottom"/>
            <w:tcBorders>
              <w:bottom w:val="single" w:sz="8" w:color="A1AFC2"/>
            </w:tcBorders>
          </w:tcPr>
          <w:p>
            <w:pPr>
              <w:spacing w:after="0" w:line="20" w:lineRule="exact"/>
              <w:rPr>
                <w:sz w:val="1"/>
                <w:szCs w:val="1"/>
                <w:color w:val="auto"/>
              </w:rPr>
            </w:pPr>
          </w:p>
        </w:tc>
        <w:tc>
          <w:tcPr>
            <w:tcW w:w="1620" w:type="dxa"/>
            <w:vAlign w:val="bottom"/>
            <w:tcBorders>
              <w:top w:val="single" w:sz="8" w:color="auto"/>
              <w:bottom w:val="single" w:sz="8" w:color="A1AFC2"/>
            </w:tcBorders>
          </w:tcPr>
          <w:p>
            <w:pPr>
              <w:spacing w:after="0" w:line="20" w:lineRule="exact"/>
              <w:rPr>
                <w:sz w:val="1"/>
                <w:szCs w:val="1"/>
                <w:color w:val="auto"/>
              </w:rPr>
            </w:pPr>
          </w:p>
        </w:tc>
        <w:tc>
          <w:tcPr>
            <w:tcW w:w="120" w:type="dxa"/>
            <w:vAlign w:val="bottom"/>
            <w:tcBorders>
              <w:top w:val="single" w:sz="8" w:color="auto"/>
              <w:bottom w:val="single" w:sz="8" w:color="A1AFC2"/>
            </w:tcBorders>
          </w:tcPr>
          <w:p>
            <w:pPr>
              <w:spacing w:after="0" w:line="20" w:lineRule="exact"/>
              <w:rPr>
                <w:sz w:val="1"/>
                <w:szCs w:val="1"/>
                <w:color w:val="auto"/>
              </w:rPr>
            </w:pPr>
          </w:p>
        </w:tc>
        <w:tc>
          <w:tcPr>
            <w:tcW w:w="2140" w:type="dxa"/>
            <w:vAlign w:val="bottom"/>
            <w:tcBorders>
              <w:bottom w:val="single" w:sz="8" w:color="A1AFC2"/>
            </w:tcBorders>
          </w:tcPr>
          <w:p>
            <w:pPr>
              <w:spacing w:after="0" w:line="20" w:lineRule="exact"/>
              <w:rPr>
                <w:sz w:val="1"/>
                <w:szCs w:val="1"/>
                <w:color w:val="auto"/>
              </w:rPr>
            </w:pPr>
          </w:p>
        </w:tc>
        <w:tc>
          <w:tcPr>
            <w:tcW w:w="420" w:type="dxa"/>
            <w:vAlign w:val="bottom"/>
            <w:tcBorders>
              <w:bottom w:val="single" w:sz="8" w:color="A1AFC2"/>
            </w:tcBorders>
          </w:tcPr>
          <w:p>
            <w:pPr>
              <w:spacing w:after="0" w:line="20" w:lineRule="exact"/>
              <w:rPr>
                <w:sz w:val="1"/>
                <w:szCs w:val="1"/>
                <w:color w:val="auto"/>
              </w:rPr>
            </w:pPr>
          </w:p>
        </w:tc>
        <w:tc>
          <w:tcPr>
            <w:tcW w:w="1900" w:type="dxa"/>
            <w:vAlign w:val="bottom"/>
            <w:tcBorders>
              <w:bottom w:val="single" w:sz="8" w:color="A1AFC2"/>
            </w:tcBorders>
          </w:tcPr>
          <w:p>
            <w:pPr>
              <w:spacing w:after="0" w:line="20" w:lineRule="exact"/>
              <w:rPr>
                <w:sz w:val="1"/>
                <w:szCs w:val="1"/>
                <w:color w:val="auto"/>
              </w:rPr>
            </w:pPr>
          </w:p>
        </w:tc>
        <w:tc>
          <w:tcPr>
            <w:tcW w:w="2420" w:type="dxa"/>
            <w:vAlign w:val="bottom"/>
            <w:tcBorders>
              <w:bottom w:val="single" w:sz="8" w:color="A1AFC2"/>
            </w:tcBorders>
          </w:tcPr>
          <w:p>
            <w:pPr>
              <w:spacing w:after="0" w:line="20" w:lineRule="exact"/>
              <w:rPr>
                <w:sz w:val="1"/>
                <w:szCs w:val="1"/>
                <w:color w:val="auto"/>
              </w:rPr>
            </w:pPr>
          </w:p>
        </w:tc>
      </w:tr>
      <w:tr>
        <w:trPr>
          <w:trHeight w:val="239"/>
        </w:trPr>
        <w:tc>
          <w:tcPr>
            <w:tcW w:w="4400" w:type="dxa"/>
            <w:vAlign w:val="bottom"/>
            <w:tcBorders>
              <w:bottom w:val="single" w:sz="8" w:color="A1AFC2"/>
            </w:tcBorders>
            <w:gridSpan w:val="5"/>
          </w:tcPr>
          <w:p>
            <w:pPr>
              <w:ind w:left="40"/>
              <w:spacing w:after="0"/>
              <w:rPr>
                <w:sz w:val="20"/>
                <w:szCs w:val="20"/>
                <w:color w:val="auto"/>
              </w:rPr>
            </w:pPr>
            <w:r>
              <w:rPr>
                <w:rFonts w:ascii="Arial" w:cs="Arial" w:eastAsia="Arial" w:hAnsi="Arial"/>
                <w:sz w:val="17"/>
                <w:szCs w:val="17"/>
                <w:color w:val="auto"/>
              </w:rPr>
              <w:t>​Below Threshold: Adjusted EBITDA of &lt; $385.0 million ​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95"/>
              </w:rPr>
              <w:t>&lt;90%</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87"/>
              </w:rPr>
              <w:t>    0%</w:t>
            </w:r>
          </w:p>
        </w:tc>
      </w:tr>
      <w:tr>
        <w:trPr>
          <w:trHeight w:val="253"/>
        </w:trPr>
        <w:tc>
          <w:tcPr>
            <w:tcW w:w="3980" w:type="dxa"/>
            <w:vAlign w:val="bottom"/>
            <w:tcBorders>
              <w:bottom w:val="single" w:sz="8" w:color="A1AFC2"/>
            </w:tcBorders>
            <w:gridSpan w:val="4"/>
          </w:tcPr>
          <w:p>
            <w:pPr>
              <w:ind w:left="40"/>
              <w:spacing w:after="0"/>
              <w:rPr>
                <w:sz w:val="20"/>
                <w:szCs w:val="20"/>
                <w:color w:val="auto"/>
              </w:rPr>
            </w:pPr>
            <w:r>
              <w:rPr>
                <w:rFonts w:ascii="Arial" w:cs="Arial" w:eastAsia="Arial" w:hAnsi="Arial"/>
                <w:sz w:val="17"/>
                <w:szCs w:val="17"/>
                <w:color w:val="auto"/>
              </w:rPr>
              <w:t>​Threshold: Adjusted EBITDA of $385.0 million</w:t>
            </w:r>
          </w:p>
        </w:tc>
        <w:tc>
          <w:tcPr>
            <w:tcW w:w="420" w:type="dxa"/>
            <w:vAlign w:val="bottom"/>
            <w:tcBorders>
              <w:bottom w:val="single" w:sz="8" w:color="A1AFC2"/>
            </w:tcBorders>
          </w:tcPr>
          <w:p>
            <w:pPr>
              <w:ind w:left="140"/>
              <w:spacing w:after="0"/>
              <w:rPr>
                <w:sz w:val="20"/>
                <w:szCs w:val="20"/>
                <w:color w:val="auto"/>
              </w:rPr>
            </w:pPr>
            <w:r>
              <w:rPr>
                <w:rFonts w:ascii="Arial" w:cs="Arial" w:eastAsia="Arial" w:hAnsi="Arial"/>
                <w:sz w:val="17"/>
                <w:szCs w:val="17"/>
                <w:color w:val="auto"/>
              </w:rPr>
              <w:t>​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87"/>
              </w:rPr>
              <w:t>  90%</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87"/>
              </w:rPr>
              <w:t>  70%</w:t>
            </w:r>
          </w:p>
        </w:tc>
      </w:tr>
      <w:tr>
        <w:trPr>
          <w:trHeight w:val="253"/>
        </w:trPr>
        <w:tc>
          <w:tcPr>
            <w:tcW w:w="3980" w:type="dxa"/>
            <w:vAlign w:val="bottom"/>
            <w:tcBorders>
              <w:bottom w:val="single" w:sz="8" w:color="A1AFC2"/>
            </w:tcBorders>
            <w:gridSpan w:val="4"/>
          </w:tcPr>
          <w:p>
            <w:pPr>
              <w:ind w:left="40"/>
              <w:spacing w:after="0"/>
              <w:rPr>
                <w:sz w:val="20"/>
                <w:szCs w:val="20"/>
                <w:color w:val="auto"/>
              </w:rPr>
            </w:pPr>
            <w:r>
              <w:rPr>
                <w:rFonts w:ascii="Arial" w:cs="Arial" w:eastAsia="Arial" w:hAnsi="Arial"/>
                <w:sz w:val="17"/>
                <w:szCs w:val="17"/>
                <w:color w:val="auto"/>
              </w:rPr>
              <w:t>​Target: Adjusted EBITDA of $428.1 million</w:t>
            </w:r>
          </w:p>
        </w:tc>
        <w:tc>
          <w:tcPr>
            <w:tcW w:w="420" w:type="dxa"/>
            <w:vAlign w:val="bottom"/>
            <w:tcBorders>
              <w:bottom w:val="single" w:sz="8" w:color="A1AFC2"/>
            </w:tcBorders>
          </w:tcPr>
          <w:p>
            <w:pPr>
              <w:ind w:left="140"/>
              <w:spacing w:after="0"/>
              <w:rPr>
                <w:sz w:val="20"/>
                <w:szCs w:val="20"/>
                <w:color w:val="auto"/>
              </w:rPr>
            </w:pPr>
            <w:r>
              <w:rPr>
                <w:rFonts w:ascii="Arial" w:cs="Arial" w:eastAsia="Arial" w:hAnsi="Arial"/>
                <w:sz w:val="17"/>
                <w:szCs w:val="17"/>
                <w:color w:val="auto"/>
              </w:rPr>
              <w:t>​ ​</w:t>
            </w:r>
          </w:p>
        </w:tc>
        <w:tc>
          <w:tcPr>
            <w:tcW w:w="1900" w:type="dxa"/>
            <w:vAlign w:val="bottom"/>
            <w:tcBorders>
              <w:bottom w:val="single" w:sz="8" w:color="A1AFC2"/>
            </w:tcBorders>
          </w:tcPr>
          <w:p>
            <w:pPr>
              <w:jc w:val="center"/>
              <w:ind w:right="35"/>
              <w:spacing w:after="0"/>
              <w:rPr>
                <w:sz w:val="20"/>
                <w:szCs w:val="20"/>
                <w:color w:val="auto"/>
              </w:rPr>
            </w:pPr>
            <w:r>
              <w:rPr>
                <w:rFonts w:ascii="Arial" w:cs="Arial" w:eastAsia="Arial" w:hAnsi="Arial"/>
                <w:sz w:val="17"/>
                <w:szCs w:val="17"/>
                <w:color w:val="auto"/>
                <w:w w:val="96"/>
              </w:rPr>
              <w:t>100%</w:t>
            </w:r>
          </w:p>
        </w:tc>
        <w:tc>
          <w:tcPr>
            <w:tcW w:w="2420" w:type="dxa"/>
            <w:vAlign w:val="bottom"/>
            <w:tcBorders>
              <w:bottom w:val="single" w:sz="8" w:color="A1AFC2"/>
            </w:tcBorders>
          </w:tcPr>
          <w:p>
            <w:pPr>
              <w:jc w:val="center"/>
              <w:ind w:left="75"/>
              <w:spacing w:after="0"/>
              <w:rPr>
                <w:sz w:val="20"/>
                <w:szCs w:val="20"/>
                <w:color w:val="auto"/>
              </w:rPr>
            </w:pPr>
            <w:r>
              <w:rPr>
                <w:rFonts w:ascii="Arial" w:cs="Arial" w:eastAsia="Arial" w:hAnsi="Arial"/>
                <w:sz w:val="17"/>
                <w:szCs w:val="17"/>
                <w:color w:val="auto"/>
                <w:w w:val="96"/>
              </w:rPr>
              <w:t>100%</w:t>
            </w:r>
          </w:p>
        </w:tc>
      </w:tr>
      <w:tr>
        <w:trPr>
          <w:trHeight w:val="253"/>
        </w:trPr>
        <w:tc>
          <w:tcPr>
            <w:tcW w:w="4400" w:type="dxa"/>
            <w:vAlign w:val="bottom"/>
            <w:tcBorders>
              <w:bottom w:val="single" w:sz="8" w:color="435F86"/>
            </w:tcBorders>
            <w:gridSpan w:val="5"/>
          </w:tcPr>
          <w:p>
            <w:pPr>
              <w:ind w:left="40"/>
              <w:spacing w:after="0"/>
              <w:rPr>
                <w:sz w:val="20"/>
                <w:szCs w:val="20"/>
                <w:color w:val="auto"/>
              </w:rPr>
            </w:pPr>
            <w:r>
              <w:rPr>
                <w:rFonts w:ascii="Arial" w:cs="Arial" w:eastAsia="Arial" w:hAnsi="Arial"/>
                <w:sz w:val="17"/>
                <w:szCs w:val="17"/>
                <w:color w:val="auto"/>
              </w:rPr>
              <w:t>​Maximum: Adjusted EBITDA of $479.4 million or more ​ ​</w:t>
            </w:r>
          </w:p>
        </w:tc>
        <w:tc>
          <w:tcPr>
            <w:tcW w:w="1900" w:type="dxa"/>
            <w:vAlign w:val="bottom"/>
            <w:tcBorders>
              <w:bottom w:val="single" w:sz="8" w:color="435F86"/>
            </w:tcBorders>
          </w:tcPr>
          <w:p>
            <w:pPr>
              <w:jc w:val="center"/>
              <w:ind w:right="35"/>
              <w:spacing w:after="0"/>
              <w:rPr>
                <w:sz w:val="20"/>
                <w:szCs w:val="20"/>
                <w:color w:val="auto"/>
              </w:rPr>
            </w:pPr>
            <w:r>
              <w:rPr>
                <w:rFonts w:ascii="Arial" w:cs="Arial" w:eastAsia="Arial" w:hAnsi="Arial"/>
                <w:sz w:val="17"/>
                <w:szCs w:val="17"/>
                <w:color w:val="auto"/>
                <w:w w:val="96"/>
              </w:rPr>
              <w:t>112%</w:t>
            </w:r>
          </w:p>
        </w:tc>
        <w:tc>
          <w:tcPr>
            <w:tcW w:w="2420" w:type="dxa"/>
            <w:vAlign w:val="bottom"/>
            <w:tcBorders>
              <w:bottom w:val="single" w:sz="8" w:color="435F86"/>
            </w:tcBorders>
          </w:tcPr>
          <w:p>
            <w:pPr>
              <w:jc w:val="center"/>
              <w:ind w:left="75"/>
              <w:spacing w:after="0"/>
              <w:rPr>
                <w:sz w:val="20"/>
                <w:szCs w:val="20"/>
                <w:color w:val="auto"/>
              </w:rPr>
            </w:pPr>
            <w:r>
              <w:rPr>
                <w:rFonts w:ascii="Arial" w:cs="Arial" w:eastAsia="Arial" w:hAnsi="Arial"/>
                <w:sz w:val="17"/>
                <w:szCs w:val="17"/>
                <w:color w:val="auto"/>
                <w:w w:val="96"/>
              </w:rPr>
              <w:t>Up to a maximum of 200%</w:t>
            </w:r>
          </w:p>
        </w:tc>
      </w:tr>
    </w:tbl>
    <w:p>
      <w:pPr>
        <w:spacing w:after="0" w:line="207" w:lineRule="exact"/>
        <w:rPr>
          <w:sz w:val="20"/>
          <w:szCs w:val="20"/>
          <w:color w:val="auto"/>
        </w:rPr>
      </w:pPr>
    </w:p>
    <w:p>
      <w:pPr>
        <w:ind w:left="780" w:right="699"/>
        <w:spacing w:after="0" w:line="281" w:lineRule="auto"/>
        <w:rPr>
          <w:sz w:val="20"/>
          <w:szCs w:val="20"/>
          <w:color w:val="auto"/>
        </w:rPr>
      </w:pPr>
      <w:r>
        <w:rPr>
          <w:rFonts w:ascii="Arial" w:cs="Arial" w:eastAsia="Arial" w:hAnsi="Arial"/>
          <w:sz w:val="19"/>
          <w:szCs w:val="19"/>
          <w:color w:val="auto"/>
        </w:rPr>
        <w:t>The 2024 target bonus opportunities for Mr. Petras, Mr. Lyons, Mr. Rutz and Mr. Dimitrief were, respectively, 125%, 70%, 60%, and 50% of their base salaries. Individual bonus payouts for</w:t>
      </w:r>
    </w:p>
    <w:p>
      <w:pPr>
        <w:spacing w:after="0" w:line="2" w:lineRule="exact"/>
        <w:rPr>
          <w:sz w:val="20"/>
          <w:szCs w:val="20"/>
          <w:color w:val="auto"/>
        </w:rPr>
      </w:pPr>
    </w:p>
    <w:p>
      <w:pPr>
        <w:ind w:left="780" w:right="159"/>
        <w:spacing w:after="0" w:line="254" w:lineRule="auto"/>
        <w:rPr>
          <w:sz w:val="20"/>
          <w:szCs w:val="20"/>
          <w:color w:val="auto"/>
        </w:rPr>
      </w:pPr>
      <w:r>
        <w:rPr>
          <w:rFonts w:ascii="Arial" w:cs="Arial" w:eastAsia="Arial" w:hAnsi="Arial"/>
          <w:sz w:val="21"/>
          <w:szCs w:val="21"/>
          <w:color w:val="auto"/>
        </w:rPr>
        <w:t>Mr. Petras, Mr. Lyons and Mr. Dimitrief were determined by Company performance (80% of award) and individual performance (20% of award). Mr. Rutz’s bonus was determined by the performance of both the Company and Sterigenics (80% of award, with Sterigenics performance having a 75% weighting and Company performance a 25% weighting) and his individual performance (20% of award).</w:t>
      </w:r>
    </w:p>
    <w:p>
      <w:pPr>
        <w:spacing w:after="0" w:line="169" w:lineRule="exact"/>
        <w:rPr>
          <w:sz w:val="20"/>
          <w:szCs w:val="20"/>
          <w:color w:val="auto"/>
        </w:rPr>
      </w:pPr>
    </w:p>
    <w:p>
      <w:pPr>
        <w:ind w:left="780" w:right="159"/>
        <w:spacing w:after="0" w:line="264" w:lineRule="auto"/>
        <w:rPr>
          <w:sz w:val="20"/>
          <w:szCs w:val="20"/>
          <w:color w:val="auto"/>
        </w:rPr>
      </w:pPr>
      <w:r>
        <w:rPr>
          <w:rFonts w:ascii="Arial" w:cs="Arial" w:eastAsia="Arial" w:hAnsi="Arial"/>
          <w:sz w:val="20"/>
          <w:szCs w:val="20"/>
          <w:color w:val="auto"/>
        </w:rPr>
        <w:t>In determining annual incentive payouts payable for the achievement of financial performance goals, following the close of the fiscal year, the LDC Committee considered actual Company and Sterigenics performance against the financial performance metrics set forth in the table above. The LDC Committee assessed the Company AIP Metric to account for any extraordinary, unusual, or non-recurring events during the performance period, and no such adjustments were made. The LDC Committee also assessed and then adjusted the Sterigenics AIP Metric to account for the removal of corporate costs allocated to the Sterigenics segment. Corporate operating expenses include executive management, accounting, information technology, legal, human resources, treasury, investor relations, corporate development, tax, purchasing, marketing, and other corporate departments that are directly incurred by Sterigenics, as well as an allocation primarily based on total net revenue of corporate operating expenses not directly incurred by the segments. The results for our 2024 Company AIP Metric and Sterigenics AIP Metric were $548.6 million and $411.4 million, respectively. The 2024 financial performance goals set forth under our AIP for overall Company performance and for Sterigenics performance were achieved at 97.5% of target and 97% of target,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1530350</wp:posOffset>
            </wp:positionV>
            <wp:extent cx="494665" cy="165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1406525</wp:posOffset>
            </wp:positionV>
            <wp:extent cx="5538470" cy="165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 Elements for 2024</w:t>
      </w:r>
    </w:p>
    <w:p>
      <w:pPr>
        <w:spacing w:after="0" w:line="238" w:lineRule="exact"/>
        <w:rPr>
          <w:sz w:val="20"/>
          <w:szCs w:val="20"/>
          <w:color w:val="auto"/>
        </w:rPr>
      </w:pPr>
    </w:p>
    <w:p>
      <w:pPr>
        <w:ind w:left="780" w:right="800"/>
        <w:spacing w:after="0" w:line="251" w:lineRule="auto"/>
        <w:rPr>
          <w:sz w:val="20"/>
          <w:szCs w:val="20"/>
          <w:color w:val="auto"/>
        </w:rPr>
      </w:pPr>
      <w:r>
        <w:rPr>
          <w:rFonts w:ascii="Arial" w:cs="Arial" w:eastAsia="Arial" w:hAnsi="Arial"/>
          <w:sz w:val="21"/>
          <w:szCs w:val="21"/>
          <w:color w:val="auto"/>
        </w:rPr>
        <w:t>The following table details the Company’s and Sterigenics’ Adjusted EBITDA performance in relation to the pre-established goals, as well as the related payout factors resulting from 2024 performance. Note the threshold, target and maximum numbers differ from the table above exclusively due to currency exchange rates:</w:t>
      </w:r>
    </w:p>
    <w:p>
      <w:pPr>
        <w:spacing w:after="0" w:line="27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435F86"/>
                <w:w w:val="97"/>
              </w:rPr>
              <w:t>Threshold</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435F86"/>
                <w:w w:val="93"/>
              </w:rPr>
              <w:t>Target</w:t>
            </w:r>
          </w:p>
        </w:tc>
        <w:tc>
          <w:tcPr>
            <w:tcW w:w="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435F86"/>
                <w:w w:val="95"/>
              </w:rPr>
              <w:t>Maximum</w:t>
            </w: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435F86"/>
                <w:w w:val="98"/>
              </w:rPr>
              <w:t>Actual</w:t>
            </w:r>
          </w:p>
        </w:tc>
        <w:tc>
          <w:tcPr>
            <w:tcW w:w="120" w:type="dxa"/>
            <w:vAlign w:val="bottom"/>
          </w:tcPr>
          <w:p>
            <w:pPr>
              <w:spacing w:after="0"/>
              <w:rPr>
                <w:sz w:val="14"/>
                <w:szCs w:val="14"/>
                <w:color w:val="auto"/>
              </w:rPr>
            </w:pPr>
          </w:p>
        </w:tc>
        <w:tc>
          <w:tcPr>
            <w:tcW w:w="920" w:type="dxa"/>
            <w:vAlign w:val="bottom"/>
          </w:tcPr>
          <w:p>
            <w:pPr>
              <w:jc w:val="center"/>
              <w:ind w:left="28"/>
              <w:spacing w:after="0"/>
              <w:rPr>
                <w:sz w:val="20"/>
                <w:szCs w:val="20"/>
                <w:color w:val="auto"/>
              </w:rPr>
            </w:pPr>
            <w:r>
              <w:rPr>
                <w:rFonts w:ascii="Arial" w:cs="Arial" w:eastAsia="Arial" w:hAnsi="Arial"/>
                <w:sz w:val="14"/>
                <w:szCs w:val="14"/>
                <w:b w:val="1"/>
                <w:bCs w:val="1"/>
                <w:color w:val="435F86"/>
                <w:w w:val="93"/>
              </w:rPr>
              <w:t>AIP Earned</w:t>
            </w:r>
          </w:p>
        </w:tc>
        <w:tc>
          <w:tcPr>
            <w:tcW w:w="100" w:type="dxa"/>
            <w:vAlign w:val="bottom"/>
          </w:tcPr>
          <w:p>
            <w:pPr>
              <w:spacing w:after="0"/>
              <w:rPr>
                <w:sz w:val="14"/>
                <w:szCs w:val="14"/>
                <w:color w:val="auto"/>
              </w:rPr>
            </w:pPr>
          </w:p>
        </w:tc>
      </w:tr>
      <w:tr>
        <w:trPr>
          <w:trHeight w:val="156"/>
        </w:trPr>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6"/>
              </w:rPr>
              <w:t>Adjusted</w:t>
            </w:r>
          </w:p>
        </w:tc>
        <w:tc>
          <w:tcPr>
            <w:tcW w:w="120" w:type="dxa"/>
            <w:vAlign w:val="bottom"/>
          </w:tcPr>
          <w:p>
            <w:pPr>
              <w:spacing w:after="0"/>
              <w:rPr>
                <w:sz w:val="13"/>
                <w:szCs w:val="13"/>
                <w:color w:val="auto"/>
              </w:rPr>
            </w:pPr>
          </w:p>
        </w:tc>
        <w:tc>
          <w:tcPr>
            <w:tcW w:w="8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3"/>
              </w:rPr>
              <w:t>Adjusted</w:t>
            </w:r>
          </w:p>
        </w:tc>
        <w:tc>
          <w:tcPr>
            <w:tcW w:w="60" w:type="dxa"/>
            <w:vAlign w:val="bottom"/>
          </w:tcPr>
          <w:p>
            <w:pPr>
              <w:spacing w:after="0"/>
              <w:rPr>
                <w:sz w:val="13"/>
                <w:szCs w:val="13"/>
                <w:color w:val="auto"/>
              </w:rPr>
            </w:pPr>
          </w:p>
        </w:tc>
        <w:tc>
          <w:tcPr>
            <w:tcW w:w="880" w:type="dxa"/>
            <w:vAlign w:val="bottom"/>
          </w:tcPr>
          <w:p>
            <w:pPr>
              <w:jc w:val="center"/>
              <w:ind w:left="9"/>
              <w:spacing w:after="0" w:line="156" w:lineRule="exact"/>
              <w:rPr>
                <w:sz w:val="20"/>
                <w:szCs w:val="20"/>
                <w:color w:val="auto"/>
              </w:rPr>
            </w:pPr>
            <w:r>
              <w:rPr>
                <w:rFonts w:ascii="Arial" w:cs="Arial" w:eastAsia="Arial" w:hAnsi="Arial"/>
                <w:sz w:val="14"/>
                <w:szCs w:val="14"/>
                <w:b w:val="1"/>
                <w:bCs w:val="1"/>
                <w:color w:val="435F86"/>
                <w:w w:val="93"/>
              </w:rPr>
              <w:t>Adjusted</w:t>
            </w: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left="8"/>
              <w:spacing w:after="0" w:line="156" w:lineRule="exact"/>
              <w:rPr>
                <w:sz w:val="20"/>
                <w:szCs w:val="20"/>
                <w:color w:val="auto"/>
              </w:rPr>
            </w:pPr>
            <w:r>
              <w:rPr>
                <w:rFonts w:ascii="Arial" w:cs="Arial" w:eastAsia="Arial" w:hAnsi="Arial"/>
                <w:sz w:val="14"/>
                <w:szCs w:val="14"/>
                <w:b w:val="1"/>
                <w:bCs w:val="1"/>
                <w:color w:val="435F86"/>
                <w:w w:val="95"/>
              </w:rPr>
              <w:t>Performance as</w:t>
            </w:r>
          </w:p>
        </w:tc>
        <w:tc>
          <w:tcPr>
            <w:tcW w:w="120" w:type="dxa"/>
            <w:vAlign w:val="bottom"/>
          </w:tcPr>
          <w:p>
            <w:pPr>
              <w:spacing w:after="0"/>
              <w:rPr>
                <w:sz w:val="13"/>
                <w:szCs w:val="13"/>
                <w:color w:val="auto"/>
              </w:rPr>
            </w:pPr>
          </w:p>
        </w:tc>
        <w:tc>
          <w:tcPr>
            <w:tcW w:w="10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5"/>
              </w:rPr>
              <w:t>Value as % of</w:t>
            </w:r>
          </w:p>
        </w:tc>
      </w:tr>
      <w:tr>
        <w:trPr>
          <w:trHeight w:val="143"/>
        </w:trPr>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435F86"/>
                <w:w w:val="93"/>
              </w:rPr>
              <w:t>Business</w:t>
            </w:r>
          </w:p>
        </w:tc>
        <w:tc>
          <w:tcPr>
            <w:tcW w:w="10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5"/>
              </w:rPr>
              <w:t>EBITDA:</w:t>
            </w:r>
          </w:p>
        </w:tc>
        <w:tc>
          <w:tcPr>
            <w:tcW w:w="12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5"/>
              </w:rPr>
              <w:t>EBITDA:</w:t>
            </w:r>
          </w:p>
        </w:tc>
        <w:tc>
          <w:tcPr>
            <w:tcW w:w="60" w:type="dxa"/>
            <w:vAlign w:val="bottom"/>
          </w:tcPr>
          <w:p>
            <w:pPr>
              <w:spacing w:after="0"/>
              <w:rPr>
                <w:sz w:val="12"/>
                <w:szCs w:val="12"/>
                <w:color w:val="auto"/>
              </w:rPr>
            </w:pP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5"/>
              </w:rPr>
              <w:t>EBITDA:</w:t>
            </w:r>
          </w:p>
        </w:tc>
        <w:tc>
          <w:tcPr>
            <w:tcW w:w="40" w:type="dxa"/>
            <w:vAlign w:val="bottom"/>
          </w:tcPr>
          <w:p>
            <w:pPr>
              <w:spacing w:after="0"/>
              <w:rPr>
                <w:sz w:val="12"/>
                <w:szCs w:val="12"/>
                <w:color w:val="auto"/>
              </w:rPr>
            </w:pPr>
          </w:p>
        </w:tc>
        <w:tc>
          <w:tcPr>
            <w:tcW w:w="1060" w:type="dxa"/>
            <w:vAlign w:val="bottom"/>
          </w:tcPr>
          <w:p>
            <w:pPr>
              <w:ind w:left="440"/>
              <w:spacing w:after="0" w:line="143" w:lineRule="exact"/>
              <w:rPr>
                <w:sz w:val="20"/>
                <w:szCs w:val="20"/>
                <w:color w:val="auto"/>
              </w:rPr>
            </w:pPr>
            <w:r>
              <w:rPr>
                <w:rFonts w:ascii="Arial" w:cs="Arial" w:eastAsia="Arial" w:hAnsi="Arial"/>
                <w:sz w:val="14"/>
                <w:szCs w:val="14"/>
                <w:b w:val="1"/>
                <w:bCs w:val="1"/>
                <w:color w:val="435F86"/>
              </w:rPr>
              <w:t>Actual</w:t>
            </w:r>
          </w:p>
        </w:tc>
        <w:tc>
          <w:tcPr>
            <w:tcW w:w="260" w:type="dxa"/>
            <w:vAlign w:val="bottom"/>
          </w:tcPr>
          <w:p>
            <w:pPr>
              <w:spacing w:after="0"/>
              <w:rPr>
                <w:sz w:val="12"/>
                <w:szCs w:val="12"/>
                <w:color w:val="auto"/>
              </w:rPr>
            </w:pPr>
          </w:p>
        </w:tc>
        <w:tc>
          <w:tcPr>
            <w:tcW w:w="1080" w:type="dxa"/>
            <w:vAlign w:val="bottom"/>
          </w:tcPr>
          <w:p>
            <w:pPr>
              <w:jc w:val="center"/>
              <w:ind w:left="8"/>
              <w:spacing w:after="0" w:line="143" w:lineRule="exact"/>
              <w:rPr>
                <w:sz w:val="20"/>
                <w:szCs w:val="20"/>
                <w:color w:val="auto"/>
              </w:rPr>
            </w:pPr>
            <w:r>
              <w:rPr>
                <w:rFonts w:ascii="Arial" w:cs="Arial" w:eastAsia="Arial" w:hAnsi="Arial"/>
                <w:sz w:val="14"/>
                <w:szCs w:val="14"/>
                <w:b w:val="1"/>
                <w:bCs w:val="1"/>
                <w:color w:val="435F86"/>
                <w:w w:val="94"/>
              </w:rPr>
              <w:t>% of Target</w:t>
            </w:r>
          </w:p>
        </w:tc>
        <w:tc>
          <w:tcPr>
            <w:tcW w:w="120" w:type="dxa"/>
            <w:vAlign w:val="bottom"/>
          </w:tcPr>
          <w:p>
            <w:pPr>
              <w:spacing w:after="0"/>
              <w:rPr>
                <w:sz w:val="12"/>
                <w:szCs w:val="12"/>
                <w:color w:val="auto"/>
              </w:rPr>
            </w:pPr>
          </w:p>
        </w:tc>
        <w:tc>
          <w:tcPr>
            <w:tcW w:w="920" w:type="dxa"/>
            <w:vAlign w:val="bottom"/>
          </w:tcPr>
          <w:p>
            <w:pPr>
              <w:jc w:val="center"/>
              <w:ind w:left="28"/>
              <w:spacing w:after="0" w:line="143" w:lineRule="exact"/>
              <w:rPr>
                <w:sz w:val="20"/>
                <w:szCs w:val="20"/>
                <w:color w:val="auto"/>
              </w:rPr>
            </w:pPr>
            <w:r>
              <w:rPr>
                <w:rFonts w:ascii="Arial" w:cs="Arial" w:eastAsia="Arial" w:hAnsi="Arial"/>
                <w:sz w:val="14"/>
                <w:szCs w:val="14"/>
                <w:b w:val="1"/>
                <w:bCs w:val="1"/>
                <w:color w:val="435F86"/>
                <w:w w:val="94"/>
              </w:rPr>
              <w:t>Target AIP</w:t>
            </w:r>
          </w:p>
        </w:tc>
        <w:tc>
          <w:tcPr>
            <w:tcW w:w="100" w:type="dxa"/>
            <w:vAlign w:val="bottom"/>
          </w:tcPr>
          <w:p>
            <w:pPr>
              <w:spacing w:after="0"/>
              <w:rPr>
                <w:sz w:val="12"/>
                <w:szCs w:val="12"/>
                <w:color w:val="auto"/>
              </w:rPr>
            </w:pPr>
          </w:p>
        </w:tc>
      </w:tr>
      <w:tr>
        <w:trPr>
          <w:trHeight w:val="230"/>
        </w:trPr>
        <w:tc>
          <w:tcPr>
            <w:tcW w:w="80" w:type="dxa"/>
            <w:vAlign w:val="bottom"/>
            <w:tcBorders>
              <w:bottom w:val="single" w:sz="8" w:color="435F86"/>
            </w:tcBorders>
          </w:tcPr>
          <w:p>
            <w:pPr>
              <w:spacing w:after="0"/>
              <w:rPr>
                <w:sz w:val="20"/>
                <w:szCs w:val="20"/>
                <w:color w:val="auto"/>
              </w:rPr>
            </w:pPr>
          </w:p>
        </w:tc>
        <w:tc>
          <w:tcPr>
            <w:tcW w:w="1700" w:type="dxa"/>
            <w:vAlign w:val="bottom"/>
            <w:tcBorders>
              <w:bottom w:val="single" w:sz="8" w:color="435F86"/>
            </w:tcBorders>
            <w:gridSpan w:val="4"/>
          </w:tcPr>
          <w:p>
            <w:pPr>
              <w:spacing w:after="0"/>
              <w:rPr>
                <w:sz w:val="20"/>
                <w:szCs w:val="20"/>
                <w:color w:val="auto"/>
              </w:rPr>
            </w:pPr>
            <w:r>
              <w:rPr>
                <w:rFonts w:ascii="Arial" w:cs="Arial" w:eastAsia="Arial" w:hAnsi="Arial"/>
                <w:sz w:val="14"/>
                <w:szCs w:val="14"/>
                <w:b w:val="1"/>
                <w:bCs w:val="1"/>
                <w:color w:val="435F86"/>
              </w:rPr>
              <w:t>Business</w:t>
            </w:r>
          </w:p>
        </w:tc>
        <w:tc>
          <w:tcPr>
            <w:tcW w:w="760" w:type="dxa"/>
            <w:vAlign w:val="bottom"/>
            <w:tcBorders>
              <w:bottom w:val="single" w:sz="8" w:color="435F86"/>
            </w:tcBorders>
            <w:gridSpan w:val="3"/>
          </w:tcPr>
          <w:p>
            <w:pPr>
              <w:ind w:left="60"/>
              <w:spacing w:after="0"/>
              <w:rPr>
                <w:sz w:val="20"/>
                <w:szCs w:val="20"/>
                <w:color w:val="auto"/>
              </w:rPr>
            </w:pPr>
            <w:r>
              <w:rPr>
                <w:rFonts w:ascii="Arial" w:cs="Arial" w:eastAsia="Arial" w:hAnsi="Arial"/>
                <w:sz w:val="14"/>
                <w:szCs w:val="14"/>
                <w:b w:val="1"/>
                <w:bCs w:val="1"/>
                <w:color w:val="435F86"/>
              </w:rPr>
              <w:t>Weighting</w:t>
            </w:r>
          </w:p>
        </w:tc>
        <w:tc>
          <w:tcPr>
            <w:tcW w:w="740" w:type="dxa"/>
            <w:vAlign w:val="bottom"/>
            <w:tcBorders>
              <w:bottom w:val="single" w:sz="8" w:color="435F86"/>
            </w:tcBorders>
          </w:tcPr>
          <w:p>
            <w:pPr>
              <w:jc w:val="center"/>
              <w:ind w:left="8"/>
              <w:spacing w:after="0"/>
              <w:rPr>
                <w:sz w:val="20"/>
                <w:szCs w:val="20"/>
                <w:color w:val="auto"/>
              </w:rPr>
            </w:pPr>
            <w:r>
              <w:rPr>
                <w:rFonts w:ascii="Arial" w:cs="Arial" w:eastAsia="Arial" w:hAnsi="Arial"/>
                <w:sz w:val="14"/>
                <w:szCs w:val="14"/>
                <w:b w:val="1"/>
                <w:bCs w:val="1"/>
                <w:color w:val="435F86"/>
                <w:w w:val="91"/>
              </w:rPr>
              <w:t>(90%) ($)</w:t>
            </w:r>
            <w:r>
              <w:rPr>
                <w:rFonts w:ascii="Arial" w:cs="Arial" w:eastAsia="Arial" w:hAnsi="Arial"/>
                <w:sz w:val="17"/>
                <w:szCs w:val="17"/>
                <w:b w:val="1"/>
                <w:bCs w:val="1"/>
                <w:color w:val="435F86"/>
                <w:w w:val="91"/>
                <w:vertAlign w:val="superscript"/>
              </w:rPr>
              <w:t>(1)</w:t>
            </w:r>
          </w:p>
        </w:tc>
        <w:tc>
          <w:tcPr>
            <w:tcW w:w="120" w:type="dxa"/>
            <w:vAlign w:val="bottom"/>
            <w:tcBorders>
              <w:bottom w:val="single" w:sz="8" w:color="435F86"/>
            </w:tcBorders>
          </w:tcPr>
          <w:p>
            <w:pPr>
              <w:spacing w:after="0"/>
              <w:rPr>
                <w:sz w:val="20"/>
                <w:szCs w:val="20"/>
                <w:color w:val="auto"/>
              </w:rPr>
            </w:pPr>
          </w:p>
        </w:tc>
        <w:tc>
          <w:tcPr>
            <w:tcW w:w="800" w:type="dxa"/>
            <w:vAlign w:val="bottom"/>
            <w:tcBorders>
              <w:bottom w:val="single" w:sz="8" w:color="435F86"/>
            </w:tcBorders>
          </w:tcPr>
          <w:p>
            <w:pPr>
              <w:jc w:val="center"/>
              <w:spacing w:after="0"/>
              <w:rPr>
                <w:sz w:val="20"/>
                <w:szCs w:val="20"/>
                <w:color w:val="auto"/>
              </w:rPr>
            </w:pPr>
            <w:r>
              <w:rPr>
                <w:rFonts w:ascii="Arial" w:cs="Arial" w:eastAsia="Arial" w:hAnsi="Arial"/>
                <w:sz w:val="14"/>
                <w:szCs w:val="14"/>
                <w:b w:val="1"/>
                <w:bCs w:val="1"/>
                <w:color w:val="435F86"/>
                <w:w w:val="89"/>
              </w:rPr>
              <w:t>(100%) ($)</w:t>
            </w:r>
            <w:r>
              <w:rPr>
                <w:rFonts w:ascii="Arial" w:cs="Arial" w:eastAsia="Arial" w:hAnsi="Arial"/>
                <w:sz w:val="17"/>
                <w:szCs w:val="17"/>
                <w:b w:val="1"/>
                <w:bCs w:val="1"/>
                <w:color w:val="435F86"/>
                <w:w w:val="89"/>
                <w:vertAlign w:val="superscript"/>
              </w:rPr>
              <w:t>(1)</w:t>
            </w:r>
          </w:p>
        </w:tc>
        <w:tc>
          <w:tcPr>
            <w:tcW w:w="60" w:type="dxa"/>
            <w:vAlign w:val="bottom"/>
            <w:tcBorders>
              <w:bottom w:val="single" w:sz="8" w:color="435F86"/>
            </w:tcBorders>
          </w:tcPr>
          <w:p>
            <w:pPr>
              <w:spacing w:after="0"/>
              <w:rPr>
                <w:sz w:val="20"/>
                <w:szCs w:val="20"/>
                <w:color w:val="auto"/>
              </w:rPr>
            </w:pPr>
          </w:p>
        </w:tc>
        <w:tc>
          <w:tcPr>
            <w:tcW w:w="880" w:type="dxa"/>
            <w:vAlign w:val="bottom"/>
            <w:tcBorders>
              <w:bottom w:val="single" w:sz="8" w:color="435F86"/>
            </w:tcBorders>
          </w:tcPr>
          <w:p>
            <w:pPr>
              <w:spacing w:after="0" w:line="230" w:lineRule="exact"/>
              <w:rPr>
                <w:sz w:val="20"/>
                <w:szCs w:val="20"/>
                <w:color w:val="auto"/>
              </w:rPr>
            </w:pPr>
            <w:r>
              <w:rPr>
                <w:rFonts w:ascii="Arial" w:cs="Arial" w:eastAsia="Arial" w:hAnsi="Arial"/>
                <w:sz w:val="26"/>
                <w:szCs w:val="26"/>
                <w:b w:val="1"/>
                <w:bCs w:val="1"/>
                <w:color w:val="435F86"/>
                <w:vertAlign w:val="subscript"/>
              </w:rPr>
              <w:t>​ ​</w:t>
            </w:r>
            <w:r>
              <w:rPr>
                <w:rFonts w:ascii="Arial" w:cs="Arial" w:eastAsia="Arial" w:hAnsi="Arial"/>
                <w:sz w:val="13"/>
                <w:szCs w:val="13"/>
                <w:b w:val="1"/>
                <w:bCs w:val="1"/>
                <w:color w:val="435F86"/>
              </w:rPr>
              <w:t xml:space="preserve"> (112%) ($)</w:t>
            </w:r>
            <w:r>
              <w:rPr>
                <w:rFonts w:ascii="Arial" w:cs="Arial" w:eastAsia="Arial" w:hAnsi="Arial"/>
                <w:sz w:val="16"/>
                <w:szCs w:val="16"/>
                <w:b w:val="1"/>
                <w:bCs w:val="1"/>
                <w:color w:val="435F86"/>
                <w:vertAlign w:val="superscript"/>
              </w:rPr>
              <w:t>(1)</w:t>
            </w:r>
          </w:p>
        </w:tc>
        <w:tc>
          <w:tcPr>
            <w:tcW w:w="40" w:type="dxa"/>
            <w:vAlign w:val="bottom"/>
            <w:tcBorders>
              <w:bottom w:val="single" w:sz="8" w:color="435F86"/>
            </w:tcBorders>
          </w:tcPr>
          <w:p>
            <w:pPr>
              <w:spacing w:after="0"/>
              <w:rPr>
                <w:sz w:val="20"/>
                <w:szCs w:val="20"/>
                <w:color w:val="auto"/>
              </w:rPr>
            </w:pPr>
          </w:p>
        </w:tc>
        <w:tc>
          <w:tcPr>
            <w:tcW w:w="3440" w:type="dxa"/>
            <w:vAlign w:val="bottom"/>
            <w:tcBorders>
              <w:bottom w:val="single" w:sz="8" w:color="435F86"/>
            </w:tcBorders>
            <w:gridSpan w:val="5"/>
          </w:tcPr>
          <w:p>
            <w:pPr>
              <w:spacing w:after="0" w:line="230" w:lineRule="exact"/>
              <w:rPr>
                <w:sz w:val="20"/>
                <w:szCs w:val="20"/>
                <w:color w:val="auto"/>
              </w:rPr>
            </w:pPr>
            <w:r>
              <w:rPr>
                <w:rFonts w:ascii="Arial" w:cs="Arial" w:eastAsia="Arial" w:hAnsi="Arial"/>
                <w:sz w:val="26"/>
                <w:szCs w:val="26"/>
                <w:b w:val="1"/>
                <w:bCs w:val="1"/>
                <w:color w:val="435F86"/>
                <w:vertAlign w:val="subscript"/>
              </w:rPr>
              <w:t>​ ​</w:t>
            </w:r>
            <w:r>
              <w:rPr>
                <w:rFonts w:ascii="Arial" w:cs="Arial" w:eastAsia="Arial" w:hAnsi="Arial"/>
                <w:sz w:val="13"/>
                <w:szCs w:val="13"/>
                <w:b w:val="1"/>
                <w:bCs w:val="1"/>
                <w:color w:val="435F86"/>
              </w:rPr>
              <w:t>Performance ($)</w:t>
            </w:r>
            <w:r>
              <w:rPr>
                <w:rFonts w:ascii="Arial" w:cs="Arial" w:eastAsia="Arial" w:hAnsi="Arial"/>
                <w:sz w:val="16"/>
                <w:szCs w:val="16"/>
                <w:b w:val="1"/>
                <w:bCs w:val="1"/>
                <w:color w:val="435F86"/>
                <w:vertAlign w:val="superscript"/>
              </w:rPr>
              <w:t>(1)</w:t>
            </w:r>
            <w:r>
              <w:rPr>
                <w:rFonts w:ascii="Arial" w:cs="Arial" w:eastAsia="Arial" w:hAnsi="Arial"/>
                <w:sz w:val="13"/>
                <w:szCs w:val="13"/>
                <w:b w:val="1"/>
                <w:bCs w:val="1"/>
                <w:color w:val="435F86"/>
              </w:rPr>
              <w:t xml:space="preserve"> </w:t>
            </w:r>
            <w:r>
              <w:rPr>
                <w:rFonts w:ascii="Arial" w:cs="Arial" w:eastAsia="Arial" w:hAnsi="Arial"/>
                <w:sz w:val="26"/>
                <w:szCs w:val="26"/>
                <w:b w:val="1"/>
                <w:bCs w:val="1"/>
                <w:color w:val="435F86"/>
                <w:vertAlign w:val="subscript"/>
              </w:rPr>
              <w:t>​ ​</w:t>
            </w:r>
            <w:r>
              <w:rPr>
                <w:rFonts w:ascii="Arial" w:cs="Arial" w:eastAsia="Arial" w:hAnsi="Arial"/>
                <w:sz w:val="13"/>
                <w:szCs w:val="13"/>
                <w:b w:val="1"/>
                <w:bCs w:val="1"/>
                <w:color w:val="435F86"/>
              </w:rPr>
              <w:t xml:space="preserve">Adjusted EBITDA </w:t>
            </w:r>
            <w:r>
              <w:rPr>
                <w:rFonts w:ascii="Arial" w:cs="Arial" w:eastAsia="Arial" w:hAnsi="Arial"/>
                <w:sz w:val="26"/>
                <w:szCs w:val="26"/>
                <w:b w:val="1"/>
                <w:bCs w:val="1"/>
                <w:color w:val="435F86"/>
                <w:vertAlign w:val="subscript"/>
              </w:rPr>
              <w:t>​ ​</w:t>
            </w:r>
            <w:r>
              <w:rPr>
                <w:rFonts w:ascii="Arial" w:cs="Arial" w:eastAsia="Arial" w:hAnsi="Arial"/>
                <w:sz w:val="13"/>
                <w:szCs w:val="13"/>
                <w:b w:val="1"/>
                <w:bCs w:val="1"/>
                <w:color w:val="435F86"/>
              </w:rPr>
              <w:t xml:space="preserve"> Opportunity</w:t>
            </w:r>
          </w:p>
        </w:tc>
        <w:tc>
          <w:tcPr>
            <w:tcW w:w="100" w:type="dxa"/>
            <w:vAlign w:val="bottom"/>
            <w:tcBorders>
              <w:bottom w:val="single" w:sz="8" w:color="435F86"/>
            </w:tcBorders>
          </w:tcPr>
          <w:p>
            <w:pPr>
              <w:spacing w:after="0"/>
              <w:rPr>
                <w:sz w:val="20"/>
                <w:szCs w:val="20"/>
                <w:color w:val="auto"/>
              </w:rPr>
            </w:pPr>
          </w:p>
        </w:tc>
      </w:tr>
      <w:tr>
        <w:trPr>
          <w:trHeight w:val="175"/>
        </w:trPr>
        <w:tc>
          <w:tcPr>
            <w:tcW w:w="80" w:type="dxa"/>
            <w:vAlign w:val="bottom"/>
            <w:shd w:val="clear" w:color="auto" w:fill="CCEEFF"/>
          </w:tcPr>
          <w:p>
            <w:pPr>
              <w:spacing w:after="0"/>
              <w:rPr>
                <w:sz w:val="15"/>
                <w:szCs w:val="15"/>
                <w:color w:val="auto"/>
              </w:rPr>
            </w:pPr>
          </w:p>
        </w:tc>
        <w:tc>
          <w:tcPr>
            <w:tcW w:w="1700" w:type="dxa"/>
            <w:vAlign w:val="bottom"/>
            <w:gridSpan w:val="4"/>
            <w:shd w:val="clear" w:color="auto" w:fill="CCEEFF"/>
          </w:tcPr>
          <w:p>
            <w:pPr>
              <w:spacing w:after="0" w:line="175" w:lineRule="exact"/>
              <w:rPr>
                <w:sz w:val="20"/>
                <w:szCs w:val="20"/>
                <w:color w:val="auto"/>
              </w:rPr>
            </w:pPr>
            <w:r>
              <w:rPr>
                <w:rFonts w:ascii="Arial" w:cs="Arial" w:eastAsia="Arial" w:hAnsi="Arial"/>
                <w:sz w:val="16"/>
                <w:szCs w:val="16"/>
                <w:b w:val="1"/>
                <w:bCs w:val="1"/>
                <w:i w:val="1"/>
                <w:iCs w:val="1"/>
                <w:color w:val="auto"/>
              </w:rPr>
              <w:t>Mr. Petras, Mr. Lyons</w:t>
            </w:r>
          </w:p>
        </w:tc>
        <w:tc>
          <w:tcPr>
            <w:tcW w:w="3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2"/>
        </w:trPr>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gridSpan w:val="2"/>
            <w:shd w:val="clear" w:color="auto" w:fill="CCEEFF"/>
          </w:tcPr>
          <w:p>
            <w:pPr>
              <w:spacing w:after="0" w:line="149" w:lineRule="exact"/>
              <w:rPr>
                <w:sz w:val="20"/>
                <w:szCs w:val="20"/>
                <w:color w:val="auto"/>
              </w:rPr>
            </w:pPr>
            <w:r>
              <w:rPr>
                <w:rFonts w:ascii="Arial" w:cs="Arial" w:eastAsia="Arial" w:hAnsi="Arial"/>
                <w:sz w:val="16"/>
                <w:szCs w:val="16"/>
                <w:b w:val="1"/>
                <w:bCs w:val="1"/>
                <w:i w:val="1"/>
                <w:iCs w:val="1"/>
                <w:color w:val="auto"/>
                <w:w w:val="90"/>
              </w:rPr>
              <w:t>and Mr. Dimitrief</w:t>
            </w: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c>
          <w:tcPr>
            <w:tcW w:w="7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8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c>
          <w:tcPr>
            <w:tcW w:w="10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i w:val="1"/>
                <w:iCs w:val="1"/>
                <w:color w:val="auto"/>
              </w:rPr>
              <w:t>​</w:t>
            </w:r>
          </w:p>
        </w:tc>
        <w:tc>
          <w:tcPr>
            <w:tcW w:w="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i w:val="1"/>
                <w:iCs w:val="1"/>
                <w:color w:val="auto"/>
              </w:rPr>
              <w:t>​</w:t>
            </w:r>
          </w:p>
        </w:tc>
        <w:tc>
          <w:tcPr>
            <w:tcW w:w="10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c>
          <w:tcPr>
            <w:tcW w:w="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i w:val="1"/>
                <w:i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r>
      <w:tr>
        <w:trPr>
          <w:trHeight w:val="20"/>
        </w:trPr>
        <w:tc>
          <w:tcPr>
            <w:tcW w:w="80" w:type="dxa"/>
            <w:vAlign w:val="bottom"/>
            <w:tcBorders>
              <w:top w:val="single" w:sz="8" w:color="CCEEFF"/>
            </w:tcBorders>
            <w:shd w:val="clear" w:color="auto" w:fill="7B8FAA"/>
          </w:tcPr>
          <w:p>
            <w:pPr>
              <w:spacing w:after="0" w:line="20" w:lineRule="exact"/>
              <w:rPr>
                <w:sz w:val="1"/>
                <w:szCs w:val="1"/>
                <w:color w:val="auto"/>
              </w:rPr>
            </w:pPr>
          </w:p>
        </w:tc>
        <w:tc>
          <w:tcPr>
            <w:tcW w:w="580" w:type="dxa"/>
            <w:vAlign w:val="bottom"/>
            <w:tcBorders>
              <w:top w:val="single" w:sz="8" w:color="CCEEFF"/>
            </w:tcBorders>
            <w:shd w:val="clear" w:color="auto" w:fill="7B8FAA"/>
          </w:tcPr>
          <w:p>
            <w:pPr>
              <w:spacing w:after="0" w:line="20" w:lineRule="exact"/>
              <w:rPr>
                <w:sz w:val="1"/>
                <w:szCs w:val="1"/>
                <w:color w:val="auto"/>
              </w:rPr>
            </w:pPr>
          </w:p>
        </w:tc>
        <w:tc>
          <w:tcPr>
            <w:tcW w:w="580" w:type="dxa"/>
            <w:vAlign w:val="bottom"/>
            <w:tcBorders>
              <w:top w:val="single" w:sz="8" w:color="CCEEFF"/>
            </w:tcBorders>
            <w:shd w:val="clear" w:color="auto" w:fill="7B8FAA"/>
          </w:tcPr>
          <w:p>
            <w:pPr>
              <w:spacing w:after="0" w:line="20" w:lineRule="exact"/>
              <w:rPr>
                <w:sz w:val="1"/>
                <w:szCs w:val="1"/>
                <w:color w:val="auto"/>
              </w:rPr>
            </w:pPr>
          </w:p>
        </w:tc>
        <w:tc>
          <w:tcPr>
            <w:tcW w:w="480" w:type="dxa"/>
            <w:vAlign w:val="bottom"/>
            <w:tcBorders>
              <w:top w:val="single" w:sz="8" w:color="auto"/>
            </w:tcBorders>
            <w:shd w:val="clear" w:color="auto" w:fill="7B8FAA"/>
          </w:tcPr>
          <w:p>
            <w:pPr>
              <w:spacing w:after="0" w:line="20" w:lineRule="exact"/>
              <w:rPr>
                <w:sz w:val="1"/>
                <w:szCs w:val="1"/>
                <w:color w:val="auto"/>
              </w:rPr>
            </w:pPr>
          </w:p>
        </w:tc>
        <w:tc>
          <w:tcPr>
            <w:tcW w:w="60" w:type="dxa"/>
            <w:vAlign w:val="bottom"/>
            <w:tcBorders>
              <w:top w:val="single" w:sz="8" w:color="CCEEFF"/>
            </w:tcBorders>
            <w:shd w:val="clear" w:color="auto" w:fill="7B8FAA"/>
          </w:tcPr>
          <w:p>
            <w:pPr>
              <w:spacing w:after="0" w:line="20" w:lineRule="exact"/>
              <w:rPr>
                <w:sz w:val="1"/>
                <w:szCs w:val="1"/>
                <w:color w:val="auto"/>
              </w:rPr>
            </w:pPr>
          </w:p>
        </w:tc>
        <w:tc>
          <w:tcPr>
            <w:tcW w:w="660" w:type="dxa"/>
            <w:vAlign w:val="bottom"/>
            <w:tcBorders>
              <w:top w:val="single" w:sz="8" w:color="CCEEFF"/>
            </w:tcBorders>
            <w:gridSpan w:val="2"/>
            <w:shd w:val="clear" w:color="auto" w:fill="7B8FAA"/>
          </w:tcPr>
          <w:p>
            <w:pPr>
              <w:spacing w:after="0" w:line="20" w:lineRule="exact"/>
              <w:rPr>
                <w:sz w:val="1"/>
                <w:szCs w:val="1"/>
                <w:color w:val="auto"/>
              </w:rPr>
            </w:pPr>
          </w:p>
        </w:tc>
        <w:tc>
          <w:tcPr>
            <w:tcW w:w="100" w:type="dxa"/>
            <w:vAlign w:val="bottom"/>
            <w:tcBorders>
              <w:top w:val="single" w:sz="8" w:color="CCEEFF"/>
            </w:tcBorders>
            <w:shd w:val="clear" w:color="auto" w:fill="7B8FAA"/>
          </w:tcPr>
          <w:p>
            <w:pPr>
              <w:spacing w:after="0" w:line="20" w:lineRule="exact"/>
              <w:rPr>
                <w:sz w:val="1"/>
                <w:szCs w:val="1"/>
                <w:color w:val="auto"/>
              </w:rPr>
            </w:pPr>
          </w:p>
        </w:tc>
        <w:tc>
          <w:tcPr>
            <w:tcW w:w="740" w:type="dxa"/>
            <w:vAlign w:val="bottom"/>
            <w:tcBorders>
              <w:top w:val="single" w:sz="8" w:color="CCEEFF"/>
            </w:tcBorders>
            <w:shd w:val="clear" w:color="auto" w:fill="7B8FAA"/>
          </w:tcPr>
          <w:p>
            <w:pPr>
              <w:spacing w:after="0" w:line="20" w:lineRule="exact"/>
              <w:rPr>
                <w:sz w:val="1"/>
                <w:szCs w:val="1"/>
                <w:color w:val="auto"/>
              </w:rPr>
            </w:pPr>
          </w:p>
        </w:tc>
        <w:tc>
          <w:tcPr>
            <w:tcW w:w="120" w:type="dxa"/>
            <w:vAlign w:val="bottom"/>
            <w:tcBorders>
              <w:top w:val="single" w:sz="8" w:color="CCEEFF"/>
            </w:tcBorders>
            <w:shd w:val="clear" w:color="auto" w:fill="7B8FAA"/>
          </w:tcPr>
          <w:p>
            <w:pPr>
              <w:spacing w:after="0" w:line="20" w:lineRule="exact"/>
              <w:rPr>
                <w:sz w:val="1"/>
                <w:szCs w:val="1"/>
                <w:color w:val="auto"/>
              </w:rPr>
            </w:pPr>
          </w:p>
        </w:tc>
        <w:tc>
          <w:tcPr>
            <w:tcW w:w="800" w:type="dxa"/>
            <w:vAlign w:val="bottom"/>
            <w:tcBorders>
              <w:top w:val="single" w:sz="8" w:color="CCEEFF"/>
            </w:tcBorders>
            <w:shd w:val="clear" w:color="auto" w:fill="7B8FAA"/>
          </w:tcPr>
          <w:p>
            <w:pPr>
              <w:spacing w:after="0" w:line="20" w:lineRule="exact"/>
              <w:rPr>
                <w:sz w:val="1"/>
                <w:szCs w:val="1"/>
                <w:color w:val="auto"/>
              </w:rPr>
            </w:pPr>
          </w:p>
        </w:tc>
        <w:tc>
          <w:tcPr>
            <w:tcW w:w="60" w:type="dxa"/>
            <w:vAlign w:val="bottom"/>
            <w:tcBorders>
              <w:top w:val="single" w:sz="8" w:color="CCEEFF"/>
            </w:tcBorders>
            <w:shd w:val="clear" w:color="auto" w:fill="7B8FAA"/>
          </w:tcPr>
          <w:p>
            <w:pPr>
              <w:spacing w:after="0" w:line="20" w:lineRule="exact"/>
              <w:rPr>
                <w:sz w:val="1"/>
                <w:szCs w:val="1"/>
                <w:color w:val="auto"/>
              </w:rPr>
            </w:pPr>
          </w:p>
        </w:tc>
        <w:tc>
          <w:tcPr>
            <w:tcW w:w="880" w:type="dxa"/>
            <w:vAlign w:val="bottom"/>
            <w:tcBorders>
              <w:top w:val="single" w:sz="8" w:color="CCEEFF"/>
            </w:tcBorders>
            <w:shd w:val="clear" w:color="auto" w:fill="7B8FAA"/>
          </w:tcPr>
          <w:p>
            <w:pPr>
              <w:spacing w:after="0" w:line="20" w:lineRule="exact"/>
              <w:rPr>
                <w:sz w:val="1"/>
                <w:szCs w:val="1"/>
                <w:color w:val="auto"/>
              </w:rPr>
            </w:pPr>
          </w:p>
        </w:tc>
        <w:tc>
          <w:tcPr>
            <w:tcW w:w="40" w:type="dxa"/>
            <w:vAlign w:val="bottom"/>
            <w:tcBorders>
              <w:top w:val="single" w:sz="8" w:color="CCEEFF"/>
            </w:tcBorders>
            <w:shd w:val="clear" w:color="auto" w:fill="7B8FAA"/>
          </w:tcPr>
          <w:p>
            <w:pPr>
              <w:spacing w:after="0" w:line="20" w:lineRule="exact"/>
              <w:rPr>
                <w:sz w:val="1"/>
                <w:szCs w:val="1"/>
                <w:color w:val="auto"/>
              </w:rPr>
            </w:pPr>
          </w:p>
        </w:tc>
        <w:tc>
          <w:tcPr>
            <w:tcW w:w="1060" w:type="dxa"/>
            <w:vAlign w:val="bottom"/>
            <w:tcBorders>
              <w:top w:val="single" w:sz="8" w:color="CCEEFF"/>
            </w:tcBorders>
            <w:shd w:val="clear" w:color="auto" w:fill="7B8FAA"/>
          </w:tcPr>
          <w:p>
            <w:pPr>
              <w:spacing w:after="0" w:line="20" w:lineRule="exact"/>
              <w:rPr>
                <w:sz w:val="1"/>
                <w:szCs w:val="1"/>
                <w:color w:val="auto"/>
              </w:rPr>
            </w:pPr>
          </w:p>
        </w:tc>
        <w:tc>
          <w:tcPr>
            <w:tcW w:w="260" w:type="dxa"/>
            <w:vAlign w:val="bottom"/>
            <w:tcBorders>
              <w:top w:val="single" w:sz="8" w:color="CCEEFF"/>
            </w:tcBorders>
            <w:shd w:val="clear" w:color="auto" w:fill="7B8FAA"/>
          </w:tcPr>
          <w:p>
            <w:pPr>
              <w:spacing w:after="0" w:line="20" w:lineRule="exact"/>
              <w:rPr>
                <w:sz w:val="1"/>
                <w:szCs w:val="1"/>
                <w:color w:val="auto"/>
              </w:rPr>
            </w:pPr>
          </w:p>
        </w:tc>
        <w:tc>
          <w:tcPr>
            <w:tcW w:w="1080" w:type="dxa"/>
            <w:vAlign w:val="bottom"/>
            <w:tcBorders>
              <w:top w:val="single" w:sz="8" w:color="CCEEFF"/>
            </w:tcBorders>
            <w:shd w:val="clear" w:color="auto" w:fill="7B8FAA"/>
          </w:tcPr>
          <w:p>
            <w:pPr>
              <w:spacing w:after="0" w:line="20" w:lineRule="exact"/>
              <w:rPr>
                <w:sz w:val="1"/>
                <w:szCs w:val="1"/>
                <w:color w:val="auto"/>
              </w:rPr>
            </w:pPr>
          </w:p>
        </w:tc>
        <w:tc>
          <w:tcPr>
            <w:tcW w:w="120" w:type="dxa"/>
            <w:vAlign w:val="bottom"/>
            <w:tcBorders>
              <w:top w:val="single" w:sz="8" w:color="CCEEFF"/>
            </w:tcBorders>
            <w:shd w:val="clear" w:color="auto" w:fill="7B8FAA"/>
          </w:tcPr>
          <w:p>
            <w:pPr>
              <w:spacing w:after="0" w:line="20" w:lineRule="exact"/>
              <w:rPr>
                <w:sz w:val="1"/>
                <w:szCs w:val="1"/>
                <w:color w:val="auto"/>
              </w:rPr>
            </w:pPr>
          </w:p>
        </w:tc>
        <w:tc>
          <w:tcPr>
            <w:tcW w:w="920" w:type="dxa"/>
            <w:vAlign w:val="bottom"/>
            <w:tcBorders>
              <w:top w:val="single" w:sz="8" w:color="CCEEFF"/>
            </w:tcBorders>
            <w:shd w:val="clear" w:color="auto" w:fill="7B8FAA"/>
          </w:tcPr>
          <w:p>
            <w:pPr>
              <w:spacing w:after="0" w:line="20" w:lineRule="exact"/>
              <w:rPr>
                <w:sz w:val="1"/>
                <w:szCs w:val="1"/>
                <w:color w:val="auto"/>
              </w:rPr>
            </w:pPr>
          </w:p>
        </w:tc>
        <w:tc>
          <w:tcPr>
            <w:tcW w:w="100" w:type="dxa"/>
            <w:vAlign w:val="bottom"/>
            <w:tcBorders>
              <w:top w:val="single" w:sz="8" w:color="CCEEFF"/>
            </w:tcBorders>
            <w:shd w:val="clear" w:color="auto" w:fill="7B8FAA"/>
          </w:tcPr>
          <w:p>
            <w:pPr>
              <w:spacing w:after="0" w:line="20" w:lineRule="exact"/>
              <w:rPr>
                <w:sz w:val="1"/>
                <w:szCs w:val="1"/>
                <w:color w:val="auto"/>
              </w:rPr>
            </w:pPr>
          </w:p>
        </w:tc>
      </w:tr>
      <w:tr>
        <w:trPr>
          <w:trHeight w:val="240"/>
        </w:trPr>
        <w:tc>
          <w:tcPr>
            <w:tcW w:w="80" w:type="dxa"/>
            <w:vAlign w:val="bottom"/>
            <w:tcBorders>
              <w:bottom w:val="single" w:sz="8" w:color="7B8FAA"/>
            </w:tcBorders>
          </w:tcPr>
          <w:p>
            <w:pPr>
              <w:spacing w:after="0"/>
              <w:rPr>
                <w:sz w:val="20"/>
                <w:szCs w:val="20"/>
                <w:color w:val="auto"/>
              </w:rPr>
            </w:pPr>
          </w:p>
        </w:tc>
        <w:tc>
          <w:tcPr>
            <w:tcW w:w="1700" w:type="dxa"/>
            <w:vAlign w:val="bottom"/>
            <w:tcBorders>
              <w:bottom w:val="single" w:sz="8" w:color="7B8FAA"/>
            </w:tcBorders>
            <w:gridSpan w:val="4"/>
          </w:tcPr>
          <w:p>
            <w:pPr>
              <w:spacing w:after="0"/>
              <w:rPr>
                <w:sz w:val="20"/>
                <w:szCs w:val="20"/>
                <w:color w:val="auto"/>
              </w:rPr>
            </w:pPr>
            <w:r>
              <w:rPr>
                <w:rFonts w:ascii="Arial" w:cs="Arial" w:eastAsia="Arial" w:hAnsi="Arial"/>
                <w:sz w:val="16"/>
                <w:szCs w:val="16"/>
                <w:color w:val="auto"/>
              </w:rPr>
              <w:t>Company Performance</w:t>
            </w:r>
          </w:p>
        </w:tc>
        <w:tc>
          <w:tcPr>
            <w:tcW w:w="660" w:type="dxa"/>
            <w:vAlign w:val="bottom"/>
            <w:tcBorders>
              <w:bottom w:val="single" w:sz="8" w:color="7B8FAA"/>
            </w:tcBorders>
            <w:gridSpan w:val="2"/>
          </w:tcPr>
          <w:p>
            <w:pPr>
              <w:ind w:left="22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100%</w:t>
            </w:r>
          </w:p>
        </w:tc>
        <w:tc>
          <w:tcPr>
            <w:tcW w:w="100" w:type="dxa"/>
            <w:vAlign w:val="bottom"/>
            <w:tcBorders>
              <w:bottom w:val="single" w:sz="8" w:color="7B8FAA"/>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7B8FAA"/>
            </w:tcBorders>
          </w:tcPr>
          <w:p>
            <w:pPr>
              <w:ind w:left="1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$506.1</w:t>
            </w:r>
          </w:p>
        </w:tc>
        <w:tc>
          <w:tcPr>
            <w:tcW w:w="120" w:type="dxa"/>
            <w:vAlign w:val="bottom"/>
            <w:tcBorders>
              <w:bottom w:val="single" w:sz="8" w:color="7B8FAA"/>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7B8FAA"/>
            </w:tcBorders>
          </w:tcPr>
          <w:p>
            <w:pPr>
              <w:ind w:left="1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$562.7</w:t>
            </w:r>
          </w:p>
        </w:tc>
        <w:tc>
          <w:tcPr>
            <w:tcW w:w="60" w:type="dxa"/>
            <w:vAlign w:val="bottom"/>
            <w:tcBorders>
              <w:bottom w:val="single" w:sz="8" w:color="7B8FA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7B8FAA"/>
            </w:tcBorders>
          </w:tcPr>
          <w:p>
            <w:pPr>
              <w:ind w:left="24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$630.2</w:t>
            </w:r>
          </w:p>
        </w:tc>
        <w:tc>
          <w:tcPr>
            <w:tcW w:w="40" w:type="dxa"/>
            <w:vAlign w:val="bottom"/>
            <w:tcBorders>
              <w:bottom w:val="single" w:sz="8" w:color="7B8FAA"/>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7B8FAA"/>
            </w:tcBorders>
          </w:tcPr>
          <w:p>
            <w:pPr>
              <w:ind w:left="40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$ 548.6</w:t>
            </w:r>
          </w:p>
        </w:tc>
        <w:tc>
          <w:tcPr>
            <w:tcW w:w="260" w:type="dxa"/>
            <w:vAlign w:val="bottom"/>
            <w:tcBorders>
              <w:bottom w:val="single" w:sz="8" w:color="7B8FAA"/>
            </w:tcBorders>
          </w:tcPr>
          <w:p>
            <w:pPr>
              <w:ind w:lef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7B8FAA"/>
            </w:tcBorders>
          </w:tcPr>
          <w:p>
            <w:pPr>
              <w:ind w:left="3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97.5%</w:t>
            </w:r>
          </w:p>
        </w:tc>
        <w:tc>
          <w:tcPr>
            <w:tcW w:w="120" w:type="dxa"/>
            <w:vAlign w:val="bottom"/>
            <w:tcBorders>
              <w:bottom w:val="single" w:sz="8" w:color="7B8FA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7B8FAA"/>
            </w:tcBorders>
          </w:tcPr>
          <w:p>
            <w:pPr>
              <w:ind w:left="32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94.0%</w:t>
            </w:r>
          </w:p>
        </w:tc>
        <w:tc>
          <w:tcPr>
            <w:tcW w:w="100" w:type="dxa"/>
            <w:vAlign w:val="bottom"/>
            <w:tcBorders>
              <w:bottom w:val="single" w:sz="8" w:color="7B8FAA"/>
            </w:tcBorders>
          </w:tcPr>
          <w:p>
            <w:pPr>
              <w:spacing w:after="0"/>
              <w:rPr>
                <w:sz w:val="20"/>
                <w:szCs w:val="20"/>
                <w:color w:val="auto"/>
              </w:rPr>
            </w:pPr>
            <w:r>
              <w:rPr>
                <w:rFonts w:ascii="Arial" w:cs="Arial" w:eastAsia="Arial" w:hAnsi="Arial"/>
                <w:sz w:val="16"/>
                <w:szCs w:val="16"/>
                <w:color w:val="auto"/>
              </w:rPr>
              <w:t>​</w:t>
            </w:r>
          </w:p>
        </w:tc>
      </w:tr>
      <w:tr>
        <w:trPr>
          <w:trHeight w:val="245"/>
        </w:trPr>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b w:val="1"/>
                <w:bCs w:val="1"/>
                <w:i w:val="1"/>
                <w:iCs w:val="1"/>
                <w:color w:val="auto"/>
                <w:w w:val="88"/>
              </w:rPr>
              <w:t>Mr. Rutz</w:t>
            </w:r>
          </w:p>
        </w:tc>
        <w:tc>
          <w:tcPr>
            <w:tcW w:w="1120" w:type="dxa"/>
            <w:vAlign w:val="bottom"/>
            <w:tcBorders>
              <w:bottom w:val="single" w:sz="8" w:color="CCEEFF"/>
            </w:tcBorders>
            <w:gridSpan w:val="3"/>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i w:val="1"/>
                <w:iCs w:val="1"/>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c>
          <w:tcPr>
            <w:tcW w:w="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i w:val="1"/>
                <w:iCs w:val="1"/>
                <w:color w:val="auto"/>
              </w:rPr>
              <w:t>​</w:t>
            </w:r>
          </w:p>
        </w:tc>
        <w:tc>
          <w:tcPr>
            <w:tcW w:w="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w:t>
            </w:r>
          </w:p>
        </w:tc>
        <w:tc>
          <w:tcPr>
            <w:tcW w:w="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i w:val="1"/>
                <w:iCs w:val="1"/>
                <w:color w:val="auto"/>
              </w:rPr>
              <w:t>​</w:t>
            </w:r>
          </w:p>
        </w:tc>
        <w:tc>
          <w:tcPr>
            <w:tcW w:w="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c>
          <w:tcPr>
            <w:tcW w:w="10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b w:val="1"/>
                <w:bCs w:val="1"/>
                <w:i w:val="1"/>
                <w:iCs w:val="1"/>
                <w:color w:val="auto"/>
              </w:rPr>
              <w:t>​</w:t>
            </w:r>
          </w:p>
        </w:tc>
        <w:tc>
          <w:tcPr>
            <w:tcW w:w="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i w:val="1"/>
                <w:iCs w:val="1"/>
                <w:color w:val="auto"/>
              </w:rPr>
              <w:t>​</w:t>
            </w:r>
          </w:p>
        </w:tc>
        <w:tc>
          <w:tcPr>
            <w:tcW w:w="1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i w:val="1"/>
                <w:iCs w:val="1"/>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c>
          <w:tcPr>
            <w:tcW w:w="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i w:val="1"/>
                <w:iCs w:val="1"/>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w:t>
            </w:r>
          </w:p>
        </w:tc>
      </w:tr>
      <w:tr>
        <w:trPr>
          <w:trHeight w:val="240"/>
        </w:trPr>
        <w:tc>
          <w:tcPr>
            <w:tcW w:w="80" w:type="dxa"/>
            <w:vAlign w:val="bottom"/>
            <w:tcBorders>
              <w:top w:val="single" w:sz="8" w:color="7B8FAA"/>
              <w:bottom w:val="single" w:sz="8" w:color="7B8FAA"/>
            </w:tcBorders>
          </w:tcPr>
          <w:p>
            <w:pPr>
              <w:spacing w:after="0"/>
              <w:rPr>
                <w:sz w:val="20"/>
                <w:szCs w:val="20"/>
                <w:color w:val="auto"/>
              </w:rPr>
            </w:pPr>
          </w:p>
        </w:tc>
        <w:tc>
          <w:tcPr>
            <w:tcW w:w="1700" w:type="dxa"/>
            <w:vAlign w:val="bottom"/>
            <w:tcBorders>
              <w:top w:val="single" w:sz="8" w:color="7B8FAA"/>
              <w:bottom w:val="single" w:sz="8" w:color="7B8FAA"/>
            </w:tcBorders>
            <w:gridSpan w:val="4"/>
          </w:tcPr>
          <w:p>
            <w:pPr>
              <w:spacing w:after="0"/>
              <w:rPr>
                <w:sz w:val="20"/>
                <w:szCs w:val="20"/>
                <w:color w:val="auto"/>
              </w:rPr>
            </w:pPr>
            <w:r>
              <w:rPr>
                <w:rFonts w:ascii="Arial" w:cs="Arial" w:eastAsia="Arial" w:hAnsi="Arial"/>
                <w:sz w:val="16"/>
                <w:szCs w:val="16"/>
                <w:color w:val="auto"/>
                <w:w w:val="95"/>
              </w:rPr>
              <w:t>Sterigenics Performance</w:t>
            </w:r>
          </w:p>
        </w:tc>
        <w:tc>
          <w:tcPr>
            <w:tcW w:w="300" w:type="dxa"/>
            <w:vAlign w:val="bottom"/>
            <w:tcBorders>
              <w:top w:val="single" w:sz="8" w:color="7B8FAA"/>
              <w:bottom w:val="single" w:sz="8" w:color="7B8FAA"/>
            </w:tcBorders>
          </w:tcPr>
          <w:p>
            <w:pPr>
              <w:ind w:left="2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7B8FAA"/>
              <w:bottom w:val="single" w:sz="8" w:color="7B8FAA"/>
            </w:tcBorders>
          </w:tcPr>
          <w:p>
            <w:pPr>
              <w:jc w:val="right"/>
              <w:spacing w:after="0"/>
              <w:rPr>
                <w:sz w:val="20"/>
                <w:szCs w:val="20"/>
                <w:color w:val="auto"/>
              </w:rPr>
            </w:pPr>
            <w:r>
              <w:rPr>
                <w:rFonts w:ascii="Arial" w:cs="Arial" w:eastAsia="Arial" w:hAnsi="Arial"/>
                <w:sz w:val="16"/>
                <w:szCs w:val="16"/>
                <w:color w:val="auto"/>
                <w:w w:val="99"/>
              </w:rPr>
              <w:t>75%</w:t>
            </w:r>
          </w:p>
        </w:tc>
        <w:tc>
          <w:tcPr>
            <w:tcW w:w="100" w:type="dxa"/>
            <w:vAlign w:val="bottom"/>
            <w:tcBorders>
              <w:top w:val="single" w:sz="8" w:color="7B8FAA"/>
              <w:bottom w:val="single" w:sz="8" w:color="7B8FAA"/>
            </w:tcBorders>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7B8FAA"/>
              <w:bottom w:val="single" w:sz="8" w:color="7B8FAA"/>
            </w:tcBorders>
          </w:tcPr>
          <w:p>
            <w:pPr>
              <w:ind w:left="1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381.5</w:t>
            </w:r>
          </w:p>
        </w:tc>
        <w:tc>
          <w:tcPr>
            <w:tcW w:w="120" w:type="dxa"/>
            <w:vAlign w:val="bottom"/>
            <w:tcBorders>
              <w:top w:val="single" w:sz="8" w:color="7B8FAA"/>
              <w:bottom w:val="single" w:sz="8" w:color="7B8FAA"/>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7B8FAA"/>
              <w:bottom w:val="single" w:sz="8" w:color="7B8FAA"/>
            </w:tcBorders>
          </w:tcPr>
          <w:p>
            <w:pPr>
              <w:ind w:left="1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424.2</w:t>
            </w:r>
          </w:p>
        </w:tc>
        <w:tc>
          <w:tcPr>
            <w:tcW w:w="60" w:type="dxa"/>
            <w:vAlign w:val="bottom"/>
            <w:tcBorders>
              <w:top w:val="single" w:sz="8" w:color="7B8FAA"/>
              <w:bottom w:val="single" w:sz="8" w:color="7B8FAA"/>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7B8FAA"/>
              <w:bottom w:val="single" w:sz="8" w:color="7B8FAA"/>
            </w:tcBorders>
          </w:tcPr>
          <w:p>
            <w:pPr>
              <w:ind w:left="24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475.1</w:t>
            </w:r>
          </w:p>
        </w:tc>
        <w:tc>
          <w:tcPr>
            <w:tcW w:w="40" w:type="dxa"/>
            <w:vAlign w:val="bottom"/>
            <w:tcBorders>
              <w:top w:val="single" w:sz="8" w:color="7B8FAA"/>
              <w:bottom w:val="single" w:sz="8" w:color="7B8FAA"/>
            </w:tcBorders>
          </w:tcPr>
          <w:p>
            <w:pPr>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7B8FAA"/>
              <w:bottom w:val="single" w:sz="8" w:color="7B8FAA"/>
            </w:tcBorders>
          </w:tcPr>
          <w:p>
            <w:pPr>
              <w:ind w:left="40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411.4</w:t>
            </w:r>
          </w:p>
        </w:tc>
        <w:tc>
          <w:tcPr>
            <w:tcW w:w="260" w:type="dxa"/>
            <w:vAlign w:val="bottom"/>
            <w:tcBorders>
              <w:top w:val="single" w:sz="8" w:color="7B8FAA"/>
              <w:bottom w:val="single" w:sz="8" w:color="7B8FAA"/>
            </w:tcBorders>
          </w:tcPr>
          <w:p>
            <w:pPr>
              <w:ind w:left="1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7B8FAA"/>
              <w:bottom w:val="single" w:sz="8" w:color="7B8FAA"/>
            </w:tcBorders>
          </w:tcPr>
          <w:p>
            <w:pPr>
              <w:ind w:left="3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97.0%</w:t>
            </w:r>
          </w:p>
        </w:tc>
        <w:tc>
          <w:tcPr>
            <w:tcW w:w="120" w:type="dxa"/>
            <w:vAlign w:val="bottom"/>
            <w:tcBorders>
              <w:top w:val="single" w:sz="8" w:color="7B8FAA"/>
              <w:bottom w:val="single" w:sz="8" w:color="7B8FAA"/>
            </w:tcBorders>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7B8FAA"/>
              <w:bottom w:val="single" w:sz="8" w:color="7B8FAA"/>
            </w:tcBorders>
          </w:tcPr>
          <w:p>
            <w:pPr>
              <w:ind w:left="32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91.0%</w:t>
            </w:r>
          </w:p>
        </w:tc>
        <w:tc>
          <w:tcPr>
            <w:tcW w:w="100" w:type="dxa"/>
            <w:vAlign w:val="bottom"/>
            <w:tcBorders>
              <w:top w:val="single" w:sz="8" w:color="7B8FAA"/>
              <w:bottom w:val="single" w:sz="8" w:color="7B8FAA"/>
            </w:tcBorders>
          </w:tcPr>
          <w:p>
            <w:pPr>
              <w:spacing w:after="0"/>
              <w:rPr>
                <w:sz w:val="20"/>
                <w:szCs w:val="20"/>
                <w:color w:val="auto"/>
              </w:rPr>
            </w:pPr>
            <w:r>
              <w:rPr>
                <w:rFonts w:ascii="Arial" w:cs="Arial" w:eastAsia="Arial" w:hAnsi="Arial"/>
                <w:sz w:val="16"/>
                <w:szCs w:val="16"/>
                <w:color w:val="auto"/>
              </w:rPr>
              <w:t>​</w:t>
            </w:r>
          </w:p>
        </w:tc>
      </w:tr>
      <w:tr>
        <w:trPr>
          <w:trHeight w:val="240"/>
        </w:trPr>
        <w:tc>
          <w:tcPr>
            <w:tcW w:w="80" w:type="dxa"/>
            <w:vAlign w:val="bottom"/>
            <w:tcBorders>
              <w:bottom w:val="single" w:sz="8" w:color="435F86"/>
            </w:tcBorders>
            <w:shd w:val="clear" w:color="auto" w:fill="CCEEFF"/>
          </w:tcPr>
          <w:p>
            <w:pPr>
              <w:spacing w:after="0"/>
              <w:rPr>
                <w:sz w:val="20"/>
                <w:szCs w:val="20"/>
                <w:color w:val="auto"/>
              </w:rPr>
            </w:pPr>
          </w:p>
        </w:tc>
        <w:tc>
          <w:tcPr>
            <w:tcW w:w="1700" w:type="dxa"/>
            <w:vAlign w:val="bottom"/>
            <w:tcBorders>
              <w:bottom w:val="single" w:sz="8" w:color="435F86"/>
            </w:tcBorders>
            <w:gridSpan w:val="4"/>
            <w:shd w:val="clear" w:color="auto" w:fill="CCEEFF"/>
          </w:tcPr>
          <w:p>
            <w:pPr>
              <w:spacing w:after="0"/>
              <w:rPr>
                <w:sz w:val="20"/>
                <w:szCs w:val="20"/>
                <w:color w:val="auto"/>
              </w:rPr>
            </w:pPr>
            <w:r>
              <w:rPr>
                <w:rFonts w:ascii="Arial" w:cs="Arial" w:eastAsia="Arial" w:hAnsi="Arial"/>
                <w:sz w:val="16"/>
                <w:szCs w:val="16"/>
                <w:color w:val="auto"/>
              </w:rPr>
              <w:t>Company Performance</w:t>
            </w:r>
          </w:p>
        </w:tc>
        <w:tc>
          <w:tcPr>
            <w:tcW w:w="660" w:type="dxa"/>
            <w:vAlign w:val="bottom"/>
            <w:tcBorders>
              <w:bottom w:val="single" w:sz="8" w:color="435F86"/>
            </w:tcBorders>
            <w:gridSpan w:val="2"/>
            <w:shd w:val="clear" w:color="auto" w:fill="CCEEFF"/>
          </w:tcPr>
          <w:p>
            <w:pPr>
              <w:ind w:left="22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25%</w:t>
            </w:r>
          </w:p>
        </w:tc>
        <w:tc>
          <w:tcPr>
            <w:tcW w:w="100" w:type="dxa"/>
            <w:vAlign w:val="bottom"/>
            <w:tcBorders>
              <w:bottom w:val="single" w:sz="8" w:color="435F86"/>
            </w:tcBorders>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35F86"/>
            </w:tcBorders>
            <w:shd w:val="clear" w:color="auto" w:fill="CCEEFF"/>
          </w:tcPr>
          <w:p>
            <w:pPr>
              <w:ind w:left="1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506.1</w:t>
            </w:r>
          </w:p>
        </w:tc>
        <w:tc>
          <w:tcPr>
            <w:tcW w:w="120" w:type="dxa"/>
            <w:vAlign w:val="bottom"/>
            <w:tcBorders>
              <w:bottom w:val="single" w:sz="8" w:color="435F86"/>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35F86"/>
            </w:tcBorders>
            <w:shd w:val="clear" w:color="auto" w:fill="CCEEFF"/>
          </w:tcPr>
          <w:p>
            <w:pPr>
              <w:ind w:left="1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562.7</w:t>
            </w:r>
          </w:p>
        </w:tc>
        <w:tc>
          <w:tcPr>
            <w:tcW w:w="60" w:type="dxa"/>
            <w:vAlign w:val="bottom"/>
            <w:tcBorders>
              <w:bottom w:val="single" w:sz="8" w:color="435F86"/>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35F86"/>
            </w:tcBorders>
            <w:shd w:val="clear" w:color="auto" w:fill="CCEEFF"/>
          </w:tcPr>
          <w:p>
            <w:pPr>
              <w:ind w:left="24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630.2</w:t>
            </w:r>
          </w:p>
        </w:tc>
        <w:tc>
          <w:tcPr>
            <w:tcW w:w="40" w:type="dxa"/>
            <w:vAlign w:val="bottom"/>
            <w:tcBorders>
              <w:bottom w:val="single" w:sz="8" w:color="435F86"/>
            </w:tcBorders>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35F86"/>
            </w:tcBorders>
            <w:shd w:val="clear" w:color="auto" w:fill="CCEEFF"/>
          </w:tcPr>
          <w:p>
            <w:pPr>
              <w:ind w:left="40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548.6</w:t>
            </w:r>
          </w:p>
        </w:tc>
        <w:tc>
          <w:tcPr>
            <w:tcW w:w="260" w:type="dxa"/>
            <w:vAlign w:val="bottom"/>
            <w:tcBorders>
              <w:bottom w:val="single" w:sz="8" w:color="435F86"/>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35F86"/>
            </w:tcBorders>
            <w:shd w:val="clear" w:color="auto" w:fill="CCEEFF"/>
          </w:tcPr>
          <w:p>
            <w:pPr>
              <w:ind w:left="36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97.5%</w:t>
            </w:r>
          </w:p>
        </w:tc>
        <w:tc>
          <w:tcPr>
            <w:tcW w:w="120" w:type="dxa"/>
            <w:vAlign w:val="bottom"/>
            <w:tcBorders>
              <w:bottom w:val="single" w:sz="8" w:color="435F86"/>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35F86"/>
            </w:tcBorders>
            <w:shd w:val="clear" w:color="auto" w:fill="CCEEFF"/>
          </w:tcPr>
          <w:p>
            <w:pPr>
              <w:ind w:left="320"/>
              <w:spacing w:after="0" w:line="240"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94.0%</w:t>
            </w:r>
          </w:p>
        </w:tc>
        <w:tc>
          <w:tcPr>
            <w:tcW w:w="100" w:type="dxa"/>
            <w:vAlign w:val="bottom"/>
            <w:tcBorders>
              <w:bottom w:val="single" w:sz="8" w:color="435F86"/>
            </w:tcBorders>
            <w:shd w:val="clear" w:color="auto" w:fill="CCEEFF"/>
          </w:tcPr>
          <w:p>
            <w:pPr>
              <w:spacing w:after="0"/>
              <w:rPr>
                <w:sz w:val="20"/>
                <w:szCs w:val="20"/>
                <w:color w:val="auto"/>
              </w:rPr>
            </w:pPr>
            <w:r>
              <w:rPr>
                <w:rFonts w:ascii="Arial" w:cs="Arial" w:eastAsia="Arial" w:hAnsi="Arial"/>
                <w:sz w:val="16"/>
                <w:szCs w:val="16"/>
                <w:color w:val="auto"/>
              </w:rPr>
              <w:t>​</w:t>
            </w:r>
          </w:p>
        </w:tc>
      </w:tr>
    </w:tbl>
    <w:p>
      <w:pPr>
        <w:spacing w:after="0" w:line="13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(1)  Dollars in millions.</w:t>
      </w:r>
    </w:p>
    <w:p>
      <w:pPr>
        <w:spacing w:after="0" w:line="210" w:lineRule="exact"/>
        <w:rPr>
          <w:sz w:val="20"/>
          <w:szCs w:val="20"/>
          <w:color w:val="auto"/>
        </w:rPr>
      </w:pPr>
    </w:p>
    <w:p>
      <w:pPr>
        <w:ind w:left="780" w:right="880"/>
        <w:spacing w:after="0" w:line="255" w:lineRule="auto"/>
        <w:rPr>
          <w:sz w:val="20"/>
          <w:szCs w:val="20"/>
          <w:color w:val="auto"/>
        </w:rPr>
      </w:pPr>
      <w:r>
        <w:rPr>
          <w:rFonts w:ascii="Arial" w:cs="Arial" w:eastAsia="Arial" w:hAnsi="Arial"/>
          <w:sz w:val="20"/>
          <w:szCs w:val="20"/>
          <w:color w:val="auto"/>
        </w:rPr>
        <w:t>When determining the amount payable to NEOs for the achievement of individual goals, the LDC Committee considers the recommendation of the CEO regarding the other NEOs’ individual performance. All NEOs participate in the Company’s annual performance management process. At the beginning of the year, in consultation with the CEO, each executive sets individual and business unit or functional goals as part of performance planning. At the end of the year, performance is assessed based both on the executive’s achievement of his set goals and the extent to which that executive demonstrated throughout the year the Company’s core values of safety, customer focus, people, integrity and excellence. The assessment of executive performance against the Company’s values, which are fundamental to our Company’s culture, and to our corporate responsibility initiatives, is a key component of each individual’s annual performance evaluation. The LDC Committee believes the fact that all employees that participate in our AIP are annually evaluated for the extent to which their work embodies our values is a key part of mitigating our overall compensation risk.</w:t>
      </w:r>
    </w:p>
    <w:p>
      <w:pPr>
        <w:spacing w:after="0" w:line="172" w:lineRule="exact"/>
        <w:rPr>
          <w:sz w:val="20"/>
          <w:szCs w:val="20"/>
          <w:color w:val="auto"/>
        </w:rPr>
      </w:pPr>
    </w:p>
    <w:p>
      <w:pPr>
        <w:ind w:left="780" w:right="800"/>
        <w:spacing w:after="0" w:line="246" w:lineRule="auto"/>
        <w:rPr>
          <w:sz w:val="20"/>
          <w:szCs w:val="20"/>
          <w:color w:val="auto"/>
        </w:rPr>
      </w:pPr>
      <w:r>
        <w:rPr>
          <w:rFonts w:ascii="Arial" w:cs="Arial" w:eastAsia="Arial" w:hAnsi="Arial"/>
          <w:sz w:val="21"/>
          <w:szCs w:val="21"/>
          <w:color w:val="auto"/>
        </w:rPr>
        <w:t>Mr. Petras evaluated the performances of Mr. Lyons, Mr. Rutz and Mr. Dimitrief and made a recommendation to the LDC Committee regarding the level of individual performance each executive achieved relative to his set goals and the embodiment of our values. The Board evaluated Mr. Petras’ performance and considered the CEO’s recommendation regarding the individual achievement levels of the other NEOs. Based on performance related to their 2024 goals, each of Messrs. Petras, Lyons, Rutz, and Dimitrief received 100% of his individual performance target. The following table provides further detail about the 2024 annual bonus opportunity and payout under our AIP for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1289685</wp:posOffset>
            </wp:positionV>
            <wp:extent cx="553847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44</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Compensation Elements for 2024</w:t>
      </w:r>
    </w:p>
    <w:p>
      <w:pPr>
        <w:spacing w:after="0" w:line="310"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780" w:type="dxa"/>
            <w:vAlign w:val="bottom"/>
            <w:gridSpan w:val="3"/>
          </w:tcPr>
          <w:p>
            <w:pPr>
              <w:ind w:left="340"/>
              <w:spacing w:after="0"/>
              <w:rPr>
                <w:sz w:val="20"/>
                <w:szCs w:val="20"/>
                <w:color w:val="auto"/>
              </w:rPr>
            </w:pPr>
            <w:r>
              <w:rPr>
                <w:rFonts w:ascii="Arial" w:cs="Arial" w:eastAsia="Arial" w:hAnsi="Arial"/>
                <w:sz w:val="16"/>
                <w:szCs w:val="16"/>
                <w:b w:val="1"/>
                <w:bCs w:val="1"/>
                <w:color w:val="435F86"/>
              </w:rPr>
              <w:t>Annual Incentive</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3"/>
          </w:tcPr>
          <w:p>
            <w:pPr>
              <w:jc w:val="center"/>
              <w:ind w:right="256"/>
              <w:spacing w:after="0"/>
              <w:rPr>
                <w:sz w:val="20"/>
                <w:szCs w:val="20"/>
                <w:color w:val="auto"/>
              </w:rPr>
            </w:pPr>
            <w:r>
              <w:rPr>
                <w:rFonts w:ascii="Arial" w:cs="Arial" w:eastAsia="Arial" w:hAnsi="Arial"/>
                <w:sz w:val="16"/>
                <w:szCs w:val="16"/>
                <w:b w:val="1"/>
                <w:bCs w:val="1"/>
                <w:color w:val="435F86"/>
                <w:w w:val="93"/>
              </w:rPr>
              <w:t>Annual Incentive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center"/>
              <w:ind w:right="162"/>
              <w:spacing w:after="0"/>
              <w:rPr>
                <w:sz w:val="20"/>
                <w:szCs w:val="20"/>
                <w:color w:val="auto"/>
              </w:rPr>
            </w:pPr>
            <w:r>
              <w:rPr>
                <w:rFonts w:ascii="Arial" w:cs="Arial" w:eastAsia="Arial" w:hAnsi="Arial"/>
                <w:sz w:val="16"/>
                <w:szCs w:val="16"/>
                <w:b w:val="1"/>
                <w:bCs w:val="1"/>
                <w:color w:val="435F86"/>
                <w:w w:val="93"/>
              </w:rPr>
              <w:t>Actual 2024 AIP</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4"/>
        </w:trPr>
        <w:tc>
          <w:tcPr>
            <w:tcW w:w="2760" w:type="dxa"/>
            <w:vAlign w:val="bottom"/>
          </w:tcPr>
          <w:p>
            <w:pPr>
              <w:ind w:left="20"/>
              <w:spacing w:after="0"/>
              <w:rPr>
                <w:sz w:val="20"/>
                <w:szCs w:val="20"/>
                <w:color w:val="auto"/>
              </w:rPr>
            </w:pPr>
            <w:r>
              <w:rPr>
                <w:rFonts w:ascii="Arial" w:cs="Arial" w:eastAsia="Arial" w:hAnsi="Arial"/>
                <w:sz w:val="16"/>
                <w:szCs w:val="16"/>
                <w:b w:val="1"/>
                <w:bCs w:val="1"/>
                <w:color w:val="435F86"/>
              </w:rPr>
              <w:t>​</w:t>
            </w:r>
          </w:p>
        </w:tc>
        <w:tc>
          <w:tcPr>
            <w:tcW w:w="1780" w:type="dxa"/>
            <w:vAlign w:val="bottom"/>
            <w:gridSpan w:val="3"/>
          </w:tcPr>
          <w:p>
            <w:pPr>
              <w:jc w:val="center"/>
              <w:ind w:left="42"/>
              <w:spacing w:after="0"/>
              <w:rPr>
                <w:sz w:val="20"/>
                <w:szCs w:val="20"/>
                <w:color w:val="auto"/>
              </w:rPr>
            </w:pPr>
            <w:r>
              <w:rPr>
                <w:rFonts w:ascii="Arial" w:cs="Arial" w:eastAsia="Arial" w:hAnsi="Arial"/>
                <w:sz w:val="16"/>
                <w:szCs w:val="16"/>
                <w:b w:val="1"/>
                <w:bCs w:val="1"/>
                <w:color w:val="435F86"/>
                <w:w w:val="88"/>
              </w:rPr>
              <w:t xml:space="preserve">Threshold </w:t>
            </w:r>
            <w:r>
              <w:rPr>
                <w:rFonts w:ascii="Arial" w:cs="Arial" w:eastAsia="Arial" w:hAnsi="Arial"/>
                <w:sz w:val="19"/>
                <w:szCs w:val="19"/>
                <w:b w:val="1"/>
                <w:bCs w:val="1"/>
                <w:color w:val="435F86"/>
                <w:w w:val="88"/>
                <w:vertAlign w:val="superscript"/>
              </w:rPr>
              <w:t>(1)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435F86"/>
              </w:rPr>
              <w:t>​ ​</w:t>
            </w:r>
          </w:p>
        </w:tc>
        <w:tc>
          <w:tcPr>
            <w:tcW w:w="260" w:type="dxa"/>
            <w:vAlign w:val="bottom"/>
          </w:tcPr>
          <w:p>
            <w:pPr>
              <w:spacing w:after="0"/>
              <w:rPr>
                <w:sz w:val="19"/>
                <w:szCs w:val="19"/>
                <w:color w:val="auto"/>
              </w:rPr>
            </w:pPr>
          </w:p>
        </w:tc>
        <w:tc>
          <w:tcPr>
            <w:tcW w:w="920" w:type="dxa"/>
            <w:vAlign w:val="bottom"/>
            <w:gridSpan w:val="2"/>
          </w:tcPr>
          <w:p>
            <w:pPr>
              <w:jc w:val="center"/>
              <w:ind w:left="317"/>
              <w:spacing w:after="0"/>
              <w:rPr>
                <w:sz w:val="20"/>
                <w:szCs w:val="20"/>
                <w:color w:val="auto"/>
              </w:rPr>
            </w:pPr>
            <w:r>
              <w:rPr>
                <w:rFonts w:ascii="Arial" w:cs="Arial" w:eastAsia="Arial" w:hAnsi="Arial"/>
                <w:sz w:val="16"/>
                <w:szCs w:val="16"/>
                <w:b w:val="1"/>
                <w:bCs w:val="1"/>
                <w:color w:val="435F86"/>
                <w:w w:val="89"/>
              </w:rPr>
              <w:t>Target</w:t>
            </w:r>
          </w:p>
        </w:tc>
        <w:tc>
          <w:tcPr>
            <w:tcW w:w="7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435F86"/>
              </w:rPr>
              <w:t>​ ​</w:t>
            </w:r>
          </w:p>
        </w:tc>
        <w:tc>
          <w:tcPr>
            <w:tcW w:w="280" w:type="dxa"/>
            <w:vAlign w:val="bottom"/>
          </w:tcPr>
          <w:p>
            <w:pPr>
              <w:spacing w:after="0"/>
              <w:rPr>
                <w:sz w:val="19"/>
                <w:szCs w:val="19"/>
                <w:color w:val="auto"/>
              </w:rPr>
            </w:pPr>
          </w:p>
        </w:tc>
        <w:tc>
          <w:tcPr>
            <w:tcW w:w="1480" w:type="dxa"/>
            <w:vAlign w:val="bottom"/>
            <w:gridSpan w:val="3"/>
          </w:tcPr>
          <w:p>
            <w:pPr>
              <w:jc w:val="center"/>
              <w:ind w:right="122"/>
              <w:spacing w:after="0"/>
              <w:rPr>
                <w:sz w:val="20"/>
                <w:szCs w:val="20"/>
                <w:color w:val="auto"/>
              </w:rPr>
            </w:pPr>
            <w:r>
              <w:rPr>
                <w:rFonts w:ascii="Arial" w:cs="Arial" w:eastAsia="Arial" w:hAnsi="Arial"/>
                <w:sz w:val="16"/>
                <w:szCs w:val="16"/>
                <w:b w:val="1"/>
                <w:bCs w:val="1"/>
                <w:color w:val="435F86"/>
                <w:w w:val="92"/>
              </w:rPr>
              <w:t>Bonus Payout</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435F86"/>
              </w:rPr>
              <w:t>​</w:t>
            </w:r>
          </w:p>
        </w:tc>
      </w:tr>
      <w:tr>
        <w:trPr>
          <w:trHeight w:val="186"/>
        </w:trPr>
        <w:tc>
          <w:tcPr>
            <w:tcW w:w="2760" w:type="dxa"/>
            <w:vAlign w:val="bottom"/>
          </w:tcPr>
          <w:p>
            <w:pPr>
              <w:spacing w:after="0"/>
              <w:rPr>
                <w:sz w:val="16"/>
                <w:szCs w:val="16"/>
                <w:color w:val="auto"/>
              </w:rPr>
            </w:pPr>
          </w:p>
        </w:tc>
        <w:tc>
          <w:tcPr>
            <w:tcW w:w="800" w:type="dxa"/>
            <w:vAlign w:val="bottom"/>
            <w:tcBorders>
              <w:top w:val="single" w:sz="8" w:color="435F86"/>
            </w:tcBorders>
          </w:tcPr>
          <w:p>
            <w:pPr>
              <w:ind w:left="80"/>
              <w:spacing w:after="0"/>
              <w:rPr>
                <w:sz w:val="20"/>
                <w:szCs w:val="20"/>
                <w:color w:val="auto"/>
              </w:rPr>
            </w:pPr>
            <w:r>
              <w:rPr>
                <w:rFonts w:ascii="Arial" w:cs="Arial" w:eastAsia="Arial" w:hAnsi="Arial"/>
                <w:sz w:val="16"/>
                <w:szCs w:val="16"/>
                <w:b w:val="1"/>
                <w:bCs w:val="1"/>
                <w:color w:val="435F86"/>
                <w:w w:val="91"/>
              </w:rPr>
              <w:t>% of Base</w:t>
            </w:r>
          </w:p>
        </w:tc>
        <w:tc>
          <w:tcPr>
            <w:tcW w:w="300" w:type="dxa"/>
            <w:vAlign w:val="bottom"/>
            <w:tcBorders>
              <w:top w:val="single" w:sz="8" w:color="435F86"/>
            </w:tcBorders>
          </w:tcPr>
          <w:p>
            <w:pPr>
              <w:spacing w:after="0"/>
              <w:rPr>
                <w:sz w:val="16"/>
                <w:szCs w:val="16"/>
                <w:color w:val="auto"/>
              </w:rPr>
            </w:pPr>
          </w:p>
        </w:tc>
        <w:tc>
          <w:tcPr>
            <w:tcW w:w="680" w:type="dxa"/>
            <w:vAlign w:val="bottom"/>
            <w:tcBorders>
              <w:top w:val="single" w:sz="8" w:color="435F86"/>
            </w:tcBorders>
          </w:tcPr>
          <w:p>
            <w:pPr>
              <w:jc w:val="center"/>
              <w:spacing w:after="0"/>
              <w:rPr>
                <w:sz w:val="20"/>
                <w:szCs w:val="20"/>
                <w:color w:val="auto"/>
              </w:rPr>
            </w:pPr>
            <w:r>
              <w:rPr>
                <w:rFonts w:ascii="Arial" w:cs="Arial" w:eastAsia="Arial" w:hAnsi="Arial"/>
                <w:sz w:val="16"/>
                <w:szCs w:val="16"/>
                <w:b w:val="1"/>
                <w:bCs w:val="1"/>
                <w:color w:val="435F86"/>
                <w:w w:val="95"/>
              </w:rPr>
              <w:t>Amount</w:t>
            </w:r>
          </w:p>
        </w:tc>
        <w:tc>
          <w:tcPr>
            <w:tcW w:w="240" w:type="dxa"/>
            <w:vAlign w:val="bottom"/>
            <w:tcBorders>
              <w:top w:val="single" w:sz="8" w:color="435F86"/>
            </w:tcBorders>
          </w:tcPr>
          <w:p>
            <w:pPr>
              <w:spacing w:after="0"/>
              <w:rPr>
                <w:sz w:val="16"/>
                <w:szCs w:val="16"/>
                <w:color w:val="auto"/>
              </w:rPr>
            </w:pPr>
          </w:p>
        </w:tc>
        <w:tc>
          <w:tcPr>
            <w:tcW w:w="720" w:type="dxa"/>
            <w:vAlign w:val="bottom"/>
            <w:tcBorders>
              <w:top w:val="single" w:sz="8" w:color="435F86"/>
            </w:tcBorders>
            <w:gridSpan w:val="2"/>
          </w:tcPr>
          <w:p>
            <w:pPr>
              <w:spacing w:after="0"/>
              <w:rPr>
                <w:sz w:val="20"/>
                <w:szCs w:val="20"/>
                <w:color w:val="auto"/>
              </w:rPr>
            </w:pPr>
            <w:r>
              <w:rPr>
                <w:rFonts w:ascii="Arial" w:cs="Arial" w:eastAsia="Arial" w:hAnsi="Arial"/>
                <w:sz w:val="16"/>
                <w:szCs w:val="16"/>
                <w:b w:val="1"/>
                <w:bCs w:val="1"/>
                <w:color w:val="435F86"/>
                <w:w w:val="91"/>
              </w:rPr>
              <w:t>% of Base</w:t>
            </w:r>
          </w:p>
        </w:tc>
        <w:tc>
          <w:tcPr>
            <w:tcW w:w="1160" w:type="dxa"/>
            <w:vAlign w:val="bottom"/>
            <w:tcBorders>
              <w:top w:val="single" w:sz="8" w:color="435F86"/>
            </w:tcBorders>
            <w:gridSpan w:val="2"/>
          </w:tcPr>
          <w:p>
            <w:pPr>
              <w:jc w:val="right"/>
              <w:ind w:right="136"/>
              <w:spacing w:after="0"/>
              <w:rPr>
                <w:sz w:val="20"/>
                <w:szCs w:val="20"/>
                <w:color w:val="auto"/>
              </w:rPr>
            </w:pPr>
            <w:r>
              <w:rPr>
                <w:rFonts w:ascii="Arial" w:cs="Arial" w:eastAsia="Arial" w:hAnsi="Arial"/>
                <w:sz w:val="16"/>
                <w:szCs w:val="16"/>
                <w:b w:val="1"/>
                <w:bCs w:val="1"/>
                <w:color w:val="435F86"/>
              </w:rPr>
              <w:t>Amount</w:t>
            </w:r>
          </w:p>
        </w:tc>
        <w:tc>
          <w:tcPr>
            <w:tcW w:w="160" w:type="dxa"/>
            <w:vAlign w:val="bottom"/>
            <w:tcBorders>
              <w:top w:val="single" w:sz="8" w:color="435F86"/>
            </w:tcBorders>
          </w:tcPr>
          <w:p>
            <w:pPr>
              <w:spacing w:after="0"/>
              <w:rPr>
                <w:sz w:val="16"/>
                <w:szCs w:val="16"/>
                <w:color w:val="auto"/>
              </w:rPr>
            </w:pPr>
          </w:p>
        </w:tc>
        <w:tc>
          <w:tcPr>
            <w:tcW w:w="720" w:type="dxa"/>
            <w:vAlign w:val="bottom"/>
            <w:tcBorders>
              <w:top w:val="single" w:sz="8" w:color="435F86"/>
            </w:tcBorders>
            <w:gridSpan w:val="2"/>
          </w:tcPr>
          <w:p>
            <w:pPr>
              <w:spacing w:after="0"/>
              <w:rPr>
                <w:sz w:val="20"/>
                <w:szCs w:val="20"/>
                <w:color w:val="auto"/>
              </w:rPr>
            </w:pPr>
            <w:r>
              <w:rPr>
                <w:rFonts w:ascii="Arial" w:cs="Arial" w:eastAsia="Arial" w:hAnsi="Arial"/>
                <w:sz w:val="16"/>
                <w:szCs w:val="16"/>
                <w:b w:val="1"/>
                <w:bCs w:val="1"/>
                <w:color w:val="435F86"/>
                <w:w w:val="91"/>
              </w:rPr>
              <w:t>% of Base</w:t>
            </w:r>
          </w:p>
        </w:tc>
        <w:tc>
          <w:tcPr>
            <w:tcW w:w="320" w:type="dxa"/>
            <w:vAlign w:val="bottom"/>
            <w:tcBorders>
              <w:top w:val="single" w:sz="8" w:color="435F86"/>
            </w:tcBorders>
          </w:tcPr>
          <w:p>
            <w:pPr>
              <w:spacing w:after="0"/>
              <w:rPr>
                <w:sz w:val="16"/>
                <w:szCs w:val="16"/>
                <w:color w:val="auto"/>
              </w:rPr>
            </w:pPr>
          </w:p>
        </w:tc>
        <w:tc>
          <w:tcPr>
            <w:tcW w:w="720" w:type="dxa"/>
            <w:vAlign w:val="bottom"/>
            <w:tcBorders>
              <w:top w:val="single" w:sz="8" w:color="435F86"/>
            </w:tcBorders>
          </w:tcPr>
          <w:p>
            <w:pPr>
              <w:jc w:val="center"/>
              <w:spacing w:after="0"/>
              <w:rPr>
                <w:sz w:val="20"/>
                <w:szCs w:val="20"/>
                <w:color w:val="auto"/>
              </w:rPr>
            </w:pPr>
            <w:r>
              <w:rPr>
                <w:rFonts w:ascii="Arial" w:cs="Arial" w:eastAsia="Arial" w:hAnsi="Arial"/>
                <w:sz w:val="16"/>
                <w:szCs w:val="16"/>
                <w:b w:val="1"/>
                <w:bCs w:val="1"/>
                <w:color w:val="435F86"/>
                <w:w w:val="95"/>
              </w:rPr>
              <w:t>Amount</w:t>
            </w:r>
          </w:p>
        </w:tc>
        <w:tc>
          <w:tcPr>
            <w:tcW w:w="140" w:type="dxa"/>
            <w:vAlign w:val="bottom"/>
            <w:tcBorders>
              <w:top w:val="single" w:sz="8" w:color="435F86"/>
            </w:tcBorders>
          </w:tcPr>
          <w:p>
            <w:pPr>
              <w:spacing w:after="0"/>
              <w:rPr>
                <w:sz w:val="16"/>
                <w:szCs w:val="16"/>
                <w:color w:val="auto"/>
              </w:rPr>
            </w:pPr>
          </w:p>
        </w:tc>
        <w:tc>
          <w:tcPr>
            <w:tcW w:w="20" w:type="dxa"/>
            <w:vAlign w:val="bottom"/>
          </w:tcPr>
          <w:p>
            <w:pPr>
              <w:spacing w:after="0"/>
              <w:rPr>
                <w:sz w:val="16"/>
                <w:szCs w:val="16"/>
                <w:color w:val="auto"/>
              </w:rPr>
            </w:pPr>
          </w:p>
        </w:tc>
      </w:tr>
      <w:tr>
        <w:trPr>
          <w:trHeight w:val="222"/>
        </w:trPr>
        <w:tc>
          <w:tcPr>
            <w:tcW w:w="2760" w:type="dxa"/>
            <w:vAlign w:val="bottom"/>
          </w:tcPr>
          <w:p>
            <w:pPr>
              <w:ind w:left="20"/>
              <w:spacing w:after="0"/>
              <w:rPr>
                <w:sz w:val="20"/>
                <w:szCs w:val="20"/>
                <w:color w:val="auto"/>
              </w:rPr>
            </w:pPr>
            <w:r>
              <w:rPr>
                <w:rFonts w:ascii="Arial" w:cs="Arial" w:eastAsia="Arial" w:hAnsi="Arial"/>
                <w:sz w:val="16"/>
                <w:szCs w:val="16"/>
                <w:b w:val="1"/>
                <w:bCs w:val="1"/>
                <w:color w:val="435F86"/>
              </w:rPr>
              <w:t>​</w:t>
            </w:r>
          </w:p>
        </w:tc>
        <w:tc>
          <w:tcPr>
            <w:tcW w:w="800" w:type="dxa"/>
            <w:vAlign w:val="bottom"/>
          </w:tcPr>
          <w:p>
            <w:pPr>
              <w:ind w:left="240"/>
              <w:spacing w:after="0"/>
              <w:rPr>
                <w:sz w:val="20"/>
                <w:szCs w:val="20"/>
                <w:color w:val="auto"/>
              </w:rPr>
            </w:pPr>
            <w:r>
              <w:rPr>
                <w:rFonts w:ascii="Arial" w:cs="Arial" w:eastAsia="Arial" w:hAnsi="Arial"/>
                <w:sz w:val="16"/>
                <w:szCs w:val="16"/>
                <w:b w:val="1"/>
                <w:bCs w:val="1"/>
                <w:color w:val="435F86"/>
              </w:rPr>
              <w:t>Salary</w:t>
            </w:r>
          </w:p>
        </w:tc>
        <w:tc>
          <w:tcPr>
            <w:tcW w:w="300" w:type="dxa"/>
            <w:vAlign w:val="bottom"/>
          </w:tcPr>
          <w:p>
            <w:pPr>
              <w:jc w:val="center"/>
              <w:spacing w:after="0"/>
              <w:rPr>
                <w:sz w:val="20"/>
                <w:szCs w:val="20"/>
                <w:color w:val="auto"/>
              </w:rPr>
            </w:pPr>
            <w:r>
              <w:rPr>
                <w:rFonts w:ascii="Arial" w:cs="Arial" w:eastAsia="Arial" w:hAnsi="Arial"/>
                <w:sz w:val="16"/>
                <w:szCs w:val="16"/>
                <w:b w:val="1"/>
                <w:bCs w:val="1"/>
                <w:color w:val="435F86"/>
              </w:rPr>
              <w:t>​ ​</w:t>
            </w:r>
          </w:p>
        </w:tc>
        <w:tc>
          <w:tcPr>
            <w:tcW w:w="680" w:type="dxa"/>
            <w:vAlign w:val="bottom"/>
          </w:tcPr>
          <w:p>
            <w:pPr>
              <w:jc w:val="right"/>
              <w:ind w:right="182"/>
              <w:spacing w:after="0"/>
              <w:rPr>
                <w:sz w:val="20"/>
                <w:szCs w:val="20"/>
                <w:color w:val="auto"/>
              </w:rPr>
            </w:pPr>
            <w:r>
              <w:rPr>
                <w:rFonts w:ascii="Arial" w:cs="Arial" w:eastAsia="Arial" w:hAnsi="Arial"/>
                <w:sz w:val="16"/>
                <w:szCs w:val="16"/>
                <w:b w:val="1"/>
                <w:bCs w:val="1"/>
                <w:color w:val="435F86"/>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435F86"/>
              </w:rPr>
              <w:t>​ ​</w:t>
            </w: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435F86"/>
              </w:rPr>
              <w:t>Salary</w:t>
            </w:r>
          </w:p>
        </w:tc>
        <w:tc>
          <w:tcPr>
            <w:tcW w:w="460" w:type="dxa"/>
            <w:vAlign w:val="bottom"/>
          </w:tcPr>
          <w:p>
            <w:pPr>
              <w:jc w:val="center"/>
              <w:ind w:right="78"/>
              <w:spacing w:after="0"/>
              <w:rPr>
                <w:sz w:val="20"/>
                <w:szCs w:val="20"/>
                <w:color w:val="auto"/>
              </w:rPr>
            </w:pPr>
            <w:r>
              <w:rPr>
                <w:rFonts w:ascii="Arial" w:cs="Arial" w:eastAsia="Arial" w:hAnsi="Arial"/>
                <w:sz w:val="16"/>
                <w:szCs w:val="16"/>
                <w:b w:val="1"/>
                <w:bCs w:val="1"/>
                <w:color w:val="435F86"/>
              </w:rPr>
              <w:t>​ ​</w:t>
            </w:r>
          </w:p>
        </w:tc>
        <w:tc>
          <w:tcPr>
            <w:tcW w:w="700" w:type="dxa"/>
            <w:vAlign w:val="bottom"/>
          </w:tcPr>
          <w:p>
            <w:pPr>
              <w:jc w:val="right"/>
              <w:ind w:right="316"/>
              <w:spacing w:after="0"/>
              <w:rPr>
                <w:sz w:val="20"/>
                <w:szCs w:val="20"/>
                <w:color w:val="auto"/>
              </w:rPr>
            </w:pPr>
            <w:r>
              <w:rPr>
                <w:rFonts w:ascii="Arial" w:cs="Arial" w:eastAsia="Arial" w:hAnsi="Arial"/>
                <w:sz w:val="16"/>
                <w:szCs w:val="16"/>
                <w:b w:val="1"/>
                <w:bCs w:val="1"/>
                <w:color w:val="435F86"/>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435F86"/>
              </w:rPr>
              <w:t>​ ​</w:t>
            </w:r>
          </w:p>
        </w:tc>
        <w:tc>
          <w:tcPr>
            <w:tcW w:w="720" w:type="dxa"/>
            <w:vAlign w:val="bottom"/>
            <w:gridSpan w:val="2"/>
          </w:tcPr>
          <w:p>
            <w:pPr>
              <w:ind w:left="160"/>
              <w:spacing w:after="0"/>
              <w:rPr>
                <w:sz w:val="20"/>
                <w:szCs w:val="20"/>
                <w:color w:val="auto"/>
              </w:rPr>
            </w:pPr>
            <w:r>
              <w:rPr>
                <w:rFonts w:ascii="Arial" w:cs="Arial" w:eastAsia="Arial" w:hAnsi="Arial"/>
                <w:sz w:val="16"/>
                <w:szCs w:val="16"/>
                <w:b w:val="1"/>
                <w:bCs w:val="1"/>
                <w:color w:val="435F86"/>
              </w:rPr>
              <w:t>Salary</w:t>
            </w:r>
          </w:p>
        </w:tc>
        <w:tc>
          <w:tcPr>
            <w:tcW w:w="320" w:type="dxa"/>
            <w:vAlign w:val="bottom"/>
          </w:tcPr>
          <w:p>
            <w:pPr>
              <w:jc w:val="center"/>
              <w:spacing w:after="0"/>
              <w:rPr>
                <w:sz w:val="20"/>
                <w:szCs w:val="20"/>
                <w:color w:val="auto"/>
              </w:rPr>
            </w:pPr>
            <w:r>
              <w:rPr>
                <w:rFonts w:ascii="Arial" w:cs="Arial" w:eastAsia="Arial" w:hAnsi="Arial"/>
                <w:sz w:val="16"/>
                <w:szCs w:val="16"/>
                <w:b w:val="1"/>
                <w:bCs w:val="1"/>
                <w:color w:val="435F86"/>
              </w:rPr>
              <w:t>​ ​</w:t>
            </w:r>
          </w:p>
        </w:tc>
        <w:tc>
          <w:tcPr>
            <w:tcW w:w="720" w:type="dxa"/>
            <w:vAlign w:val="bottom"/>
          </w:tcPr>
          <w:p>
            <w:pPr>
              <w:jc w:val="right"/>
              <w:ind w:right="202"/>
              <w:spacing w:after="0"/>
              <w:rPr>
                <w:sz w:val="20"/>
                <w:szCs w:val="20"/>
                <w:color w:val="auto"/>
              </w:rPr>
            </w:pPr>
            <w:r>
              <w:rPr>
                <w:rFonts w:ascii="Arial" w:cs="Arial" w:eastAsia="Arial" w:hAnsi="Arial"/>
                <w:sz w:val="16"/>
                <w:szCs w:val="16"/>
                <w:b w:val="1"/>
                <w:bCs w:val="1"/>
                <w:color w:val="435F86"/>
              </w:rPr>
              <w:t>($)</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435F86"/>
              </w:rPr>
              <w:t>​</w:t>
            </w:r>
          </w:p>
        </w:tc>
      </w:tr>
      <w:tr>
        <w:trPr>
          <w:trHeight w:val="20"/>
        </w:trPr>
        <w:tc>
          <w:tcPr>
            <w:tcW w:w="2760" w:type="dxa"/>
            <w:vAlign w:val="bottom"/>
            <w:shd w:val="clear" w:color="auto" w:fill="435F86"/>
          </w:tcPr>
          <w:p>
            <w:pPr>
              <w:spacing w:after="0" w:line="20" w:lineRule="exact"/>
              <w:rPr>
                <w:sz w:val="1"/>
                <w:szCs w:val="1"/>
                <w:color w:val="auto"/>
              </w:rPr>
            </w:pPr>
          </w:p>
        </w:tc>
        <w:tc>
          <w:tcPr>
            <w:tcW w:w="800" w:type="dxa"/>
            <w:vAlign w:val="bottom"/>
            <w:shd w:val="clear" w:color="auto" w:fill="435F86"/>
          </w:tcPr>
          <w:p>
            <w:pPr>
              <w:spacing w:after="0" w:line="20" w:lineRule="exact"/>
              <w:rPr>
                <w:sz w:val="1"/>
                <w:szCs w:val="1"/>
                <w:color w:val="auto"/>
              </w:rPr>
            </w:pPr>
          </w:p>
        </w:tc>
        <w:tc>
          <w:tcPr>
            <w:tcW w:w="1220" w:type="dxa"/>
            <w:vAlign w:val="bottom"/>
            <w:gridSpan w:val="3"/>
            <w:shd w:val="clear" w:color="auto" w:fill="435F86"/>
          </w:tcPr>
          <w:p>
            <w:pPr>
              <w:spacing w:after="0" w:line="20" w:lineRule="exact"/>
              <w:rPr>
                <w:sz w:val="1"/>
                <w:szCs w:val="1"/>
                <w:color w:val="auto"/>
              </w:rPr>
            </w:pPr>
          </w:p>
        </w:tc>
        <w:tc>
          <w:tcPr>
            <w:tcW w:w="720" w:type="dxa"/>
            <w:vAlign w:val="bottom"/>
            <w:gridSpan w:val="2"/>
            <w:shd w:val="clear" w:color="auto" w:fill="435F86"/>
          </w:tcPr>
          <w:p>
            <w:pPr>
              <w:spacing w:after="0" w:line="20" w:lineRule="exact"/>
              <w:rPr>
                <w:sz w:val="1"/>
                <w:szCs w:val="1"/>
                <w:color w:val="auto"/>
              </w:rPr>
            </w:pPr>
          </w:p>
        </w:tc>
        <w:tc>
          <w:tcPr>
            <w:tcW w:w="1320" w:type="dxa"/>
            <w:vAlign w:val="bottom"/>
            <w:gridSpan w:val="3"/>
            <w:shd w:val="clear" w:color="auto" w:fill="435F86"/>
          </w:tcPr>
          <w:p>
            <w:pPr>
              <w:spacing w:after="0" w:line="20" w:lineRule="exact"/>
              <w:rPr>
                <w:sz w:val="1"/>
                <w:szCs w:val="1"/>
                <w:color w:val="auto"/>
              </w:rPr>
            </w:pPr>
          </w:p>
        </w:tc>
        <w:tc>
          <w:tcPr>
            <w:tcW w:w="720" w:type="dxa"/>
            <w:vAlign w:val="bottom"/>
            <w:gridSpan w:val="2"/>
            <w:shd w:val="clear" w:color="auto" w:fill="435F86"/>
          </w:tcPr>
          <w:p>
            <w:pPr>
              <w:spacing w:after="0" w:line="20" w:lineRule="exact"/>
              <w:rPr>
                <w:sz w:val="1"/>
                <w:szCs w:val="1"/>
                <w:color w:val="auto"/>
              </w:rPr>
            </w:pPr>
          </w:p>
        </w:tc>
        <w:tc>
          <w:tcPr>
            <w:tcW w:w="1180" w:type="dxa"/>
            <w:vAlign w:val="bottom"/>
            <w:gridSpan w:val="3"/>
            <w:shd w:val="clear" w:color="auto" w:fill="435F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2760" w:type="dxa"/>
            <w:vAlign w:val="bottom"/>
          </w:tcPr>
          <w:p>
            <w:pPr>
              <w:ind w:left="2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Michael B. Petras, Jr.</w:t>
            </w:r>
            <w:r>
              <w:rPr>
                <w:rFonts w:ascii="Arial" w:cs="Arial" w:eastAsia="Arial" w:hAnsi="Arial"/>
                <w:sz w:val="20"/>
                <w:szCs w:val="20"/>
                <w:color w:val="auto"/>
                <w:vertAlign w:val="superscript"/>
              </w:rPr>
              <w:t>(2)</w:t>
            </w:r>
          </w:p>
        </w:tc>
        <w:tc>
          <w:tcPr>
            <w:tcW w:w="800" w:type="dxa"/>
            <w:vAlign w:val="bottom"/>
          </w:tcPr>
          <w:p>
            <w:pPr>
              <w:ind w:left="30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88%</w:t>
            </w:r>
          </w:p>
        </w:tc>
        <w:tc>
          <w:tcPr>
            <w:tcW w:w="1220" w:type="dxa"/>
            <w:vAlign w:val="bottom"/>
            <w:gridSpan w:val="3"/>
          </w:tcPr>
          <w:p>
            <w:pPr>
              <w:jc w:val="right"/>
              <w:spacing w:after="0" w:line="265"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$ 952,320 </w:t>
            </w:r>
            <w:r>
              <w:rPr>
                <w:rFonts w:ascii="Arial" w:cs="Arial" w:eastAsia="Arial" w:hAnsi="Arial"/>
                <w:sz w:val="30"/>
                <w:szCs w:val="30"/>
                <w:color w:val="auto"/>
                <w:vertAlign w:val="subscript"/>
              </w:rPr>
              <w:t>​ ​</w:t>
            </w:r>
          </w:p>
        </w:tc>
        <w:tc>
          <w:tcPr>
            <w:tcW w:w="720" w:type="dxa"/>
            <w:vAlign w:val="bottom"/>
            <w:gridSpan w:val="2"/>
          </w:tcPr>
          <w:p>
            <w:pPr>
              <w:jc w:val="right"/>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125%</w:t>
            </w:r>
          </w:p>
        </w:tc>
        <w:tc>
          <w:tcPr>
            <w:tcW w:w="1320" w:type="dxa"/>
            <w:vAlign w:val="bottom"/>
            <w:gridSpan w:val="3"/>
          </w:tcPr>
          <w:p>
            <w:pPr>
              <w:jc w:val="right"/>
              <w:spacing w:after="0" w:line="265"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$ 1,360,457 </w:t>
            </w:r>
            <w:r>
              <w:rPr>
                <w:rFonts w:ascii="Arial" w:cs="Arial" w:eastAsia="Arial" w:hAnsi="Arial"/>
                <w:sz w:val="30"/>
                <w:szCs w:val="30"/>
                <w:color w:val="auto"/>
                <w:vertAlign w:val="subscript"/>
              </w:rPr>
              <w:t>​ ​</w:t>
            </w:r>
          </w:p>
        </w:tc>
        <w:tc>
          <w:tcPr>
            <w:tcW w:w="720" w:type="dxa"/>
            <w:vAlign w:val="bottom"/>
            <w:gridSpan w:val="2"/>
          </w:tcPr>
          <w:p>
            <w:pPr>
              <w:jc w:val="right"/>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118%</w:t>
            </w:r>
          </w:p>
        </w:tc>
        <w:tc>
          <w:tcPr>
            <w:tcW w:w="1200" w:type="dxa"/>
            <w:vAlign w:val="bottom"/>
            <w:gridSpan w:val="4"/>
          </w:tcPr>
          <w:p>
            <w:pPr>
              <w:jc w:val="right"/>
              <w:spacing w:after="0" w:line="265" w:lineRule="exact"/>
              <w:rPr>
                <w:sz w:val="20"/>
                <w:szCs w:val="20"/>
                <w:color w:val="auto"/>
              </w:rPr>
            </w:pPr>
            <w:r>
              <w:rPr>
                <w:rFonts w:ascii="Arial" w:cs="Arial" w:eastAsia="Arial" w:hAnsi="Arial"/>
                <w:sz w:val="30"/>
                <w:szCs w:val="30"/>
                <w:color w:val="auto"/>
                <w:vertAlign w:val="subscript"/>
              </w:rPr>
              <w:t>​ ​ ​​</w:t>
            </w:r>
            <w:r>
              <w:rPr>
                <w:rFonts w:ascii="Arial" w:cs="Arial" w:eastAsia="Arial" w:hAnsi="Arial"/>
                <w:sz w:val="16"/>
                <w:szCs w:val="16"/>
                <w:color w:val="auto"/>
              </w:rPr>
              <w:t xml:space="preserve">$1,278,830 </w:t>
            </w:r>
            <w:r>
              <w:rPr>
                <w:rFonts w:ascii="Arial" w:cs="Arial" w:eastAsia="Arial" w:hAnsi="Arial"/>
                <w:sz w:val="30"/>
                <w:szCs w:val="30"/>
                <w:color w:val="auto"/>
                <w:vertAlign w:val="subscript"/>
              </w:rPr>
              <w:t>​</w:t>
            </w:r>
          </w:p>
        </w:tc>
      </w:tr>
      <w:tr>
        <w:trPr>
          <w:trHeight w:val="20"/>
        </w:trPr>
        <w:tc>
          <w:tcPr>
            <w:tcW w:w="2760" w:type="dxa"/>
            <w:vAlign w:val="bottom"/>
            <w:shd w:val="clear" w:color="auto" w:fill="7B8FAA"/>
          </w:tcPr>
          <w:p>
            <w:pPr>
              <w:spacing w:after="0" w:line="20" w:lineRule="exact"/>
              <w:rPr>
                <w:sz w:val="1"/>
                <w:szCs w:val="1"/>
                <w:color w:val="auto"/>
              </w:rPr>
            </w:pPr>
          </w:p>
        </w:tc>
        <w:tc>
          <w:tcPr>
            <w:tcW w:w="80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920" w:type="dxa"/>
            <w:vAlign w:val="bottom"/>
            <w:gridSpan w:val="2"/>
            <w:shd w:val="clear" w:color="auto" w:fill="7B8FAA"/>
          </w:tcPr>
          <w:p>
            <w:pPr>
              <w:spacing w:after="0" w:line="20" w:lineRule="exact"/>
              <w:rPr>
                <w:sz w:val="1"/>
                <w:szCs w:val="1"/>
                <w:color w:val="auto"/>
              </w:rPr>
            </w:pPr>
          </w:p>
        </w:tc>
        <w:tc>
          <w:tcPr>
            <w:tcW w:w="260" w:type="dxa"/>
            <w:vAlign w:val="bottom"/>
            <w:shd w:val="clear" w:color="auto" w:fill="7B8FAA"/>
          </w:tcPr>
          <w:p>
            <w:pPr>
              <w:spacing w:after="0" w:line="20" w:lineRule="exact"/>
              <w:rPr>
                <w:sz w:val="1"/>
                <w:szCs w:val="1"/>
                <w:color w:val="auto"/>
              </w:rPr>
            </w:pPr>
          </w:p>
        </w:tc>
        <w:tc>
          <w:tcPr>
            <w:tcW w:w="460" w:type="dxa"/>
            <w:vAlign w:val="bottom"/>
            <w:shd w:val="clear" w:color="auto" w:fill="7B8FAA"/>
          </w:tcPr>
          <w:p>
            <w:pPr>
              <w:spacing w:after="0" w:line="20" w:lineRule="exact"/>
              <w:rPr>
                <w:sz w:val="1"/>
                <w:szCs w:val="1"/>
                <w:color w:val="auto"/>
              </w:rPr>
            </w:pPr>
          </w:p>
        </w:tc>
        <w:tc>
          <w:tcPr>
            <w:tcW w:w="460" w:type="dxa"/>
            <w:vAlign w:val="bottom"/>
            <w:shd w:val="clear" w:color="auto" w:fill="7B8FAA"/>
          </w:tcPr>
          <w:p>
            <w:pPr>
              <w:spacing w:after="0" w:line="20" w:lineRule="exact"/>
              <w:rPr>
                <w:sz w:val="1"/>
                <w:szCs w:val="1"/>
                <w:color w:val="auto"/>
              </w:rPr>
            </w:pPr>
          </w:p>
        </w:tc>
        <w:tc>
          <w:tcPr>
            <w:tcW w:w="700" w:type="dxa"/>
            <w:vAlign w:val="bottom"/>
            <w:shd w:val="clear" w:color="auto" w:fill="7B8FAA"/>
          </w:tcPr>
          <w:p>
            <w:pPr>
              <w:spacing w:after="0" w:line="20" w:lineRule="exact"/>
              <w:rPr>
                <w:sz w:val="1"/>
                <w:szCs w:val="1"/>
                <w:color w:val="auto"/>
              </w:rPr>
            </w:pPr>
          </w:p>
        </w:tc>
        <w:tc>
          <w:tcPr>
            <w:tcW w:w="16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440" w:type="dxa"/>
            <w:vAlign w:val="bottom"/>
            <w:shd w:val="clear" w:color="auto" w:fill="7B8FAA"/>
          </w:tcPr>
          <w:p>
            <w:pPr>
              <w:spacing w:after="0" w:line="20" w:lineRule="exact"/>
              <w:rPr>
                <w:sz w:val="1"/>
                <w:szCs w:val="1"/>
                <w:color w:val="auto"/>
              </w:rPr>
            </w:pPr>
          </w:p>
        </w:tc>
        <w:tc>
          <w:tcPr>
            <w:tcW w:w="320" w:type="dxa"/>
            <w:vAlign w:val="bottom"/>
            <w:shd w:val="clear" w:color="auto" w:fill="7B8FAA"/>
          </w:tcPr>
          <w:p>
            <w:pPr>
              <w:spacing w:after="0" w:line="20" w:lineRule="exact"/>
              <w:rPr>
                <w:sz w:val="1"/>
                <w:szCs w:val="1"/>
                <w:color w:val="auto"/>
              </w:rPr>
            </w:pPr>
          </w:p>
        </w:tc>
        <w:tc>
          <w:tcPr>
            <w:tcW w:w="860" w:type="dxa"/>
            <w:vAlign w:val="bottom"/>
            <w:gridSpan w:val="2"/>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2760" w:type="dxa"/>
            <w:vAlign w:val="bottom"/>
          </w:tcPr>
          <w:p>
            <w:pPr>
              <w:ind w:left="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Jonathan M. Lyons</w:t>
            </w:r>
            <w:r>
              <w:rPr>
                <w:rFonts w:ascii="Arial" w:cs="Arial" w:eastAsia="Arial" w:hAnsi="Arial"/>
                <w:sz w:val="19"/>
                <w:szCs w:val="19"/>
                <w:color w:val="auto"/>
                <w:vertAlign w:val="superscript"/>
              </w:rPr>
              <w:t>(2)</w:t>
            </w:r>
          </w:p>
        </w:tc>
        <w:tc>
          <w:tcPr>
            <w:tcW w:w="800" w:type="dxa"/>
            <w:vAlign w:val="bottom"/>
          </w:tcPr>
          <w:p>
            <w:pPr>
              <w:ind w:left="3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49%</w:t>
            </w:r>
          </w:p>
        </w:tc>
        <w:tc>
          <w:tcPr>
            <w:tcW w:w="300" w:type="dxa"/>
            <w:vAlign w:val="bottom"/>
          </w:tcPr>
          <w:p>
            <w:pPr>
              <w:jc w:val="center"/>
              <w:spacing w:after="0"/>
              <w:rPr>
                <w:sz w:val="20"/>
                <w:szCs w:val="20"/>
                <w:color w:val="auto"/>
              </w:rPr>
            </w:pPr>
            <w:r>
              <w:rPr>
                <w:rFonts w:ascii="Arial" w:cs="Arial" w:eastAsia="Arial" w:hAnsi="Arial"/>
                <w:sz w:val="17"/>
                <w:szCs w:val="17"/>
                <w:color w:val="auto"/>
              </w:rPr>
              <w:t>​ ​ ​​</w:t>
            </w:r>
          </w:p>
        </w:tc>
        <w:tc>
          <w:tcPr>
            <w:tcW w:w="920" w:type="dxa"/>
            <w:vAlign w:val="bottom"/>
            <w:gridSpan w:val="2"/>
          </w:tcPr>
          <w:p>
            <w:pPr>
              <w:jc w:val="right"/>
              <w:spacing w:after="0" w:line="252" w:lineRule="exact"/>
              <w:rPr>
                <w:sz w:val="20"/>
                <w:szCs w:val="20"/>
                <w:color w:val="auto"/>
              </w:rPr>
            </w:pPr>
            <w:r>
              <w:rPr>
                <w:rFonts w:ascii="Arial" w:cs="Arial" w:eastAsia="Arial" w:hAnsi="Arial"/>
                <w:sz w:val="16"/>
                <w:szCs w:val="16"/>
                <w:color w:val="auto"/>
              </w:rPr>
              <w:t xml:space="preserve">241,702 </w:t>
            </w:r>
            <w:r>
              <w:rPr>
                <w:rFonts w:ascii="Arial" w:cs="Arial" w:eastAsia="Arial" w:hAnsi="Arial"/>
                <w:sz w:val="29"/>
                <w:szCs w:val="29"/>
                <w:color w:val="auto"/>
                <w:vertAlign w:val="subscript"/>
              </w:rPr>
              <w:t>​ ​</w:t>
            </w: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70%</w:t>
            </w:r>
          </w:p>
        </w:tc>
        <w:tc>
          <w:tcPr>
            <w:tcW w:w="460" w:type="dxa"/>
            <w:vAlign w:val="bottom"/>
          </w:tcPr>
          <w:p>
            <w:pPr>
              <w:jc w:val="center"/>
              <w:ind w:right="98"/>
              <w:spacing w:after="0"/>
              <w:rPr>
                <w:sz w:val="20"/>
                <w:szCs w:val="20"/>
                <w:color w:val="auto"/>
              </w:rPr>
            </w:pPr>
            <w:r>
              <w:rPr>
                <w:rFonts w:ascii="Arial" w:cs="Arial" w:eastAsia="Arial" w:hAnsi="Arial"/>
                <w:sz w:val="17"/>
                <w:szCs w:val="17"/>
                <w:color w:val="auto"/>
              </w:rPr>
              <w:t>​​ ​​</w:t>
            </w:r>
          </w:p>
        </w:tc>
        <w:tc>
          <w:tcPr>
            <w:tcW w:w="700" w:type="dxa"/>
            <w:vAlign w:val="bottom"/>
          </w:tcPr>
          <w:p>
            <w:pPr>
              <w:jc w:val="right"/>
              <w:spacing w:after="0"/>
              <w:rPr>
                <w:sz w:val="20"/>
                <w:szCs w:val="20"/>
                <w:color w:val="auto"/>
              </w:rPr>
            </w:pPr>
            <w:r>
              <w:rPr>
                <w:rFonts w:ascii="Arial" w:cs="Arial" w:eastAsia="Arial" w:hAnsi="Arial"/>
                <w:sz w:val="17"/>
                <w:szCs w:val="17"/>
                <w:color w:val="auto"/>
              </w:rPr>
              <w:t>345,289</w:t>
            </w:r>
          </w:p>
        </w:tc>
        <w:tc>
          <w:tcPr>
            <w:tcW w:w="16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66%</w:t>
            </w:r>
          </w:p>
        </w:tc>
        <w:tc>
          <w:tcPr>
            <w:tcW w:w="320" w:type="dxa"/>
            <w:vAlign w:val="bottom"/>
          </w:tcPr>
          <w:p>
            <w:pPr>
              <w:jc w:val="center"/>
              <w:spacing w:after="0"/>
              <w:rPr>
                <w:sz w:val="20"/>
                <w:szCs w:val="20"/>
                <w:color w:val="auto"/>
              </w:rPr>
            </w:pPr>
            <w:r>
              <w:rPr>
                <w:rFonts w:ascii="Arial" w:cs="Arial" w:eastAsia="Arial" w:hAnsi="Arial"/>
                <w:sz w:val="17"/>
                <w:szCs w:val="17"/>
                <w:color w:val="auto"/>
              </w:rPr>
              <w:t>​ ​ ​​</w:t>
            </w:r>
          </w:p>
        </w:tc>
        <w:tc>
          <w:tcPr>
            <w:tcW w:w="88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 xml:space="preserve">324,571 </w:t>
            </w:r>
            <w:r>
              <w:rPr>
                <w:rFonts w:ascii="Arial" w:cs="Arial" w:eastAsia="Arial" w:hAnsi="Arial"/>
                <w:sz w:val="29"/>
                <w:szCs w:val="29"/>
                <w:color w:val="auto"/>
                <w:vertAlign w:val="subscript"/>
              </w:rPr>
              <w:t>​</w:t>
            </w:r>
          </w:p>
        </w:tc>
      </w:tr>
      <w:tr>
        <w:trPr>
          <w:trHeight w:val="20"/>
        </w:trPr>
        <w:tc>
          <w:tcPr>
            <w:tcW w:w="2760" w:type="dxa"/>
            <w:vAlign w:val="bottom"/>
            <w:shd w:val="clear" w:color="auto" w:fill="7B8FAA"/>
          </w:tcPr>
          <w:p>
            <w:pPr>
              <w:spacing w:after="0" w:line="20" w:lineRule="exact"/>
              <w:rPr>
                <w:sz w:val="1"/>
                <w:szCs w:val="1"/>
                <w:color w:val="auto"/>
              </w:rPr>
            </w:pPr>
          </w:p>
        </w:tc>
        <w:tc>
          <w:tcPr>
            <w:tcW w:w="80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920" w:type="dxa"/>
            <w:vAlign w:val="bottom"/>
            <w:gridSpan w:val="2"/>
            <w:shd w:val="clear" w:color="auto" w:fill="7B8FAA"/>
          </w:tcPr>
          <w:p>
            <w:pPr>
              <w:spacing w:after="0" w:line="20" w:lineRule="exact"/>
              <w:rPr>
                <w:sz w:val="1"/>
                <w:szCs w:val="1"/>
                <w:color w:val="auto"/>
              </w:rPr>
            </w:pPr>
          </w:p>
        </w:tc>
        <w:tc>
          <w:tcPr>
            <w:tcW w:w="260" w:type="dxa"/>
            <w:vAlign w:val="bottom"/>
            <w:shd w:val="clear" w:color="auto" w:fill="7B8FAA"/>
          </w:tcPr>
          <w:p>
            <w:pPr>
              <w:spacing w:after="0" w:line="20" w:lineRule="exact"/>
              <w:rPr>
                <w:sz w:val="1"/>
                <w:szCs w:val="1"/>
                <w:color w:val="auto"/>
              </w:rPr>
            </w:pPr>
          </w:p>
        </w:tc>
        <w:tc>
          <w:tcPr>
            <w:tcW w:w="460" w:type="dxa"/>
            <w:vAlign w:val="bottom"/>
            <w:shd w:val="clear" w:color="auto" w:fill="7B8FAA"/>
          </w:tcPr>
          <w:p>
            <w:pPr>
              <w:spacing w:after="0" w:line="20" w:lineRule="exact"/>
              <w:rPr>
                <w:sz w:val="1"/>
                <w:szCs w:val="1"/>
                <w:color w:val="auto"/>
              </w:rPr>
            </w:pPr>
          </w:p>
        </w:tc>
        <w:tc>
          <w:tcPr>
            <w:tcW w:w="460" w:type="dxa"/>
            <w:vAlign w:val="bottom"/>
            <w:shd w:val="clear" w:color="auto" w:fill="7B8FAA"/>
          </w:tcPr>
          <w:p>
            <w:pPr>
              <w:spacing w:after="0" w:line="20" w:lineRule="exact"/>
              <w:rPr>
                <w:sz w:val="1"/>
                <w:szCs w:val="1"/>
                <w:color w:val="auto"/>
              </w:rPr>
            </w:pPr>
          </w:p>
        </w:tc>
        <w:tc>
          <w:tcPr>
            <w:tcW w:w="700" w:type="dxa"/>
            <w:vAlign w:val="bottom"/>
            <w:shd w:val="clear" w:color="auto" w:fill="7B8FAA"/>
          </w:tcPr>
          <w:p>
            <w:pPr>
              <w:spacing w:after="0" w:line="20" w:lineRule="exact"/>
              <w:rPr>
                <w:sz w:val="1"/>
                <w:szCs w:val="1"/>
                <w:color w:val="auto"/>
              </w:rPr>
            </w:pPr>
          </w:p>
        </w:tc>
        <w:tc>
          <w:tcPr>
            <w:tcW w:w="16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440" w:type="dxa"/>
            <w:vAlign w:val="bottom"/>
            <w:shd w:val="clear" w:color="auto" w:fill="7B8FAA"/>
          </w:tcPr>
          <w:p>
            <w:pPr>
              <w:spacing w:after="0" w:line="20" w:lineRule="exact"/>
              <w:rPr>
                <w:sz w:val="1"/>
                <w:szCs w:val="1"/>
                <w:color w:val="auto"/>
              </w:rPr>
            </w:pPr>
          </w:p>
        </w:tc>
        <w:tc>
          <w:tcPr>
            <w:tcW w:w="320" w:type="dxa"/>
            <w:vAlign w:val="bottom"/>
            <w:shd w:val="clear" w:color="auto" w:fill="7B8FAA"/>
          </w:tcPr>
          <w:p>
            <w:pPr>
              <w:spacing w:after="0" w:line="20" w:lineRule="exact"/>
              <w:rPr>
                <w:sz w:val="1"/>
                <w:szCs w:val="1"/>
                <w:color w:val="auto"/>
              </w:rPr>
            </w:pPr>
          </w:p>
        </w:tc>
        <w:tc>
          <w:tcPr>
            <w:tcW w:w="860" w:type="dxa"/>
            <w:vAlign w:val="bottom"/>
            <w:gridSpan w:val="2"/>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2760" w:type="dxa"/>
            <w:vAlign w:val="bottom"/>
          </w:tcPr>
          <w:p>
            <w:pPr>
              <w:ind w:left="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Michael P. Rutz</w:t>
            </w:r>
            <w:r>
              <w:rPr>
                <w:rFonts w:ascii="Arial" w:cs="Arial" w:eastAsia="Arial" w:hAnsi="Arial"/>
                <w:sz w:val="19"/>
                <w:szCs w:val="19"/>
                <w:color w:val="auto"/>
                <w:vertAlign w:val="superscript"/>
              </w:rPr>
              <w:t>(2)</w:t>
            </w:r>
          </w:p>
        </w:tc>
        <w:tc>
          <w:tcPr>
            <w:tcW w:w="800" w:type="dxa"/>
            <w:vAlign w:val="bottom"/>
          </w:tcPr>
          <w:p>
            <w:pPr>
              <w:ind w:left="3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42%</w:t>
            </w:r>
          </w:p>
        </w:tc>
        <w:tc>
          <w:tcPr>
            <w:tcW w:w="300" w:type="dxa"/>
            <w:vAlign w:val="bottom"/>
          </w:tcPr>
          <w:p>
            <w:pPr>
              <w:jc w:val="center"/>
              <w:spacing w:after="0"/>
              <w:rPr>
                <w:sz w:val="20"/>
                <w:szCs w:val="20"/>
                <w:color w:val="auto"/>
              </w:rPr>
            </w:pPr>
            <w:r>
              <w:rPr>
                <w:rFonts w:ascii="Arial" w:cs="Arial" w:eastAsia="Arial" w:hAnsi="Arial"/>
                <w:sz w:val="17"/>
                <w:szCs w:val="17"/>
                <w:color w:val="auto"/>
              </w:rPr>
              <w:t>​ ​ ​​</w:t>
            </w:r>
          </w:p>
        </w:tc>
        <w:tc>
          <w:tcPr>
            <w:tcW w:w="920" w:type="dxa"/>
            <w:vAlign w:val="bottom"/>
            <w:gridSpan w:val="2"/>
          </w:tcPr>
          <w:p>
            <w:pPr>
              <w:jc w:val="right"/>
              <w:spacing w:after="0" w:line="252" w:lineRule="exact"/>
              <w:rPr>
                <w:sz w:val="20"/>
                <w:szCs w:val="20"/>
                <w:color w:val="auto"/>
              </w:rPr>
            </w:pPr>
            <w:r>
              <w:rPr>
                <w:rFonts w:ascii="Arial" w:cs="Arial" w:eastAsia="Arial" w:hAnsi="Arial"/>
                <w:sz w:val="16"/>
                <w:szCs w:val="16"/>
                <w:color w:val="auto"/>
              </w:rPr>
              <w:t xml:space="preserve">206,608 </w:t>
            </w:r>
            <w:r>
              <w:rPr>
                <w:rFonts w:ascii="Arial" w:cs="Arial" w:eastAsia="Arial" w:hAnsi="Arial"/>
                <w:sz w:val="29"/>
                <w:szCs w:val="29"/>
                <w:color w:val="auto"/>
                <w:vertAlign w:val="subscript"/>
              </w:rPr>
              <w:t>​ ​</w:t>
            </w:r>
          </w:p>
        </w:tc>
        <w:tc>
          <w:tcPr>
            <w:tcW w:w="260" w:type="dxa"/>
            <w:vAlign w:val="bottom"/>
          </w:tcPr>
          <w:p>
            <w:pPr>
              <w:ind w:left="16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460" w:type="dxa"/>
            <w:vAlign w:val="bottom"/>
          </w:tcPr>
          <w:p>
            <w:pPr>
              <w:jc w:val="center"/>
              <w:ind w:right="98"/>
              <w:spacing w:after="0"/>
              <w:rPr>
                <w:sz w:val="20"/>
                <w:szCs w:val="20"/>
                <w:color w:val="auto"/>
              </w:rPr>
            </w:pPr>
            <w:r>
              <w:rPr>
                <w:rFonts w:ascii="Arial" w:cs="Arial" w:eastAsia="Arial" w:hAnsi="Arial"/>
                <w:sz w:val="17"/>
                <w:szCs w:val="17"/>
                <w:color w:val="auto"/>
              </w:rPr>
              <w:t>​​ ​​</w:t>
            </w:r>
          </w:p>
        </w:tc>
        <w:tc>
          <w:tcPr>
            <w:tcW w:w="700" w:type="dxa"/>
            <w:vAlign w:val="bottom"/>
          </w:tcPr>
          <w:p>
            <w:pPr>
              <w:jc w:val="right"/>
              <w:spacing w:after="0"/>
              <w:rPr>
                <w:sz w:val="20"/>
                <w:szCs w:val="20"/>
                <w:color w:val="auto"/>
              </w:rPr>
            </w:pPr>
            <w:r>
              <w:rPr>
                <w:rFonts w:ascii="Arial" w:cs="Arial" w:eastAsia="Arial" w:hAnsi="Arial"/>
                <w:sz w:val="17"/>
                <w:szCs w:val="17"/>
                <w:color w:val="auto"/>
              </w:rPr>
              <w:t>295,154</w:t>
            </w:r>
          </w:p>
        </w:tc>
        <w:tc>
          <w:tcPr>
            <w:tcW w:w="16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55%</w:t>
            </w:r>
          </w:p>
        </w:tc>
        <w:tc>
          <w:tcPr>
            <w:tcW w:w="320" w:type="dxa"/>
            <w:vAlign w:val="bottom"/>
          </w:tcPr>
          <w:p>
            <w:pPr>
              <w:jc w:val="center"/>
              <w:spacing w:after="0"/>
              <w:rPr>
                <w:sz w:val="20"/>
                <w:szCs w:val="20"/>
                <w:color w:val="auto"/>
              </w:rPr>
            </w:pPr>
            <w:r>
              <w:rPr>
                <w:rFonts w:ascii="Arial" w:cs="Arial" w:eastAsia="Arial" w:hAnsi="Arial"/>
                <w:sz w:val="17"/>
                <w:szCs w:val="17"/>
                <w:color w:val="auto"/>
              </w:rPr>
              <w:t>​ ​ ​​</w:t>
            </w:r>
          </w:p>
        </w:tc>
        <w:tc>
          <w:tcPr>
            <w:tcW w:w="88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 xml:space="preserve">270,804 </w:t>
            </w:r>
            <w:r>
              <w:rPr>
                <w:rFonts w:ascii="Arial" w:cs="Arial" w:eastAsia="Arial" w:hAnsi="Arial"/>
                <w:sz w:val="29"/>
                <w:szCs w:val="29"/>
                <w:color w:val="auto"/>
                <w:vertAlign w:val="subscript"/>
              </w:rPr>
              <w:t>​</w:t>
            </w:r>
          </w:p>
        </w:tc>
      </w:tr>
      <w:tr>
        <w:trPr>
          <w:trHeight w:val="20"/>
        </w:trPr>
        <w:tc>
          <w:tcPr>
            <w:tcW w:w="2760" w:type="dxa"/>
            <w:vAlign w:val="bottom"/>
            <w:shd w:val="clear" w:color="auto" w:fill="7B8FAA"/>
          </w:tcPr>
          <w:p>
            <w:pPr>
              <w:spacing w:after="0" w:line="20" w:lineRule="exact"/>
              <w:rPr>
                <w:sz w:val="1"/>
                <w:szCs w:val="1"/>
                <w:color w:val="auto"/>
              </w:rPr>
            </w:pPr>
          </w:p>
        </w:tc>
        <w:tc>
          <w:tcPr>
            <w:tcW w:w="800" w:type="dxa"/>
            <w:vAlign w:val="bottom"/>
            <w:shd w:val="clear" w:color="auto" w:fill="7B8FAA"/>
          </w:tcPr>
          <w:p>
            <w:pPr>
              <w:spacing w:after="0" w:line="20" w:lineRule="exact"/>
              <w:rPr>
                <w:sz w:val="1"/>
                <w:szCs w:val="1"/>
                <w:color w:val="auto"/>
              </w:rPr>
            </w:pPr>
          </w:p>
        </w:tc>
        <w:tc>
          <w:tcPr>
            <w:tcW w:w="300" w:type="dxa"/>
            <w:vAlign w:val="bottom"/>
            <w:shd w:val="clear" w:color="auto" w:fill="7B8FAA"/>
          </w:tcPr>
          <w:p>
            <w:pPr>
              <w:spacing w:after="0" w:line="20" w:lineRule="exact"/>
              <w:rPr>
                <w:sz w:val="1"/>
                <w:szCs w:val="1"/>
                <w:color w:val="auto"/>
              </w:rPr>
            </w:pPr>
          </w:p>
        </w:tc>
        <w:tc>
          <w:tcPr>
            <w:tcW w:w="920" w:type="dxa"/>
            <w:vAlign w:val="bottom"/>
            <w:gridSpan w:val="2"/>
            <w:shd w:val="clear" w:color="auto" w:fill="7B8FAA"/>
          </w:tcPr>
          <w:p>
            <w:pPr>
              <w:spacing w:after="0" w:line="20" w:lineRule="exact"/>
              <w:rPr>
                <w:sz w:val="1"/>
                <w:szCs w:val="1"/>
                <w:color w:val="auto"/>
              </w:rPr>
            </w:pPr>
          </w:p>
        </w:tc>
        <w:tc>
          <w:tcPr>
            <w:tcW w:w="260" w:type="dxa"/>
            <w:vAlign w:val="bottom"/>
            <w:shd w:val="clear" w:color="auto" w:fill="7B8FAA"/>
          </w:tcPr>
          <w:p>
            <w:pPr>
              <w:spacing w:after="0" w:line="20" w:lineRule="exact"/>
              <w:rPr>
                <w:sz w:val="1"/>
                <w:szCs w:val="1"/>
                <w:color w:val="auto"/>
              </w:rPr>
            </w:pPr>
          </w:p>
        </w:tc>
        <w:tc>
          <w:tcPr>
            <w:tcW w:w="460" w:type="dxa"/>
            <w:vAlign w:val="bottom"/>
            <w:shd w:val="clear" w:color="auto" w:fill="7B8FAA"/>
          </w:tcPr>
          <w:p>
            <w:pPr>
              <w:spacing w:after="0" w:line="20" w:lineRule="exact"/>
              <w:rPr>
                <w:sz w:val="1"/>
                <w:szCs w:val="1"/>
                <w:color w:val="auto"/>
              </w:rPr>
            </w:pPr>
          </w:p>
        </w:tc>
        <w:tc>
          <w:tcPr>
            <w:tcW w:w="460" w:type="dxa"/>
            <w:vAlign w:val="bottom"/>
            <w:shd w:val="clear" w:color="auto" w:fill="7B8FAA"/>
          </w:tcPr>
          <w:p>
            <w:pPr>
              <w:spacing w:after="0" w:line="20" w:lineRule="exact"/>
              <w:rPr>
                <w:sz w:val="1"/>
                <w:szCs w:val="1"/>
                <w:color w:val="auto"/>
              </w:rPr>
            </w:pPr>
          </w:p>
        </w:tc>
        <w:tc>
          <w:tcPr>
            <w:tcW w:w="700" w:type="dxa"/>
            <w:vAlign w:val="bottom"/>
            <w:shd w:val="clear" w:color="auto" w:fill="7B8FAA"/>
          </w:tcPr>
          <w:p>
            <w:pPr>
              <w:spacing w:after="0" w:line="20" w:lineRule="exact"/>
              <w:rPr>
                <w:sz w:val="1"/>
                <w:szCs w:val="1"/>
                <w:color w:val="auto"/>
              </w:rPr>
            </w:pPr>
          </w:p>
        </w:tc>
        <w:tc>
          <w:tcPr>
            <w:tcW w:w="16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440" w:type="dxa"/>
            <w:vAlign w:val="bottom"/>
            <w:shd w:val="clear" w:color="auto" w:fill="7B8FAA"/>
          </w:tcPr>
          <w:p>
            <w:pPr>
              <w:spacing w:after="0" w:line="20" w:lineRule="exact"/>
              <w:rPr>
                <w:sz w:val="1"/>
                <w:szCs w:val="1"/>
                <w:color w:val="auto"/>
              </w:rPr>
            </w:pPr>
          </w:p>
        </w:tc>
        <w:tc>
          <w:tcPr>
            <w:tcW w:w="320" w:type="dxa"/>
            <w:vAlign w:val="bottom"/>
            <w:shd w:val="clear" w:color="auto" w:fill="7B8FAA"/>
          </w:tcPr>
          <w:p>
            <w:pPr>
              <w:spacing w:after="0" w:line="20" w:lineRule="exact"/>
              <w:rPr>
                <w:sz w:val="1"/>
                <w:szCs w:val="1"/>
                <w:color w:val="auto"/>
              </w:rPr>
            </w:pPr>
          </w:p>
        </w:tc>
        <w:tc>
          <w:tcPr>
            <w:tcW w:w="860" w:type="dxa"/>
            <w:vAlign w:val="bottom"/>
            <w:gridSpan w:val="2"/>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3"/>
        </w:trPr>
        <w:tc>
          <w:tcPr>
            <w:tcW w:w="2760" w:type="dxa"/>
            <w:vAlign w:val="bottom"/>
            <w:tcBorders>
              <w:bottom w:val="single" w:sz="8" w:color="435F86"/>
            </w:tcBorders>
          </w:tcPr>
          <w:p>
            <w:pPr>
              <w:ind w:left="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Alexander Dimitrief</w:t>
            </w:r>
          </w:p>
        </w:tc>
        <w:tc>
          <w:tcPr>
            <w:tcW w:w="800" w:type="dxa"/>
            <w:vAlign w:val="bottom"/>
            <w:tcBorders>
              <w:bottom w:val="single" w:sz="8" w:color="435F86"/>
            </w:tcBorders>
          </w:tcPr>
          <w:p>
            <w:pPr>
              <w:ind w:left="3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35%</w:t>
            </w:r>
          </w:p>
        </w:tc>
        <w:tc>
          <w:tcPr>
            <w:tcW w:w="300" w:type="dxa"/>
            <w:vAlign w:val="bottom"/>
            <w:tcBorders>
              <w:bottom w:val="single" w:sz="8" w:color="435F86"/>
            </w:tcBorders>
          </w:tcPr>
          <w:p>
            <w:pPr>
              <w:jc w:val="center"/>
              <w:spacing w:after="0"/>
              <w:rPr>
                <w:sz w:val="20"/>
                <w:szCs w:val="20"/>
                <w:color w:val="auto"/>
              </w:rPr>
            </w:pPr>
            <w:r>
              <w:rPr>
                <w:rFonts w:ascii="Arial" w:cs="Arial" w:eastAsia="Arial" w:hAnsi="Arial"/>
                <w:sz w:val="17"/>
                <w:szCs w:val="17"/>
                <w:color w:val="auto"/>
              </w:rPr>
              <w:t>​ ​ ​​</w:t>
            </w:r>
          </w:p>
        </w:tc>
        <w:tc>
          <w:tcPr>
            <w:tcW w:w="920" w:type="dxa"/>
            <w:vAlign w:val="bottom"/>
            <w:tcBorders>
              <w:bottom w:val="single" w:sz="8" w:color="435F86"/>
            </w:tcBorders>
            <w:gridSpan w:val="2"/>
          </w:tcPr>
          <w:p>
            <w:pPr>
              <w:jc w:val="right"/>
              <w:spacing w:after="0" w:line="252" w:lineRule="exact"/>
              <w:rPr>
                <w:sz w:val="20"/>
                <w:szCs w:val="20"/>
                <w:color w:val="auto"/>
              </w:rPr>
            </w:pPr>
            <w:r>
              <w:rPr>
                <w:rFonts w:ascii="Arial" w:cs="Arial" w:eastAsia="Arial" w:hAnsi="Arial"/>
                <w:sz w:val="16"/>
                <w:szCs w:val="16"/>
                <w:color w:val="auto"/>
              </w:rPr>
              <w:t xml:space="preserve">210,000 </w:t>
            </w:r>
            <w:r>
              <w:rPr>
                <w:rFonts w:ascii="Arial" w:cs="Arial" w:eastAsia="Arial" w:hAnsi="Arial"/>
                <w:sz w:val="29"/>
                <w:szCs w:val="29"/>
                <w:color w:val="auto"/>
                <w:vertAlign w:val="subscript"/>
              </w:rPr>
              <w:t>​ ​</w:t>
            </w:r>
          </w:p>
        </w:tc>
        <w:tc>
          <w:tcPr>
            <w:tcW w:w="260" w:type="dxa"/>
            <w:vAlign w:val="bottom"/>
            <w:tcBorders>
              <w:bottom w:val="single" w:sz="8" w:color="435F86"/>
            </w:tcBorders>
          </w:tcPr>
          <w:p>
            <w:pPr>
              <w:ind w:left="16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50%</w:t>
            </w:r>
          </w:p>
        </w:tc>
        <w:tc>
          <w:tcPr>
            <w:tcW w:w="460" w:type="dxa"/>
            <w:vAlign w:val="bottom"/>
            <w:tcBorders>
              <w:bottom w:val="single" w:sz="8" w:color="435F86"/>
            </w:tcBorders>
          </w:tcPr>
          <w:p>
            <w:pPr>
              <w:jc w:val="center"/>
              <w:ind w:right="98"/>
              <w:spacing w:after="0"/>
              <w:rPr>
                <w:sz w:val="20"/>
                <w:szCs w:val="20"/>
                <w:color w:val="auto"/>
              </w:rPr>
            </w:pPr>
            <w:r>
              <w:rPr>
                <w:rFonts w:ascii="Arial" w:cs="Arial" w:eastAsia="Arial" w:hAnsi="Arial"/>
                <w:sz w:val="17"/>
                <w:szCs w:val="17"/>
                <w:color w:val="auto"/>
              </w:rPr>
              <w:t>​​ ​​</w:t>
            </w:r>
          </w:p>
        </w:tc>
        <w:tc>
          <w:tcPr>
            <w:tcW w:w="70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300,000</w:t>
            </w:r>
          </w:p>
        </w:tc>
        <w:tc>
          <w:tcPr>
            <w:tcW w:w="16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 ​</w:t>
            </w:r>
          </w:p>
        </w:tc>
        <w:tc>
          <w:tcPr>
            <w:tcW w:w="280" w:type="dxa"/>
            <w:vAlign w:val="bottom"/>
            <w:tcBorders>
              <w:bottom w:val="single" w:sz="8" w:color="435F86"/>
            </w:tcBorders>
          </w:tcPr>
          <w:p>
            <w:pPr>
              <w:ind w:left="18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47%</w:t>
            </w:r>
          </w:p>
        </w:tc>
        <w:tc>
          <w:tcPr>
            <w:tcW w:w="320" w:type="dxa"/>
            <w:vAlign w:val="bottom"/>
            <w:tcBorders>
              <w:bottom w:val="single" w:sz="8" w:color="435F86"/>
            </w:tcBorders>
          </w:tcPr>
          <w:p>
            <w:pPr>
              <w:jc w:val="center"/>
              <w:spacing w:after="0"/>
              <w:rPr>
                <w:sz w:val="20"/>
                <w:szCs w:val="20"/>
                <w:color w:val="auto"/>
              </w:rPr>
            </w:pPr>
            <w:r>
              <w:rPr>
                <w:rFonts w:ascii="Arial" w:cs="Arial" w:eastAsia="Arial" w:hAnsi="Arial"/>
                <w:sz w:val="17"/>
                <w:szCs w:val="17"/>
                <w:color w:val="auto"/>
              </w:rPr>
              <w:t>​ ​ ​​</w:t>
            </w:r>
          </w:p>
        </w:tc>
        <w:tc>
          <w:tcPr>
            <w:tcW w:w="880" w:type="dxa"/>
            <w:vAlign w:val="bottom"/>
            <w:tcBorders>
              <w:bottom w:val="single" w:sz="8" w:color="435F86"/>
            </w:tcBorders>
            <w:gridSpan w:val="3"/>
          </w:tcPr>
          <w:p>
            <w:pPr>
              <w:jc w:val="right"/>
              <w:spacing w:after="0" w:line="252" w:lineRule="exact"/>
              <w:rPr>
                <w:sz w:val="20"/>
                <w:szCs w:val="20"/>
                <w:color w:val="auto"/>
              </w:rPr>
            </w:pPr>
            <w:r>
              <w:rPr>
                <w:rFonts w:ascii="Arial" w:cs="Arial" w:eastAsia="Arial" w:hAnsi="Arial"/>
                <w:sz w:val="16"/>
                <w:szCs w:val="16"/>
                <w:color w:val="auto"/>
              </w:rPr>
              <w:t xml:space="preserve">282,000 </w:t>
            </w:r>
            <w:r>
              <w:rPr>
                <w:rFonts w:ascii="Arial" w:cs="Arial" w:eastAsia="Arial" w:hAnsi="Arial"/>
                <w:sz w:val="29"/>
                <w:szCs w:val="29"/>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-708025</wp:posOffset>
            </wp:positionV>
            <wp:extent cx="5538470" cy="181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38470" cy="18161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-353695</wp:posOffset>
            </wp:positionV>
            <wp:extent cx="5538470" cy="1733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38470" cy="173355"/>
                    </a:xfrm>
                    <a:prstGeom prst="rect">
                      <a:avLst/>
                    </a:prstGeom>
                    <a:noFill/>
                  </pic:spPr>
                </pic:pic>
              </a:graphicData>
            </a:graphic>
          </wp:anchor>
        </w:drawing>
      </w:r>
    </w:p>
    <w:p>
      <w:pPr>
        <w:spacing w:after="0" w:line="119" w:lineRule="exact"/>
        <w:rPr>
          <w:sz w:val="20"/>
          <w:szCs w:val="20"/>
          <w:color w:val="auto"/>
        </w:rPr>
      </w:pPr>
    </w:p>
    <w:p>
      <w:pPr>
        <w:ind w:left="1120" w:hanging="337"/>
        <w:spacing w:after="0"/>
        <w:tabs>
          <w:tab w:leader="none" w:pos="11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payout is made for performance below threshold levels.</w:t>
      </w:r>
    </w:p>
    <w:p>
      <w:pPr>
        <w:spacing w:after="0" w:line="77" w:lineRule="exact"/>
        <w:rPr>
          <w:rFonts w:ascii="Arial" w:cs="Arial" w:eastAsia="Arial" w:hAnsi="Arial"/>
          <w:sz w:val="17"/>
          <w:szCs w:val="17"/>
          <w:color w:val="auto"/>
        </w:rPr>
      </w:pPr>
    </w:p>
    <w:p>
      <w:pPr>
        <w:ind w:left="1120" w:right="159" w:hanging="337"/>
        <w:spacing w:after="0" w:line="295" w:lineRule="auto"/>
        <w:tabs>
          <w:tab w:leader="none" w:pos="11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Amounts shown for Messrs. Petras, Rutz and Lyons are blended to reflect their base salary prior to and following his base salary increase.</w:t>
      </w:r>
    </w:p>
    <w:p>
      <w:pPr>
        <w:spacing w:after="0" w:line="129" w:lineRule="exact"/>
        <w:rPr>
          <w:sz w:val="20"/>
          <w:szCs w:val="20"/>
          <w:color w:val="auto"/>
        </w:rPr>
      </w:pPr>
    </w:p>
    <w:p>
      <w:pPr>
        <w:ind w:left="780"/>
        <w:spacing w:after="0"/>
        <w:rPr>
          <w:sz w:val="20"/>
          <w:szCs w:val="20"/>
          <w:color w:val="auto"/>
        </w:rPr>
      </w:pPr>
      <w:r>
        <w:rPr>
          <w:rFonts w:ascii="Arial" w:cs="Arial" w:eastAsia="Arial" w:hAnsi="Arial"/>
          <w:sz w:val="28"/>
          <w:szCs w:val="28"/>
          <w:color w:val="auto"/>
        </w:rPr>
        <w:t>Long-Term Equity Incentive Compensation</w:t>
      </w:r>
    </w:p>
    <w:p>
      <w:pPr>
        <w:spacing w:after="0" w:line="149" w:lineRule="exact"/>
        <w:rPr>
          <w:sz w:val="20"/>
          <w:szCs w:val="20"/>
          <w:color w:val="auto"/>
        </w:rPr>
      </w:pPr>
    </w:p>
    <w:p>
      <w:pPr>
        <w:ind w:left="780" w:right="159"/>
        <w:spacing w:after="0" w:line="251" w:lineRule="auto"/>
        <w:rPr>
          <w:sz w:val="20"/>
          <w:szCs w:val="20"/>
          <w:color w:val="auto"/>
        </w:rPr>
      </w:pPr>
      <w:r>
        <w:rPr>
          <w:rFonts w:ascii="Arial" w:cs="Arial" w:eastAsia="Arial" w:hAnsi="Arial"/>
          <w:sz w:val="20"/>
          <w:szCs w:val="20"/>
          <w:color w:val="auto"/>
        </w:rPr>
        <w:t>Consistent with our compensation philosophy, we use equity incentive compensation to incentivize long-term value creation and align our executives’ interests with those of our shareholders. The LDC Committee also uses equity incentive compensation to attract and retain talent. In 2024, we granted annual long-term equity incentive awards to our named executive officers. Our annual long-term equity incentive awards (the “2024 Annual Equity Awards”) are a component of our annual executive compensation package, designed to incentivize long-term value creation and align executives’ interests with those of our shareholders.</w:t>
      </w:r>
    </w:p>
    <w:p>
      <w:pPr>
        <w:spacing w:after="0" w:line="159" w:lineRule="exact"/>
        <w:rPr>
          <w:sz w:val="20"/>
          <w:szCs w:val="20"/>
          <w:color w:val="auto"/>
        </w:rPr>
      </w:pPr>
    </w:p>
    <w:p>
      <w:pPr>
        <w:ind w:left="780"/>
        <w:spacing w:after="0"/>
        <w:rPr>
          <w:sz w:val="20"/>
          <w:szCs w:val="20"/>
          <w:color w:val="auto"/>
        </w:rPr>
      </w:pPr>
      <w:r>
        <w:rPr>
          <w:rFonts w:ascii="Arial" w:cs="Arial" w:eastAsia="Arial" w:hAnsi="Arial"/>
          <w:sz w:val="21"/>
          <w:szCs w:val="21"/>
          <w:b w:val="1"/>
          <w:bCs w:val="1"/>
          <w:color w:val="auto"/>
        </w:rPr>
        <w:t xml:space="preserve">2024 Annual Equity Awards. </w:t>
      </w:r>
      <w:r>
        <w:rPr>
          <w:rFonts w:ascii="Arial" w:cs="Arial" w:eastAsia="Arial" w:hAnsi="Arial"/>
          <w:sz w:val="21"/>
          <w:szCs w:val="21"/>
          <w:color w:val="auto"/>
        </w:rPr>
        <w:t>As described above, in “2024 Compensation Decisions,” in</w:t>
      </w:r>
    </w:p>
    <w:p>
      <w:pPr>
        <w:spacing w:after="0" w:line="12" w:lineRule="exact"/>
        <w:rPr>
          <w:sz w:val="20"/>
          <w:szCs w:val="20"/>
          <w:color w:val="auto"/>
        </w:rPr>
      </w:pPr>
    </w:p>
    <w:p>
      <w:pPr>
        <w:ind w:left="780" w:right="159"/>
        <w:spacing w:after="0" w:line="235" w:lineRule="auto"/>
        <w:rPr>
          <w:sz w:val="20"/>
          <w:szCs w:val="20"/>
          <w:color w:val="auto"/>
        </w:rPr>
      </w:pPr>
      <w:r>
        <w:rPr>
          <w:rFonts w:ascii="Arial" w:cs="Arial" w:eastAsia="Arial" w:hAnsi="Arial"/>
          <w:sz w:val="21"/>
          <w:szCs w:val="21"/>
          <w:color w:val="auto"/>
        </w:rPr>
        <w:t>March 2024, the LDC Committee recommended long-term equity incentive awards to each NEO we employed as of March 2024 considering, among other things, the executive’s 2023 performance and contributions to the Company’s key short- and long-term strategic goals, the executive’s experience, skills and expected future contributions, and peer group data (the “March 2024 Annual Equity Awards”). The Board, upon the recommendation of the LDC Committee approved the March 2024 Annual Equity Awards for the non-CEO NEOs and, without the involvement of the CEO, approved the CEO’s March 2024 Annual Equity Award.</w:t>
      </w:r>
    </w:p>
    <w:p>
      <w:pPr>
        <w:spacing w:after="0" w:line="168" w:lineRule="exact"/>
        <w:rPr>
          <w:sz w:val="20"/>
          <w:szCs w:val="20"/>
          <w:color w:val="auto"/>
        </w:rPr>
      </w:pPr>
    </w:p>
    <w:p>
      <w:pPr>
        <w:ind w:left="780" w:right="179"/>
        <w:spacing w:after="0" w:line="235" w:lineRule="auto"/>
        <w:rPr>
          <w:sz w:val="20"/>
          <w:szCs w:val="20"/>
          <w:color w:val="auto"/>
        </w:rPr>
      </w:pPr>
      <w:r>
        <w:rPr>
          <w:rFonts w:ascii="Arial" w:cs="Arial" w:eastAsia="Arial" w:hAnsi="Arial"/>
          <w:sz w:val="21"/>
          <w:szCs w:val="21"/>
          <w:color w:val="auto"/>
        </w:rPr>
        <w:t>The target long-term incentive mix for the March 2024 Annual Equity Awards was 50% stock options and 50% RSUs. As explained above, for 2024, the LDC Committee determined that a combination of stock options and RSUs tightly aligned executives’ incentive opportunities with the creation of shareholder value. Stock options provide value only to the extent that stock price rises, and RSUs help bolster the retention attributes of the program, which are critical in Sotera Health’s continued environment of challenging and variable operating conditions. Also as noted above, the LDC Committee takes the input of shareholders seriously, and consistent with feedback provided by shareholders following the 2024 say-on-pay vote, has implemented (starting in 2025) a change in the mix of our long-term incentive vehicles to eliminate stock option awards for 2025 and instead grant PSUs tied to three-year performance goals, SAUs awarded to our CEO to further align his pay with shareholder value creation, and to incorporate performance metrics in RSU awards. These changes will be further described in our 2026 proxy statement reporting on 2025 compensation decisions.</w:t>
      </w:r>
    </w:p>
    <w:p>
      <w:pPr>
        <w:spacing w:after="0" w:line="171" w:lineRule="exact"/>
        <w:rPr>
          <w:sz w:val="20"/>
          <w:szCs w:val="20"/>
          <w:color w:val="auto"/>
        </w:rPr>
      </w:pPr>
    </w:p>
    <w:p>
      <w:pPr>
        <w:jc w:val="both"/>
        <w:ind w:left="780" w:right="339"/>
        <w:spacing w:after="0" w:line="266" w:lineRule="auto"/>
        <w:rPr>
          <w:sz w:val="20"/>
          <w:szCs w:val="20"/>
          <w:color w:val="auto"/>
        </w:rPr>
      </w:pPr>
      <w:r>
        <w:rPr>
          <w:rFonts w:ascii="Arial" w:cs="Arial" w:eastAsia="Arial" w:hAnsi="Arial"/>
          <w:sz w:val="20"/>
          <w:szCs w:val="20"/>
          <w:color w:val="auto"/>
        </w:rPr>
        <w:t>The table below indicates the target value of the executive’s 2024 Annual Equity Award. Based on the LDC Committee’s assessment of his strong performance and contributions in 2023, Mr. Petras’ annual equity target award value was increased to $8,000,000 from $7,500,000.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289560</wp:posOffset>
            </wp:positionV>
            <wp:extent cx="494665" cy="165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165735</wp:posOffset>
            </wp:positionV>
            <wp:extent cx="5538470"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 Elements for 2024</w:t>
      </w:r>
    </w:p>
    <w:p>
      <w:pPr>
        <w:spacing w:after="0" w:line="312"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4140" w:type="dxa"/>
            <w:vAlign w:val="bottom"/>
            <w:gridSpan w:val="2"/>
          </w:tcPr>
          <w:p>
            <w:pPr>
              <w:jc w:val="center"/>
              <w:ind w:left="2137"/>
              <w:spacing w:after="0"/>
              <w:rPr>
                <w:sz w:val="20"/>
                <w:szCs w:val="20"/>
                <w:color w:val="auto"/>
              </w:rPr>
            </w:pPr>
            <w:r>
              <w:rPr>
                <w:rFonts w:ascii="Arial" w:cs="Arial" w:eastAsia="Arial" w:hAnsi="Arial"/>
                <w:sz w:val="16"/>
                <w:szCs w:val="16"/>
                <w:b w:val="1"/>
                <w:bCs w:val="1"/>
                <w:color w:val="435F86"/>
                <w:w w:val="93"/>
              </w:rPr>
              <w:t>2024 Annual Equity Award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4500" w:type="dxa"/>
            <w:vAlign w:val="bottom"/>
            <w:tcBorders>
              <w:bottom w:val="single" w:sz="8" w:color="435F86"/>
            </w:tcBorders>
          </w:tcPr>
          <w:p>
            <w:pPr>
              <w:ind w:left="80"/>
              <w:spacing w:after="0"/>
              <w:rPr>
                <w:sz w:val="20"/>
                <w:szCs w:val="20"/>
                <w:color w:val="auto"/>
              </w:rPr>
            </w:pPr>
            <w:r>
              <w:rPr>
                <w:rFonts w:ascii="Arial" w:cs="Arial" w:eastAsia="Arial" w:hAnsi="Arial"/>
                <w:sz w:val="16"/>
                <w:szCs w:val="16"/>
                <w:b w:val="1"/>
                <w:bCs w:val="1"/>
                <w:color w:val="435F86"/>
              </w:rPr>
              <w:t>Named Executive Officer</w:t>
            </w:r>
          </w:p>
        </w:tc>
        <w:tc>
          <w:tcPr>
            <w:tcW w:w="4140" w:type="dxa"/>
            <w:vAlign w:val="bottom"/>
            <w:tcBorders>
              <w:bottom w:val="single" w:sz="8" w:color="435F86"/>
            </w:tcBorders>
            <w:gridSpan w:val="2"/>
          </w:tcPr>
          <w:p>
            <w:pPr>
              <w:jc w:val="center"/>
              <w:ind w:left="2197"/>
              <w:spacing w:after="0"/>
              <w:rPr>
                <w:sz w:val="20"/>
                <w:szCs w:val="20"/>
                <w:color w:val="auto"/>
              </w:rPr>
            </w:pPr>
            <w:r>
              <w:rPr>
                <w:rFonts w:ascii="Arial" w:cs="Arial" w:eastAsia="Arial" w:hAnsi="Arial"/>
                <w:sz w:val="16"/>
                <w:szCs w:val="16"/>
                <w:b w:val="1"/>
                <w:bCs w:val="1"/>
                <w:color w:val="435F86"/>
                <w:w w:val="91"/>
              </w:rPr>
              <w:t>Target Value ($)</w:t>
            </w:r>
          </w:p>
        </w:tc>
        <w:tc>
          <w:tcPr>
            <w:tcW w:w="80" w:type="dxa"/>
            <w:vAlign w:val="bottom"/>
            <w:tcBorders>
              <w:bottom w:val="single" w:sz="8" w:color="435F86"/>
            </w:tcBorders>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450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b w:val="1"/>
                <w:bCs w:val="1"/>
                <w:i w:val="1"/>
                <w:iCs w:val="1"/>
                <w:color w:val="auto"/>
              </w:rPr>
              <w:t>2024 Annual Equity Awards</w:t>
            </w:r>
          </w:p>
        </w:tc>
        <w:tc>
          <w:tcPr>
            <w:tcW w:w="2820" w:type="dxa"/>
            <w:vAlign w:val="bottom"/>
            <w:tcBorders>
              <w:bottom w:val="single" w:sz="8" w:color="7B8FAA"/>
            </w:tcBorders>
            <w:shd w:val="clear" w:color="auto" w:fill="CCEEFF"/>
          </w:tcPr>
          <w:p>
            <w:pPr>
              <w:ind w:left="2700"/>
              <w:spacing w:after="0"/>
              <w:rPr>
                <w:sz w:val="20"/>
                <w:szCs w:val="20"/>
                <w:color w:val="auto"/>
              </w:rPr>
            </w:pPr>
            <w:r>
              <w:rPr>
                <w:rFonts w:ascii="Arial" w:cs="Arial" w:eastAsia="Arial" w:hAnsi="Arial"/>
                <w:sz w:val="17"/>
                <w:szCs w:val="17"/>
                <w:b w:val="1"/>
                <w:bCs w:val="1"/>
                <w:i w:val="1"/>
                <w:iCs w:val="1"/>
                <w:color w:val="auto"/>
              </w:rPr>
              <w:t>​</w:t>
            </w:r>
          </w:p>
        </w:tc>
        <w:tc>
          <w:tcPr>
            <w:tcW w:w="1320" w:type="dxa"/>
            <w:vAlign w:val="bottom"/>
            <w:tcBorders>
              <w:bottom w:val="single" w:sz="8" w:color="7B8FAA"/>
            </w:tcBorders>
            <w:shd w:val="clear" w:color="auto" w:fill="CCEEFF"/>
          </w:tcPr>
          <w:p>
            <w:pPr>
              <w:spacing w:after="0"/>
              <w:rPr>
                <w:sz w:val="22"/>
                <w:szCs w:val="22"/>
                <w:color w:val="auto"/>
              </w:rPr>
            </w:pP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w:t>
            </w:r>
          </w:p>
        </w:tc>
        <w:tc>
          <w:tcPr>
            <w:tcW w:w="20" w:type="dxa"/>
            <w:vAlign w:val="bottom"/>
          </w:tcPr>
          <w:p>
            <w:pPr>
              <w:spacing w:after="0"/>
              <w:rPr>
                <w:sz w:val="22"/>
                <w:szCs w:val="22"/>
                <w:color w:val="auto"/>
              </w:rPr>
            </w:pPr>
          </w:p>
        </w:tc>
      </w:tr>
      <w:tr>
        <w:trPr>
          <w:trHeight w:val="253"/>
        </w:trPr>
        <w:tc>
          <w:tcPr>
            <w:tcW w:w="4500" w:type="dxa"/>
            <w:vAlign w:val="bottom"/>
          </w:tcPr>
          <w:p>
            <w:pPr>
              <w:ind w:left="80"/>
              <w:spacing w:after="0"/>
              <w:rPr>
                <w:sz w:val="20"/>
                <w:szCs w:val="20"/>
                <w:color w:val="auto"/>
              </w:rPr>
            </w:pPr>
            <w:r>
              <w:rPr>
                <w:rFonts w:ascii="Arial" w:cs="Arial" w:eastAsia="Arial" w:hAnsi="Arial"/>
                <w:sz w:val="17"/>
                <w:szCs w:val="17"/>
                <w:color w:val="auto"/>
              </w:rPr>
              <w:t>Michael B. Petras, Jr.</w:t>
            </w:r>
          </w:p>
        </w:tc>
        <w:tc>
          <w:tcPr>
            <w:tcW w:w="4140" w:type="dxa"/>
            <w:vAlign w:val="bottom"/>
            <w:gridSpan w:val="2"/>
          </w:tcPr>
          <w:p>
            <w:pPr>
              <w:ind w:left="27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$ 8,000,000</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450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Jonathan M. Lyons</w:t>
            </w:r>
          </w:p>
        </w:tc>
        <w:tc>
          <w:tcPr>
            <w:tcW w:w="2820" w:type="dxa"/>
            <w:vAlign w:val="bottom"/>
            <w:tcBorders>
              <w:top w:val="single" w:sz="8" w:color="7B8FAA"/>
              <w:bottom w:val="single" w:sz="8" w:color="7B8FAA"/>
            </w:tcBorders>
            <w:shd w:val="clear" w:color="auto" w:fill="CCEEFF"/>
          </w:tcPr>
          <w:p>
            <w:pPr>
              <w:ind w:left="2700"/>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7B8FAA"/>
              <w:bottom w:val="single" w:sz="8" w:color="7B8FAA"/>
            </w:tcBorders>
            <w:shd w:val="clear" w:color="auto" w:fill="CCEEFF"/>
          </w:tcPr>
          <w:p>
            <w:pPr>
              <w:jc w:val="right"/>
              <w:ind w:right="393"/>
              <w:spacing w:after="0"/>
              <w:rPr>
                <w:sz w:val="20"/>
                <w:szCs w:val="20"/>
                <w:color w:val="auto"/>
              </w:rPr>
            </w:pPr>
            <w:r>
              <w:rPr>
                <w:rFonts w:ascii="Arial" w:cs="Arial" w:eastAsia="Arial" w:hAnsi="Arial"/>
                <w:sz w:val="17"/>
                <w:szCs w:val="17"/>
                <w:color w:val="auto"/>
              </w:rPr>
              <w:t>1,200,000</w:t>
            </w:r>
          </w:p>
        </w:tc>
        <w:tc>
          <w:tcPr>
            <w:tcW w:w="8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53"/>
        </w:trPr>
        <w:tc>
          <w:tcPr>
            <w:tcW w:w="4500" w:type="dxa"/>
            <w:vAlign w:val="bottom"/>
          </w:tcPr>
          <w:p>
            <w:pPr>
              <w:ind w:left="80"/>
              <w:spacing w:after="0"/>
              <w:rPr>
                <w:sz w:val="20"/>
                <w:szCs w:val="20"/>
                <w:color w:val="auto"/>
              </w:rPr>
            </w:pPr>
            <w:r>
              <w:rPr>
                <w:rFonts w:ascii="Arial" w:cs="Arial" w:eastAsia="Arial" w:hAnsi="Arial"/>
                <w:sz w:val="17"/>
                <w:szCs w:val="17"/>
                <w:color w:val="auto"/>
              </w:rPr>
              <w:t>Michael P. Rutz</w:t>
            </w:r>
          </w:p>
        </w:tc>
        <w:tc>
          <w:tcPr>
            <w:tcW w:w="2820" w:type="dxa"/>
            <w:vAlign w:val="bottom"/>
          </w:tcPr>
          <w:p>
            <w:pPr>
              <w:ind w:left="270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93"/>
              <w:spacing w:after="0"/>
              <w:rPr>
                <w:sz w:val="20"/>
                <w:szCs w:val="20"/>
                <w:color w:val="auto"/>
              </w:rPr>
            </w:pPr>
            <w:r>
              <w:rPr>
                <w:rFonts w:ascii="Arial" w:cs="Arial" w:eastAsia="Arial" w:hAnsi="Arial"/>
                <w:sz w:val="17"/>
                <w:szCs w:val="17"/>
                <w:color w:val="auto"/>
              </w:rPr>
              <w:t>1,000,000</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4500" w:type="dxa"/>
            <w:vAlign w:val="bottom"/>
            <w:tcBorders>
              <w:top w:val="single" w:sz="8" w:color="7B8FAA"/>
              <w:bottom w:val="single" w:sz="8" w:color="435F86"/>
            </w:tcBorders>
            <w:shd w:val="clear" w:color="auto" w:fill="CCEEFF"/>
          </w:tcPr>
          <w:p>
            <w:pPr>
              <w:ind w:left="80"/>
              <w:spacing w:after="0"/>
              <w:rPr>
                <w:sz w:val="20"/>
                <w:szCs w:val="20"/>
                <w:color w:val="auto"/>
              </w:rPr>
            </w:pPr>
            <w:r>
              <w:rPr>
                <w:rFonts w:ascii="Arial" w:cs="Arial" w:eastAsia="Arial" w:hAnsi="Arial"/>
                <w:sz w:val="17"/>
                <w:szCs w:val="17"/>
                <w:color w:val="auto"/>
              </w:rPr>
              <w:t>Alexander Dimitrief</w:t>
            </w:r>
          </w:p>
        </w:tc>
        <w:tc>
          <w:tcPr>
            <w:tcW w:w="2820" w:type="dxa"/>
            <w:vAlign w:val="bottom"/>
            <w:tcBorders>
              <w:top w:val="single" w:sz="8" w:color="7B8FAA"/>
              <w:bottom w:val="single" w:sz="8" w:color="435F86"/>
            </w:tcBorders>
            <w:shd w:val="clear" w:color="auto" w:fill="CCEEFF"/>
          </w:tcPr>
          <w:p>
            <w:pPr>
              <w:ind w:left="2700"/>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7B8FAA"/>
              <w:bottom w:val="single" w:sz="8" w:color="435F86"/>
            </w:tcBorders>
            <w:shd w:val="clear" w:color="auto" w:fill="CCEEFF"/>
          </w:tcPr>
          <w:p>
            <w:pPr>
              <w:jc w:val="right"/>
              <w:ind w:right="393"/>
              <w:spacing w:after="0"/>
              <w:rPr>
                <w:sz w:val="20"/>
                <w:szCs w:val="20"/>
                <w:color w:val="auto"/>
              </w:rPr>
            </w:pPr>
            <w:r>
              <w:rPr>
                <w:rFonts w:ascii="Arial" w:cs="Arial" w:eastAsia="Arial" w:hAnsi="Arial"/>
                <w:sz w:val="17"/>
                <w:szCs w:val="17"/>
                <w:color w:val="auto"/>
              </w:rPr>
              <w:t>1,500,000</w:t>
            </w:r>
          </w:p>
        </w:tc>
        <w:tc>
          <w:tcPr>
            <w:tcW w:w="80" w:type="dxa"/>
            <w:vAlign w:val="bottom"/>
            <w:tcBorders>
              <w:top w:val="single" w:sz="8" w:color="7B8FAA"/>
              <w:bottom w:val="single" w:sz="8" w:color="435F86"/>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bl>
    <w:p>
      <w:pPr>
        <w:spacing w:after="0" w:line="168" w:lineRule="exact"/>
        <w:rPr>
          <w:sz w:val="20"/>
          <w:szCs w:val="20"/>
          <w:color w:val="auto"/>
        </w:rPr>
      </w:pPr>
    </w:p>
    <w:p>
      <w:pPr>
        <w:ind w:left="780" w:right="1220"/>
        <w:spacing w:after="0" w:line="264" w:lineRule="auto"/>
        <w:rPr>
          <w:sz w:val="20"/>
          <w:szCs w:val="20"/>
          <w:color w:val="auto"/>
        </w:rPr>
      </w:pPr>
      <w:r>
        <w:rPr>
          <w:rFonts w:ascii="Arial" w:cs="Arial" w:eastAsia="Arial" w:hAnsi="Arial"/>
          <w:sz w:val="21"/>
          <w:szCs w:val="21"/>
          <w:color w:val="auto"/>
        </w:rPr>
        <w:t>The following sections further describe the equity incentive compensation awarded to our NEOs under the 2020 Incentive Plan in 2024.</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Calculation of Equity Awards</w:t>
      </w:r>
    </w:p>
    <w:p>
      <w:pPr>
        <w:spacing w:after="0" w:line="149" w:lineRule="exact"/>
        <w:rPr>
          <w:sz w:val="20"/>
          <w:szCs w:val="20"/>
          <w:color w:val="auto"/>
        </w:rPr>
      </w:pPr>
    </w:p>
    <w:p>
      <w:pPr>
        <w:ind w:left="780" w:right="800"/>
        <w:spacing w:after="0" w:line="250" w:lineRule="auto"/>
        <w:rPr>
          <w:sz w:val="20"/>
          <w:szCs w:val="20"/>
          <w:color w:val="auto"/>
        </w:rPr>
      </w:pPr>
      <w:r>
        <w:rPr>
          <w:rFonts w:ascii="Arial" w:cs="Arial" w:eastAsia="Arial" w:hAnsi="Arial"/>
          <w:sz w:val="20"/>
          <w:szCs w:val="20"/>
          <w:color w:val="auto"/>
        </w:rPr>
        <w:t>When granting equity awards, we use formulas to calculate the number of RSUs and stock options to be granted to our employees based on the target value of the award. When granting RSUs, we determine the number of shares of stock to be granted by dividing the target award value by the closing sales price on the date of grant as quoted on the Nasdaq stock market (the “Fair Market Value”). When granting stock options, we divide the target value by the product of a specified multiplier and the Fair Market Value of our common stock. The specified multiplier is calculated as the product of the fair value of the option award as computed using the Black-Scholes Option Pricing Model prior to the grant date and the Fair Market Value of our common stock.</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28"/>
          <w:szCs w:val="28"/>
          <w:color w:val="auto"/>
        </w:rPr>
        <w:t>Stock Options</w:t>
      </w:r>
    </w:p>
    <w:p>
      <w:pPr>
        <w:spacing w:after="0" w:line="149" w:lineRule="exact"/>
        <w:rPr>
          <w:sz w:val="20"/>
          <w:szCs w:val="20"/>
          <w:color w:val="auto"/>
        </w:rPr>
      </w:pPr>
    </w:p>
    <w:p>
      <w:pPr>
        <w:ind w:left="780" w:right="900"/>
        <w:spacing w:after="0"/>
        <w:rPr>
          <w:sz w:val="20"/>
          <w:szCs w:val="20"/>
          <w:color w:val="auto"/>
        </w:rPr>
      </w:pPr>
      <w:r>
        <w:rPr>
          <w:rFonts w:ascii="Arial" w:cs="Arial" w:eastAsia="Arial" w:hAnsi="Arial"/>
          <w:sz w:val="21"/>
          <w:szCs w:val="21"/>
          <w:color w:val="auto"/>
        </w:rPr>
        <w:t>For 2024, the LDC Committee determined that stock option awards were an appropriate long-term incentive vehicle because they offer an immediate link between shareholder value creation and executive rewards, and because share price needs to rise for the option holder to receive any value from the award. As such, options directly tie executives’ realizable pay opportunities to the creation of shareholder value.</w:t>
      </w:r>
    </w:p>
    <w:p>
      <w:pPr>
        <w:spacing w:after="0" w:line="168" w:lineRule="exact"/>
        <w:rPr>
          <w:sz w:val="20"/>
          <w:szCs w:val="20"/>
          <w:color w:val="auto"/>
        </w:rPr>
      </w:pPr>
    </w:p>
    <w:p>
      <w:pPr>
        <w:ind w:left="780" w:right="800"/>
        <w:spacing w:after="0" w:line="238" w:lineRule="auto"/>
        <w:rPr>
          <w:sz w:val="20"/>
          <w:szCs w:val="20"/>
          <w:color w:val="auto"/>
        </w:rPr>
      </w:pPr>
      <w:r>
        <w:rPr>
          <w:rFonts w:ascii="Arial" w:cs="Arial" w:eastAsia="Arial" w:hAnsi="Arial"/>
          <w:sz w:val="21"/>
          <w:szCs w:val="21"/>
          <w:color w:val="auto"/>
        </w:rPr>
        <w:t>The grant value of the 2024 Annual Equity Awards was comprised of approximately 50% stock options to purchase shares of our common stock. The table below shows the number of stock options granted to Messrs. Petras, Lyons, Rutz, and Dimitrief on March 4, 2024. The options granted as 2024 Annual Equity Awards generally vest in equal annual installments over a three-year vesting period. Continued service of the executive during the vesting period is generally required. The option awards have a contractual term of 10 years.</w:t>
      </w:r>
    </w:p>
    <w:p>
      <w:pPr>
        <w:spacing w:after="0" w:line="116" w:lineRule="exact"/>
        <w:rPr>
          <w:sz w:val="20"/>
          <w:szCs w:val="20"/>
          <w:color w:val="auto"/>
        </w:rPr>
      </w:pPr>
    </w:p>
    <w:tbl>
      <w:tblPr>
        <w:tblLayout w:type="fixed"/>
        <w:tblInd w:w="780" w:type="dxa"/>
        <w:tblCellMar>
          <w:top w:w="0" w:type="dxa"/>
          <w:left w:w="0" w:type="dxa"/>
          <w:bottom w:w="0" w:type="dxa"/>
          <w:right w:w="0" w:type="dxa"/>
        </w:tblCellMar>
      </w:tblPr>
      <w:tr>
        <w:trPr>
          <w:trHeight w:val="394"/>
        </w:trPr>
        <w:tc>
          <w:tcPr>
            <w:tcW w:w="4860" w:type="dxa"/>
            <w:vAlign w:val="bottom"/>
          </w:tcPr>
          <w:p>
            <w:pPr>
              <w:ind w:left="80"/>
              <w:spacing w:after="0"/>
              <w:rPr>
                <w:sz w:val="20"/>
                <w:szCs w:val="20"/>
                <w:color w:val="auto"/>
              </w:rPr>
            </w:pPr>
            <w:r>
              <w:rPr>
                <w:rFonts w:ascii="Arial" w:cs="Arial" w:eastAsia="Arial" w:hAnsi="Arial"/>
                <w:sz w:val="16"/>
                <w:szCs w:val="16"/>
                <w:b w:val="1"/>
                <w:bCs w:val="1"/>
                <w:color w:val="435F86"/>
              </w:rPr>
              <w:t>Named Executive Officer</w:t>
            </w:r>
          </w:p>
        </w:tc>
        <w:tc>
          <w:tcPr>
            <w:tcW w:w="2920" w:type="dxa"/>
            <w:vAlign w:val="bottom"/>
            <w:gridSpan w:val="3"/>
          </w:tcPr>
          <w:p>
            <w:pPr>
              <w:ind w:left="1320"/>
              <w:spacing w:after="0"/>
              <w:rPr>
                <w:sz w:val="20"/>
                <w:szCs w:val="20"/>
                <w:color w:val="auto"/>
              </w:rPr>
            </w:pPr>
            <w:r>
              <w:rPr>
                <w:rFonts w:ascii="Arial" w:cs="Arial" w:eastAsia="Arial" w:hAnsi="Arial"/>
                <w:sz w:val="16"/>
                <w:szCs w:val="16"/>
                <w:b w:val="1"/>
                <w:bCs w:val="1"/>
                <w:color w:val="435F86"/>
                <w:w w:val="99"/>
              </w:rPr>
              <w:t>Exercise Price ($/Sh)</w:t>
            </w:r>
          </w:p>
        </w:tc>
        <w:tc>
          <w:tcPr>
            <w:tcW w:w="960" w:type="dxa"/>
            <w:vAlign w:val="bottom"/>
            <w:gridSpan w:val="3"/>
          </w:tcPr>
          <w:p>
            <w:pPr>
              <w:ind w:left="100"/>
              <w:spacing w:after="0"/>
              <w:rPr>
                <w:sz w:val="20"/>
                <w:szCs w:val="20"/>
                <w:color w:val="auto"/>
              </w:rPr>
            </w:pPr>
            <w:r>
              <w:rPr>
                <w:rFonts w:ascii="Arial" w:cs="Arial" w:eastAsia="Arial" w:hAnsi="Arial"/>
                <w:sz w:val="16"/>
                <w:szCs w:val="16"/>
                <w:b w:val="1"/>
                <w:bCs w:val="1"/>
                <w:color w:val="435F86"/>
                <w:w w:val="94"/>
              </w:rPr>
              <w:t xml:space="preserve">Options (#) </w:t>
            </w:r>
            <w:r>
              <w:rPr>
                <w:rFonts w:ascii="Arial" w:cs="Arial" w:eastAsia="Arial" w:hAnsi="Arial"/>
                <w:sz w:val="31"/>
                <w:szCs w:val="31"/>
                <w:b w:val="1"/>
                <w:bCs w:val="1"/>
                <w:color w:val="435F86"/>
                <w:w w:val="94"/>
                <w:vertAlign w:val="subscript"/>
              </w:rPr>
              <w:t>​</w:t>
            </w:r>
          </w:p>
        </w:tc>
      </w:tr>
      <w:tr>
        <w:trPr>
          <w:trHeight w:val="253"/>
        </w:trPr>
        <w:tc>
          <w:tcPr>
            <w:tcW w:w="4860" w:type="dxa"/>
            <w:vAlign w:val="bottom"/>
            <w:tcBorders>
              <w:top w:val="single" w:sz="8" w:color="435F86"/>
              <w:bottom w:val="single" w:sz="8" w:color="7B8FAA"/>
            </w:tcBorders>
            <w:shd w:val="clear" w:color="auto" w:fill="CCEEFF"/>
          </w:tcPr>
          <w:p>
            <w:pPr>
              <w:ind w:left="80"/>
              <w:spacing w:after="0"/>
              <w:rPr>
                <w:sz w:val="20"/>
                <w:szCs w:val="20"/>
                <w:color w:val="auto"/>
              </w:rPr>
            </w:pPr>
            <w:r>
              <w:rPr>
                <w:rFonts w:ascii="Arial" w:cs="Arial" w:eastAsia="Arial" w:hAnsi="Arial"/>
                <w:sz w:val="17"/>
                <w:szCs w:val="17"/>
                <w:b w:val="1"/>
                <w:bCs w:val="1"/>
                <w:i w:val="1"/>
                <w:iCs w:val="1"/>
                <w:color w:val="auto"/>
              </w:rPr>
              <w:t>2024 Annual Equity Awards (Stock Options)</w:t>
            </w:r>
          </w:p>
        </w:tc>
        <w:tc>
          <w:tcPr>
            <w:tcW w:w="1860" w:type="dxa"/>
            <w:vAlign w:val="bottom"/>
            <w:tcBorders>
              <w:top w:val="single" w:sz="8" w:color="435F86"/>
              <w:bottom w:val="single" w:sz="8" w:color="7B8FAA"/>
            </w:tcBorders>
            <w:shd w:val="clear" w:color="auto" w:fill="CCEEFF"/>
          </w:tcPr>
          <w:p>
            <w:pPr>
              <w:ind w:left="1740"/>
              <w:spacing w:after="0"/>
              <w:rPr>
                <w:sz w:val="20"/>
                <w:szCs w:val="20"/>
                <w:color w:val="auto"/>
              </w:rPr>
            </w:pPr>
            <w:r>
              <w:rPr>
                <w:rFonts w:ascii="Arial" w:cs="Arial" w:eastAsia="Arial" w:hAnsi="Arial"/>
                <w:sz w:val="17"/>
                <w:szCs w:val="17"/>
                <w:b w:val="1"/>
                <w:bCs w:val="1"/>
                <w:i w:val="1"/>
                <w:iCs w:val="1"/>
                <w:color w:val="auto"/>
              </w:rPr>
              <w:t>​</w:t>
            </w:r>
          </w:p>
        </w:tc>
        <w:tc>
          <w:tcPr>
            <w:tcW w:w="700" w:type="dxa"/>
            <w:vAlign w:val="bottom"/>
            <w:tcBorders>
              <w:top w:val="single" w:sz="8" w:color="435F86"/>
              <w:bottom w:val="single" w:sz="8" w:color="7B8FAA"/>
            </w:tcBorders>
            <w:shd w:val="clear" w:color="auto" w:fill="CCEEFF"/>
          </w:tcPr>
          <w:p>
            <w:pPr>
              <w:spacing w:after="0"/>
              <w:rPr>
                <w:sz w:val="21"/>
                <w:szCs w:val="21"/>
                <w:color w:val="auto"/>
              </w:rPr>
            </w:pPr>
          </w:p>
        </w:tc>
        <w:tc>
          <w:tcPr>
            <w:tcW w:w="360" w:type="dxa"/>
            <w:vAlign w:val="bottom"/>
            <w:tcBorders>
              <w:top w:val="single" w:sz="8" w:color="435F86"/>
              <w:bottom w:val="single" w:sz="8" w:color="7B8FAA"/>
            </w:tcBorders>
            <w:shd w:val="clear" w:color="auto" w:fill="CCEEFF"/>
          </w:tcPr>
          <w:p>
            <w:pPr>
              <w:ind w:left="220"/>
              <w:spacing w:after="0"/>
              <w:rPr>
                <w:sz w:val="20"/>
                <w:szCs w:val="20"/>
                <w:color w:val="auto"/>
              </w:rPr>
            </w:pPr>
            <w:r>
              <w:rPr>
                <w:rFonts w:ascii="Arial" w:cs="Arial" w:eastAsia="Arial" w:hAnsi="Arial"/>
                <w:sz w:val="17"/>
                <w:szCs w:val="17"/>
                <w:b w:val="1"/>
                <w:bCs w:val="1"/>
                <w:i w:val="1"/>
                <w:iCs w:val="1"/>
                <w:color w:val="auto"/>
              </w:rPr>
              <w:t>​</w:t>
            </w:r>
          </w:p>
        </w:tc>
        <w:tc>
          <w:tcPr>
            <w:tcW w:w="840" w:type="dxa"/>
            <w:vAlign w:val="bottom"/>
            <w:tcBorders>
              <w:top w:val="single" w:sz="8" w:color="435F86"/>
              <w:bottom w:val="single" w:sz="8" w:color="7B8FAA"/>
            </w:tcBorders>
            <w:shd w:val="clear" w:color="auto" w:fill="CCEEFF"/>
          </w:tcPr>
          <w:p>
            <w:pPr>
              <w:ind w:left="140"/>
              <w:spacing w:after="0"/>
              <w:rPr>
                <w:sz w:val="20"/>
                <w:szCs w:val="20"/>
                <w:color w:val="auto"/>
              </w:rPr>
            </w:pPr>
            <w:r>
              <w:rPr>
                <w:rFonts w:ascii="Arial" w:cs="Arial" w:eastAsia="Arial" w:hAnsi="Arial"/>
                <w:sz w:val="17"/>
                <w:szCs w:val="17"/>
                <w:b w:val="1"/>
                <w:bCs w:val="1"/>
                <w:i w:val="1"/>
                <w:iCs w:val="1"/>
                <w:color w:val="auto"/>
              </w:rPr>
              <w:t>​</w:t>
            </w:r>
          </w:p>
        </w:tc>
        <w:tc>
          <w:tcPr>
            <w:tcW w:w="100" w:type="dxa"/>
            <w:vAlign w:val="bottom"/>
            <w:tcBorders>
              <w:top w:val="single" w:sz="8" w:color="435F86"/>
              <w:bottom w:val="single" w:sz="8" w:color="7B8FAA"/>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w:t>
            </w:r>
          </w:p>
        </w:tc>
        <w:tc>
          <w:tcPr>
            <w:tcW w:w="20" w:type="dxa"/>
            <w:vAlign w:val="bottom"/>
          </w:tcPr>
          <w:p>
            <w:pPr>
              <w:spacing w:after="0"/>
              <w:rPr>
                <w:sz w:val="21"/>
                <w:szCs w:val="21"/>
                <w:color w:val="auto"/>
              </w:rPr>
            </w:pPr>
          </w:p>
        </w:tc>
      </w:tr>
      <w:tr>
        <w:trPr>
          <w:trHeight w:val="253"/>
        </w:trPr>
        <w:tc>
          <w:tcPr>
            <w:tcW w:w="4860" w:type="dxa"/>
            <w:vAlign w:val="bottom"/>
          </w:tcPr>
          <w:p>
            <w:pPr>
              <w:ind w:left="80"/>
              <w:spacing w:after="0"/>
              <w:rPr>
                <w:sz w:val="20"/>
                <w:szCs w:val="20"/>
                <w:color w:val="auto"/>
              </w:rPr>
            </w:pPr>
            <w:r>
              <w:rPr>
                <w:rFonts w:ascii="Arial" w:cs="Arial" w:eastAsia="Arial" w:hAnsi="Arial"/>
                <w:sz w:val="17"/>
                <w:szCs w:val="17"/>
                <w:color w:val="auto"/>
              </w:rPr>
              <w:t>Michael B. Petras, Jr.</w:t>
            </w:r>
          </w:p>
        </w:tc>
        <w:tc>
          <w:tcPr>
            <w:tcW w:w="2560" w:type="dxa"/>
            <w:vAlign w:val="bottom"/>
            <w:gridSpan w:val="2"/>
          </w:tcPr>
          <w:p>
            <w:pPr>
              <w:ind w:left="17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$ 14.59</w:t>
            </w:r>
          </w:p>
        </w:tc>
        <w:tc>
          <w:tcPr>
            <w:tcW w:w="360" w:type="dxa"/>
            <w:vAlign w:val="bottom"/>
          </w:tcPr>
          <w:p>
            <w:pPr>
              <w:ind w:left="220"/>
              <w:spacing w:after="0"/>
              <w:rPr>
                <w:sz w:val="20"/>
                <w:szCs w:val="20"/>
                <w:color w:val="auto"/>
              </w:rPr>
            </w:pPr>
            <w:r>
              <w:rPr>
                <w:rFonts w:ascii="Arial" w:cs="Arial" w:eastAsia="Arial" w:hAnsi="Arial"/>
                <w:sz w:val="17"/>
                <w:szCs w:val="17"/>
                <w:color w:val="auto"/>
              </w:rPr>
              <w:t>​</w:t>
            </w:r>
          </w:p>
        </w:tc>
        <w:tc>
          <w:tcPr>
            <w:tcW w:w="960" w:type="dxa"/>
            <w:vAlign w:val="bottom"/>
            <w:gridSpan w:val="3"/>
          </w:tcPr>
          <w:p>
            <w:pPr>
              <w:ind w:left="1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544,509 </w:t>
            </w:r>
            <w:r>
              <w:rPr>
                <w:rFonts w:ascii="Arial" w:cs="Arial" w:eastAsia="Arial" w:hAnsi="Arial"/>
                <w:sz w:val="29"/>
                <w:szCs w:val="29"/>
                <w:color w:val="auto"/>
                <w:vertAlign w:val="subscript"/>
              </w:rPr>
              <w:t>​​</w:t>
            </w:r>
          </w:p>
        </w:tc>
      </w:tr>
      <w:tr>
        <w:trPr>
          <w:trHeight w:val="253"/>
        </w:trPr>
        <w:tc>
          <w:tcPr>
            <w:tcW w:w="486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Jonathan M. Lyons</w:t>
            </w:r>
          </w:p>
        </w:tc>
        <w:tc>
          <w:tcPr>
            <w:tcW w:w="1860" w:type="dxa"/>
            <w:vAlign w:val="bottom"/>
            <w:tcBorders>
              <w:top w:val="single" w:sz="8" w:color="7B8FAA"/>
              <w:bottom w:val="single" w:sz="8" w:color="7B8FAA"/>
            </w:tcBorders>
            <w:shd w:val="clear" w:color="auto" w:fill="CCEEFF"/>
          </w:tcPr>
          <w:p>
            <w:pPr>
              <w:ind w:left="1740"/>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7B8FAA"/>
              <w:bottom w:val="single" w:sz="8" w:color="7B8FAA"/>
            </w:tcBorders>
            <w:shd w:val="clear" w:color="auto" w:fill="CCEEFF"/>
          </w:tcPr>
          <w:p>
            <w:pPr>
              <w:jc w:val="right"/>
              <w:ind w:right="133"/>
              <w:spacing w:after="0"/>
              <w:rPr>
                <w:sz w:val="20"/>
                <w:szCs w:val="20"/>
                <w:color w:val="auto"/>
              </w:rPr>
            </w:pPr>
            <w:r>
              <w:rPr>
                <w:rFonts w:ascii="Arial" w:cs="Arial" w:eastAsia="Arial" w:hAnsi="Arial"/>
                <w:sz w:val="17"/>
                <w:szCs w:val="17"/>
                <w:color w:val="auto"/>
              </w:rPr>
              <w:t>14.59</w:t>
            </w:r>
          </w:p>
        </w:tc>
        <w:tc>
          <w:tcPr>
            <w:tcW w:w="360" w:type="dxa"/>
            <w:vAlign w:val="bottom"/>
            <w:tcBorders>
              <w:top w:val="single" w:sz="8" w:color="7B8FAA"/>
              <w:bottom w:val="single" w:sz="8" w:color="7B8FAA"/>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7B8FAA"/>
              <w:bottom w:val="single" w:sz="8" w:color="7B8FAA"/>
            </w:tcBorders>
            <w:shd w:val="clear" w:color="auto" w:fill="CCEEFF"/>
          </w:tcPr>
          <w:p>
            <w:pPr>
              <w:ind w:left="1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81,676</w:t>
            </w:r>
          </w:p>
        </w:tc>
        <w:tc>
          <w:tcPr>
            <w:tcW w:w="100" w:type="dxa"/>
            <w:vAlign w:val="bottom"/>
            <w:tcBorders>
              <w:top w:val="single" w:sz="8" w:color="7B8FAA"/>
              <w:bottom w:val="single" w:sz="8" w:color="7B8FAA"/>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53"/>
        </w:trPr>
        <w:tc>
          <w:tcPr>
            <w:tcW w:w="4860" w:type="dxa"/>
            <w:vAlign w:val="bottom"/>
          </w:tcPr>
          <w:p>
            <w:pPr>
              <w:ind w:left="80"/>
              <w:spacing w:after="0"/>
              <w:rPr>
                <w:sz w:val="20"/>
                <w:szCs w:val="20"/>
                <w:color w:val="auto"/>
              </w:rPr>
            </w:pPr>
            <w:r>
              <w:rPr>
                <w:rFonts w:ascii="Arial" w:cs="Arial" w:eastAsia="Arial" w:hAnsi="Arial"/>
                <w:sz w:val="17"/>
                <w:szCs w:val="17"/>
                <w:color w:val="auto"/>
              </w:rPr>
              <w:t>Michael P. Rutz</w:t>
            </w:r>
          </w:p>
        </w:tc>
        <w:tc>
          <w:tcPr>
            <w:tcW w:w="1860" w:type="dxa"/>
            <w:vAlign w:val="bottom"/>
          </w:tcPr>
          <w:p>
            <w:pPr>
              <w:ind w:left="174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33"/>
              <w:spacing w:after="0"/>
              <w:rPr>
                <w:sz w:val="20"/>
                <w:szCs w:val="20"/>
                <w:color w:val="auto"/>
              </w:rPr>
            </w:pPr>
            <w:r>
              <w:rPr>
                <w:rFonts w:ascii="Arial" w:cs="Arial" w:eastAsia="Arial" w:hAnsi="Arial"/>
                <w:sz w:val="17"/>
                <w:szCs w:val="17"/>
                <w:color w:val="auto"/>
              </w:rPr>
              <w:t>14.59</w:t>
            </w:r>
          </w:p>
        </w:tc>
        <w:tc>
          <w:tcPr>
            <w:tcW w:w="360" w:type="dxa"/>
            <w:vAlign w:val="bottom"/>
          </w:tcPr>
          <w:p>
            <w:pPr>
              <w:ind w:left="220"/>
              <w:spacing w:after="0"/>
              <w:rPr>
                <w:sz w:val="20"/>
                <w:szCs w:val="20"/>
                <w:color w:val="auto"/>
              </w:rPr>
            </w:pPr>
            <w:r>
              <w:rPr>
                <w:rFonts w:ascii="Arial" w:cs="Arial" w:eastAsia="Arial" w:hAnsi="Arial"/>
                <w:sz w:val="17"/>
                <w:szCs w:val="17"/>
                <w:color w:val="auto"/>
              </w:rPr>
              <w:t>​</w:t>
            </w:r>
          </w:p>
        </w:tc>
        <w:tc>
          <w:tcPr>
            <w:tcW w:w="840" w:type="dxa"/>
            <w:vAlign w:val="bottom"/>
          </w:tcPr>
          <w:p>
            <w:pPr>
              <w:ind w:left="1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68,063</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rPr>
              <w:t>​​</w:t>
            </w:r>
          </w:p>
        </w:tc>
      </w:tr>
      <w:tr>
        <w:trPr>
          <w:trHeight w:val="253"/>
        </w:trPr>
        <w:tc>
          <w:tcPr>
            <w:tcW w:w="4860" w:type="dxa"/>
            <w:vAlign w:val="bottom"/>
            <w:tcBorders>
              <w:top w:val="single" w:sz="8" w:color="7B8FAA"/>
              <w:bottom w:val="single" w:sz="8" w:color="435F86"/>
            </w:tcBorders>
            <w:shd w:val="clear" w:color="auto" w:fill="CCEEFF"/>
          </w:tcPr>
          <w:p>
            <w:pPr>
              <w:ind w:left="80"/>
              <w:spacing w:after="0"/>
              <w:rPr>
                <w:sz w:val="20"/>
                <w:szCs w:val="20"/>
                <w:color w:val="auto"/>
              </w:rPr>
            </w:pPr>
            <w:r>
              <w:rPr>
                <w:rFonts w:ascii="Arial" w:cs="Arial" w:eastAsia="Arial" w:hAnsi="Arial"/>
                <w:sz w:val="17"/>
                <w:szCs w:val="17"/>
                <w:color w:val="auto"/>
              </w:rPr>
              <w:t>Alexander Dimitrief</w:t>
            </w:r>
          </w:p>
        </w:tc>
        <w:tc>
          <w:tcPr>
            <w:tcW w:w="1860" w:type="dxa"/>
            <w:vAlign w:val="bottom"/>
            <w:tcBorders>
              <w:top w:val="single" w:sz="8" w:color="7B8FAA"/>
              <w:bottom w:val="single" w:sz="8" w:color="435F86"/>
            </w:tcBorders>
            <w:shd w:val="clear" w:color="auto" w:fill="CCEEFF"/>
          </w:tcPr>
          <w:p>
            <w:pPr>
              <w:ind w:left="1740"/>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7B8FAA"/>
              <w:bottom w:val="single" w:sz="8" w:color="435F86"/>
            </w:tcBorders>
            <w:shd w:val="clear" w:color="auto" w:fill="CCEEFF"/>
          </w:tcPr>
          <w:p>
            <w:pPr>
              <w:jc w:val="right"/>
              <w:ind w:right="133"/>
              <w:spacing w:after="0"/>
              <w:rPr>
                <w:sz w:val="20"/>
                <w:szCs w:val="20"/>
                <w:color w:val="auto"/>
              </w:rPr>
            </w:pPr>
            <w:r>
              <w:rPr>
                <w:rFonts w:ascii="Arial" w:cs="Arial" w:eastAsia="Arial" w:hAnsi="Arial"/>
                <w:sz w:val="17"/>
                <w:szCs w:val="17"/>
                <w:color w:val="auto"/>
              </w:rPr>
              <w:t>14.59</w:t>
            </w:r>
          </w:p>
        </w:tc>
        <w:tc>
          <w:tcPr>
            <w:tcW w:w="360" w:type="dxa"/>
            <w:vAlign w:val="bottom"/>
            <w:tcBorders>
              <w:top w:val="single" w:sz="8" w:color="7B8FAA"/>
              <w:bottom w:val="single" w:sz="8" w:color="435F86"/>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7B8FAA"/>
              <w:bottom w:val="single" w:sz="8" w:color="435F86"/>
            </w:tcBorders>
            <w:shd w:val="clear" w:color="auto" w:fill="CCEEFF"/>
          </w:tcPr>
          <w:p>
            <w:pPr>
              <w:ind w:left="1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102,095</w:t>
            </w:r>
          </w:p>
        </w:tc>
        <w:tc>
          <w:tcPr>
            <w:tcW w:w="100" w:type="dxa"/>
            <w:vAlign w:val="bottom"/>
            <w:tcBorders>
              <w:top w:val="single" w:sz="8" w:color="7B8FAA"/>
              <w:bottom w:val="single" w:sz="8" w:color="435F86"/>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bl>
    <w:p>
      <w:pPr>
        <w:spacing w:after="0" w:line="168" w:lineRule="exact"/>
        <w:rPr>
          <w:sz w:val="20"/>
          <w:szCs w:val="20"/>
          <w:color w:val="auto"/>
        </w:rPr>
      </w:pPr>
    </w:p>
    <w:p>
      <w:pPr>
        <w:ind w:left="780" w:right="940"/>
        <w:spacing w:after="0" w:line="242" w:lineRule="auto"/>
        <w:rPr>
          <w:sz w:val="20"/>
          <w:szCs w:val="20"/>
          <w:color w:val="auto"/>
        </w:rPr>
      </w:pPr>
      <w:r>
        <w:rPr>
          <w:rFonts w:ascii="Arial" w:cs="Arial" w:eastAsia="Arial" w:hAnsi="Arial"/>
          <w:sz w:val="21"/>
          <w:szCs w:val="21"/>
          <w:color w:val="auto"/>
        </w:rPr>
        <w:t>The exercise price of each option award granted in 2024 is the closing share price of our common stock on the date the stock options were granted. Please refer to “Potential Payments Upon Termination or Change in Control” on page 61 for more information regarding the post-employment treatment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139700</wp:posOffset>
            </wp:positionV>
            <wp:extent cx="5538470" cy="165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46</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Compensation Elements for 2024</w:t>
      </w:r>
    </w:p>
    <w:p>
      <w:pPr>
        <w:spacing w:after="0" w:line="238" w:lineRule="exact"/>
        <w:rPr>
          <w:sz w:val="20"/>
          <w:szCs w:val="20"/>
          <w:color w:val="auto"/>
        </w:rPr>
      </w:pPr>
    </w:p>
    <w:p>
      <w:pPr>
        <w:jc w:val="both"/>
        <w:ind w:left="780" w:right="539"/>
        <w:spacing w:after="0" w:line="248" w:lineRule="auto"/>
        <w:rPr>
          <w:sz w:val="20"/>
          <w:szCs w:val="20"/>
          <w:color w:val="auto"/>
        </w:rPr>
      </w:pPr>
      <w:r>
        <w:rPr>
          <w:rFonts w:ascii="Arial" w:cs="Arial" w:eastAsia="Arial" w:hAnsi="Arial"/>
          <w:sz w:val="21"/>
          <w:szCs w:val="21"/>
          <w:color w:val="auto"/>
        </w:rPr>
        <w:t>each NEO’s unvested option awards. For a description of grant date fair values related to stock options granted to our NEOs in 2024, and related valuation assumptions, see note 4 to the 2024 Summary Compensation Table.</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28"/>
          <w:szCs w:val="28"/>
          <w:color w:val="auto"/>
        </w:rPr>
        <w:t>Restricted Stock Units</w:t>
      </w:r>
    </w:p>
    <w:p>
      <w:pPr>
        <w:spacing w:after="0" w:line="149" w:lineRule="exact"/>
        <w:rPr>
          <w:sz w:val="20"/>
          <w:szCs w:val="20"/>
          <w:color w:val="auto"/>
        </w:rPr>
      </w:pPr>
    </w:p>
    <w:p>
      <w:pPr>
        <w:ind w:left="780" w:right="599"/>
        <w:spacing w:after="0"/>
        <w:rPr>
          <w:sz w:val="20"/>
          <w:szCs w:val="20"/>
          <w:color w:val="auto"/>
        </w:rPr>
      </w:pPr>
      <w:r>
        <w:rPr>
          <w:rFonts w:ascii="Arial" w:cs="Arial" w:eastAsia="Arial" w:hAnsi="Arial"/>
          <w:sz w:val="21"/>
          <w:szCs w:val="21"/>
          <w:color w:val="auto"/>
        </w:rPr>
        <w:t>RSUs enhance the linkage between shareholder value creation and executive rewards and the value of an RSU is directly tied to our stock price. In addition, RSUs are a powerful retention incentive vehicle and are therefore especially critical to a company like Sotera that faces unique operating challenges and volatility. Each RSU represents the right to receive one share of our common stock.</w:t>
      </w:r>
    </w:p>
    <w:p>
      <w:pPr>
        <w:spacing w:after="0" w:line="168" w:lineRule="exact"/>
        <w:rPr>
          <w:sz w:val="20"/>
          <w:szCs w:val="20"/>
          <w:color w:val="auto"/>
        </w:rPr>
      </w:pPr>
    </w:p>
    <w:p>
      <w:pPr>
        <w:ind w:left="780" w:right="159"/>
        <w:spacing w:after="0" w:line="255" w:lineRule="auto"/>
        <w:rPr>
          <w:sz w:val="20"/>
          <w:szCs w:val="20"/>
          <w:color w:val="auto"/>
        </w:rPr>
      </w:pPr>
      <w:r>
        <w:rPr>
          <w:rFonts w:ascii="Arial" w:cs="Arial" w:eastAsia="Arial" w:hAnsi="Arial"/>
          <w:sz w:val="20"/>
          <w:szCs w:val="20"/>
          <w:color w:val="auto"/>
        </w:rPr>
        <w:t>The grant value of the 2024 Annual Equity Awards was comprised of approximately 50% RSUs. The table below shows the number of RSUs granted to Messrs. Petras, Lyons, Rutz, and Dimitrief on March 4, 2024. The RSUs granted as 2024 Annual Equity Awards generally vest in equal annual installments over a three-year period beginning on the first anniversary of March 2, 2024. Continued service of the executive during the vesting period is generally required.</w:t>
      </w:r>
    </w:p>
    <w:p>
      <w:pPr>
        <w:spacing w:after="0" w:line="283"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5400" w:type="dxa"/>
            <w:vAlign w:val="bottom"/>
            <w:tcBorders>
              <w:bottom w:val="single" w:sz="8" w:color="435F86"/>
            </w:tcBorders>
          </w:tcPr>
          <w:p>
            <w:pPr>
              <w:ind w:left="80"/>
              <w:spacing w:after="0"/>
              <w:rPr>
                <w:sz w:val="20"/>
                <w:szCs w:val="20"/>
                <w:color w:val="auto"/>
              </w:rPr>
            </w:pPr>
            <w:r>
              <w:rPr>
                <w:rFonts w:ascii="Arial" w:cs="Arial" w:eastAsia="Arial" w:hAnsi="Arial"/>
                <w:sz w:val="16"/>
                <w:szCs w:val="16"/>
                <w:b w:val="1"/>
                <w:bCs w:val="1"/>
                <w:color w:val="435F86"/>
              </w:rPr>
              <w:t>Named Executive Officer</w:t>
            </w:r>
          </w:p>
        </w:tc>
        <w:tc>
          <w:tcPr>
            <w:tcW w:w="3220" w:type="dxa"/>
            <w:vAlign w:val="bottom"/>
            <w:tcBorders>
              <w:bottom w:val="single" w:sz="8" w:color="435F86"/>
            </w:tcBorders>
          </w:tcPr>
          <w:p>
            <w:pPr>
              <w:ind w:left="2600"/>
              <w:spacing w:after="0"/>
              <w:rPr>
                <w:sz w:val="20"/>
                <w:szCs w:val="20"/>
                <w:color w:val="auto"/>
              </w:rPr>
            </w:pPr>
            <w:r>
              <w:rPr>
                <w:rFonts w:ascii="Arial" w:cs="Arial" w:eastAsia="Arial" w:hAnsi="Arial"/>
                <w:sz w:val="16"/>
                <w:szCs w:val="16"/>
                <w:b w:val="1"/>
                <w:bCs w:val="1"/>
                <w:color w:val="435F86"/>
              </w:rPr>
              <w:t>RSU (#)</w:t>
            </w:r>
          </w:p>
        </w:tc>
        <w:tc>
          <w:tcPr>
            <w:tcW w:w="100" w:type="dxa"/>
            <w:vAlign w:val="bottom"/>
            <w:tcBorders>
              <w:bottom w:val="single" w:sz="8" w:color="435F86"/>
            </w:tcBorders>
          </w:tcPr>
          <w:p>
            <w:pPr>
              <w:spacing w:after="0"/>
              <w:rPr>
                <w:sz w:val="18"/>
                <w:szCs w:val="18"/>
                <w:color w:val="auto"/>
              </w:rPr>
            </w:pPr>
          </w:p>
        </w:tc>
        <w:tc>
          <w:tcPr>
            <w:tcW w:w="20" w:type="dxa"/>
            <w:vAlign w:val="bottom"/>
          </w:tcPr>
          <w:p>
            <w:pPr>
              <w:spacing w:after="0"/>
              <w:rPr>
                <w:sz w:val="18"/>
                <w:szCs w:val="18"/>
                <w:color w:val="auto"/>
              </w:rPr>
            </w:pPr>
          </w:p>
        </w:tc>
      </w:tr>
      <w:tr>
        <w:trPr>
          <w:trHeight w:val="256"/>
        </w:trPr>
        <w:tc>
          <w:tcPr>
            <w:tcW w:w="540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b w:val="1"/>
                <w:bCs w:val="1"/>
                <w:i w:val="1"/>
                <w:iCs w:val="1"/>
                <w:color w:val="auto"/>
              </w:rPr>
              <w:t>2024 Annual Equity Awards (RSUs)</w:t>
            </w:r>
          </w:p>
        </w:tc>
        <w:tc>
          <w:tcPr>
            <w:tcW w:w="3220" w:type="dxa"/>
            <w:vAlign w:val="bottom"/>
            <w:tcBorders>
              <w:bottom w:val="single" w:sz="8" w:color="7B8FAA"/>
            </w:tcBorders>
            <w:shd w:val="clear" w:color="auto" w:fill="CCEEFF"/>
          </w:tcPr>
          <w:p>
            <w:pPr>
              <w:ind w:left="2520"/>
              <w:spacing w:after="0"/>
              <w:rPr>
                <w:sz w:val="20"/>
                <w:szCs w:val="20"/>
                <w:color w:val="auto"/>
              </w:rPr>
            </w:pPr>
            <w:r>
              <w:rPr>
                <w:rFonts w:ascii="Arial" w:cs="Arial" w:eastAsia="Arial" w:hAnsi="Arial"/>
                <w:sz w:val="17"/>
                <w:szCs w:val="17"/>
                <w:b w:val="1"/>
                <w:bCs w:val="1"/>
                <w:i w:val="1"/>
                <w:iCs w:val="1"/>
                <w:color w:val="auto"/>
              </w:rPr>
              <w:t>​</w:t>
            </w:r>
          </w:p>
        </w:tc>
        <w:tc>
          <w:tcPr>
            <w:tcW w:w="100" w:type="dxa"/>
            <w:vAlign w:val="bottom"/>
            <w:tcBorders>
              <w:bottom w:val="single" w:sz="8" w:color="7B8FAA"/>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w:t>
            </w:r>
          </w:p>
        </w:tc>
        <w:tc>
          <w:tcPr>
            <w:tcW w:w="20" w:type="dxa"/>
            <w:vAlign w:val="bottom"/>
          </w:tcPr>
          <w:p>
            <w:pPr>
              <w:spacing w:after="0"/>
              <w:rPr>
                <w:sz w:val="22"/>
                <w:szCs w:val="22"/>
                <w:color w:val="auto"/>
              </w:rPr>
            </w:pPr>
          </w:p>
        </w:tc>
      </w:tr>
      <w:tr>
        <w:trPr>
          <w:trHeight w:val="253"/>
        </w:trPr>
        <w:tc>
          <w:tcPr>
            <w:tcW w:w="5400" w:type="dxa"/>
            <w:vAlign w:val="bottom"/>
          </w:tcPr>
          <w:p>
            <w:pPr>
              <w:ind w:left="80"/>
              <w:spacing w:after="0"/>
              <w:rPr>
                <w:sz w:val="20"/>
                <w:szCs w:val="20"/>
                <w:color w:val="auto"/>
              </w:rPr>
            </w:pPr>
            <w:r>
              <w:rPr>
                <w:rFonts w:ascii="Arial" w:cs="Arial" w:eastAsia="Arial" w:hAnsi="Arial"/>
                <w:sz w:val="17"/>
                <w:szCs w:val="17"/>
                <w:color w:val="auto"/>
              </w:rPr>
              <w:t>Michael B. Petras, Jr.</w:t>
            </w:r>
          </w:p>
        </w:tc>
        <w:tc>
          <w:tcPr>
            <w:tcW w:w="3340" w:type="dxa"/>
            <w:vAlign w:val="bottom"/>
            <w:gridSpan w:val="3"/>
          </w:tcPr>
          <w:p>
            <w:pPr>
              <w:ind w:left="25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274,160 </w:t>
            </w:r>
            <w:r>
              <w:rPr>
                <w:rFonts w:ascii="Arial" w:cs="Arial" w:eastAsia="Arial" w:hAnsi="Arial"/>
                <w:sz w:val="29"/>
                <w:szCs w:val="29"/>
                <w:color w:val="auto"/>
                <w:vertAlign w:val="subscript"/>
              </w:rPr>
              <w:t>​​</w:t>
            </w:r>
          </w:p>
        </w:tc>
      </w:tr>
      <w:tr>
        <w:trPr>
          <w:trHeight w:val="253"/>
        </w:trPr>
        <w:tc>
          <w:tcPr>
            <w:tcW w:w="540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Jonathan M. Lyons</w:t>
            </w:r>
          </w:p>
        </w:tc>
        <w:tc>
          <w:tcPr>
            <w:tcW w:w="3320" w:type="dxa"/>
            <w:vAlign w:val="bottom"/>
            <w:tcBorders>
              <w:top w:val="single" w:sz="8" w:color="7B8FAA"/>
              <w:bottom w:val="single" w:sz="8" w:color="7B8FAA"/>
            </w:tcBorders>
            <w:gridSpan w:val="2"/>
            <w:shd w:val="clear" w:color="auto" w:fill="CCEEFF"/>
          </w:tcPr>
          <w:p>
            <w:pPr>
              <w:ind w:left="25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41,124 </w:t>
            </w:r>
            <w:r>
              <w:rPr>
                <w:rFonts w:ascii="Arial" w:cs="Arial" w:eastAsia="Arial" w:hAnsi="Arial"/>
                <w:sz w:val="29"/>
                <w:szCs w:val="29"/>
                <w:color w:val="auto"/>
                <w:vertAlign w:val="subscript"/>
              </w:rPr>
              <w:t>​​</w:t>
            </w:r>
          </w:p>
        </w:tc>
        <w:tc>
          <w:tcPr>
            <w:tcW w:w="20" w:type="dxa"/>
            <w:vAlign w:val="bottom"/>
          </w:tcPr>
          <w:p>
            <w:pPr>
              <w:spacing w:after="0"/>
              <w:rPr>
                <w:sz w:val="21"/>
                <w:szCs w:val="21"/>
                <w:color w:val="auto"/>
              </w:rPr>
            </w:pPr>
          </w:p>
        </w:tc>
      </w:tr>
      <w:tr>
        <w:trPr>
          <w:trHeight w:val="253"/>
        </w:trPr>
        <w:tc>
          <w:tcPr>
            <w:tcW w:w="5400" w:type="dxa"/>
            <w:vAlign w:val="bottom"/>
          </w:tcPr>
          <w:p>
            <w:pPr>
              <w:ind w:left="80"/>
              <w:spacing w:after="0"/>
              <w:rPr>
                <w:sz w:val="20"/>
                <w:szCs w:val="20"/>
                <w:color w:val="auto"/>
              </w:rPr>
            </w:pPr>
            <w:r>
              <w:rPr>
                <w:rFonts w:ascii="Arial" w:cs="Arial" w:eastAsia="Arial" w:hAnsi="Arial"/>
                <w:sz w:val="17"/>
                <w:szCs w:val="17"/>
                <w:color w:val="auto"/>
              </w:rPr>
              <w:t>Michael P. Rutz</w:t>
            </w:r>
          </w:p>
        </w:tc>
        <w:tc>
          <w:tcPr>
            <w:tcW w:w="3220" w:type="dxa"/>
            <w:vAlign w:val="bottom"/>
          </w:tcPr>
          <w:p>
            <w:pPr>
              <w:ind w:left="25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34,270</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rPr>
              <w:t>​​</w:t>
            </w:r>
          </w:p>
        </w:tc>
      </w:tr>
      <w:tr>
        <w:trPr>
          <w:trHeight w:val="253"/>
        </w:trPr>
        <w:tc>
          <w:tcPr>
            <w:tcW w:w="5400" w:type="dxa"/>
            <w:vAlign w:val="bottom"/>
            <w:tcBorders>
              <w:top w:val="single" w:sz="8" w:color="7B8FAA"/>
              <w:bottom w:val="single" w:sz="8" w:color="435F86"/>
            </w:tcBorders>
            <w:shd w:val="clear" w:color="auto" w:fill="CCEEFF"/>
          </w:tcPr>
          <w:p>
            <w:pPr>
              <w:ind w:left="80"/>
              <w:spacing w:after="0"/>
              <w:rPr>
                <w:sz w:val="20"/>
                <w:szCs w:val="20"/>
                <w:color w:val="auto"/>
              </w:rPr>
            </w:pPr>
            <w:r>
              <w:rPr>
                <w:rFonts w:ascii="Arial" w:cs="Arial" w:eastAsia="Arial" w:hAnsi="Arial"/>
                <w:sz w:val="17"/>
                <w:szCs w:val="17"/>
                <w:color w:val="auto"/>
              </w:rPr>
              <w:t>Alexander Dimitrief</w:t>
            </w:r>
          </w:p>
        </w:tc>
        <w:tc>
          <w:tcPr>
            <w:tcW w:w="3220" w:type="dxa"/>
            <w:vAlign w:val="bottom"/>
            <w:tcBorders>
              <w:top w:val="single" w:sz="8" w:color="7B8FAA"/>
              <w:bottom w:val="single" w:sz="8" w:color="435F86"/>
            </w:tcBorders>
            <w:shd w:val="clear" w:color="auto" w:fill="CCEEFF"/>
          </w:tcPr>
          <w:p>
            <w:pPr>
              <w:ind w:left="25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51,405</w:t>
            </w:r>
          </w:p>
        </w:tc>
        <w:tc>
          <w:tcPr>
            <w:tcW w:w="100" w:type="dxa"/>
            <w:vAlign w:val="bottom"/>
            <w:tcBorders>
              <w:top w:val="single" w:sz="8" w:color="7B8FAA"/>
              <w:bottom w:val="single" w:sz="8" w:color="435F86"/>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bl>
    <w:p>
      <w:pPr>
        <w:spacing w:after="0" w:line="168" w:lineRule="exact"/>
        <w:rPr>
          <w:sz w:val="20"/>
          <w:szCs w:val="20"/>
          <w:color w:val="auto"/>
        </w:rPr>
      </w:pPr>
    </w:p>
    <w:p>
      <w:pPr>
        <w:ind w:left="780" w:right="439"/>
        <w:spacing w:after="0" w:line="317" w:lineRule="auto"/>
        <w:rPr>
          <w:sz w:val="20"/>
          <w:szCs w:val="20"/>
          <w:color w:val="auto"/>
        </w:rPr>
      </w:pPr>
      <w:r>
        <w:rPr>
          <w:rFonts w:ascii="Arial" w:cs="Arial" w:eastAsia="Arial" w:hAnsi="Arial"/>
          <w:sz w:val="19"/>
          <w:szCs w:val="19"/>
          <w:color w:val="auto"/>
        </w:rPr>
        <w:t>Please refer to “Potential Payments Upon Termination or Change in Control” on page 61 for more information regarding the post-employment treatment of each NEO’s unvested equity awards.</w:t>
      </w:r>
    </w:p>
    <w:p>
      <w:pPr>
        <w:spacing w:after="0" w:line="9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Retirement Plans</w:t>
      </w:r>
    </w:p>
    <w:p>
      <w:pPr>
        <w:spacing w:after="0" w:line="149" w:lineRule="exact"/>
        <w:rPr>
          <w:sz w:val="20"/>
          <w:szCs w:val="20"/>
          <w:color w:val="auto"/>
        </w:rPr>
      </w:pPr>
    </w:p>
    <w:p>
      <w:pPr>
        <w:ind w:left="780" w:right="179"/>
        <w:spacing w:after="0" w:line="236" w:lineRule="auto"/>
        <w:rPr>
          <w:sz w:val="20"/>
          <w:szCs w:val="20"/>
          <w:color w:val="auto"/>
        </w:rPr>
      </w:pPr>
      <w:r>
        <w:rPr>
          <w:rFonts w:ascii="Arial" w:cs="Arial" w:eastAsia="Arial" w:hAnsi="Arial"/>
          <w:sz w:val="21"/>
          <w:szCs w:val="21"/>
          <w:color w:val="auto"/>
        </w:rPr>
        <w:t>To offer competitive total rewards that align with practices among our talent competitors, we maintain a tax-qualified 401(k) savings plan (the “401(k) Plan”), in which all U.S. employees, including our NEOs,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We have historically made annual contributions to employee 401(k) accounts of up to 4.5% of an employee’s eligible contributions to the 401(k) Plan. In 2024, we contributed up to $15,525 per employee. Participants are immediately fully vested in both their own contributions and our contributions to the 401(k) Plan.</w:t>
      </w:r>
    </w:p>
    <w:p>
      <w:pPr>
        <w:spacing w:after="0" w:line="173" w:lineRule="exact"/>
        <w:rPr>
          <w:sz w:val="20"/>
          <w:szCs w:val="20"/>
          <w:color w:val="auto"/>
        </w:rPr>
      </w:pPr>
    </w:p>
    <w:p>
      <w:pPr>
        <w:ind w:left="780" w:right="179"/>
        <w:spacing w:after="0" w:line="244" w:lineRule="auto"/>
        <w:rPr>
          <w:sz w:val="20"/>
          <w:szCs w:val="20"/>
          <w:color w:val="auto"/>
        </w:rPr>
      </w:pPr>
      <w:r>
        <w:rPr>
          <w:rFonts w:ascii="Arial" w:cs="Arial" w:eastAsia="Arial" w:hAnsi="Arial"/>
          <w:sz w:val="21"/>
          <w:szCs w:val="21"/>
          <w:color w:val="auto"/>
        </w:rPr>
        <w:t>Additionally, we maintain a non-qualified deferred compensation plan (the “Supplemental Retirement Benefit Plan”) under which a select group of management and highly compensated employees, including all our NEOs, are permitted to supplement contributions made under the 401(k) Plan by deferring up to 50% of their bonus or salary. Although permitted by the Supplemental Retirement Plan, we have not previously provided matching employer contributions under this plan. Participants in the Supplemental Retirement Benefit Plan are permitted to elect to invest their accounts in the same investment options as are available under the 401(k) Plan. Distributions from the Supplemental Retirement Benefit Plan will be made on the earlier of (i) the Participant’s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311150</wp:posOffset>
            </wp:positionV>
            <wp:extent cx="494665" cy="165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187960</wp:posOffset>
            </wp:positionV>
            <wp:extent cx="5538470" cy="16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Compensation Elements for 2024</w:t>
      </w:r>
    </w:p>
    <w:p>
      <w:pPr>
        <w:spacing w:after="0" w:line="238" w:lineRule="exact"/>
        <w:rPr>
          <w:sz w:val="20"/>
          <w:szCs w:val="20"/>
          <w:color w:val="auto"/>
        </w:rPr>
      </w:pPr>
    </w:p>
    <w:p>
      <w:pPr>
        <w:ind w:left="780" w:right="880"/>
        <w:spacing w:after="0" w:line="264" w:lineRule="auto"/>
        <w:rPr>
          <w:sz w:val="20"/>
          <w:szCs w:val="20"/>
          <w:color w:val="auto"/>
        </w:rPr>
      </w:pPr>
      <w:r>
        <w:rPr>
          <w:rFonts w:ascii="Arial" w:cs="Arial" w:eastAsia="Arial" w:hAnsi="Arial"/>
          <w:sz w:val="21"/>
          <w:szCs w:val="21"/>
          <w:color w:val="auto"/>
        </w:rPr>
        <w:t>with us, or (ii) a specified date at least two years from the time of deferral selected by the Participant at the time of deferral.</w:t>
      </w:r>
    </w:p>
    <w:p>
      <w:pPr>
        <w:spacing w:after="0" w:line="131" w:lineRule="exact"/>
        <w:rPr>
          <w:sz w:val="20"/>
          <w:szCs w:val="20"/>
          <w:color w:val="auto"/>
        </w:rPr>
      </w:pPr>
    </w:p>
    <w:p>
      <w:pPr>
        <w:ind w:left="780" w:right="1020"/>
        <w:spacing w:after="0" w:line="241" w:lineRule="auto"/>
        <w:rPr>
          <w:sz w:val="20"/>
          <w:szCs w:val="20"/>
          <w:color w:val="auto"/>
        </w:rPr>
      </w:pPr>
      <w:r>
        <w:rPr>
          <w:rFonts w:ascii="Arial" w:cs="Arial" w:eastAsia="Arial" w:hAnsi="Arial"/>
          <w:sz w:val="21"/>
          <w:szCs w:val="21"/>
          <w:color w:val="auto"/>
        </w:rPr>
        <w:t>Contributions to our Supplemental Retirement Benefit Plan are described beginning on page 57 in the Non-Qualified Deferred Compensation Table. Of our NEOs, only Mr. Rutz participates in the Supplemental Retirement Benefit Plan.</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Other Benefits and Perquisites</w:t>
      </w:r>
    </w:p>
    <w:p>
      <w:pPr>
        <w:spacing w:after="0" w:line="149" w:lineRule="exact"/>
        <w:rPr>
          <w:sz w:val="20"/>
          <w:szCs w:val="20"/>
          <w:color w:val="auto"/>
        </w:rPr>
      </w:pPr>
    </w:p>
    <w:p>
      <w:pPr>
        <w:ind w:left="780" w:right="840"/>
        <w:spacing w:after="0" w:line="229" w:lineRule="auto"/>
        <w:rPr>
          <w:sz w:val="20"/>
          <w:szCs w:val="20"/>
          <w:color w:val="auto"/>
        </w:rPr>
      </w:pPr>
      <w:r>
        <w:rPr>
          <w:rFonts w:ascii="Arial" w:cs="Arial" w:eastAsia="Arial" w:hAnsi="Arial"/>
          <w:sz w:val="21"/>
          <w:szCs w:val="21"/>
          <w:color w:val="auto"/>
        </w:rPr>
        <w:t>Our NEOs are eligible to participate in the same employee benefits generally available to all full-time employees on the same basis as these benefits are generally made available to all other Company employees. The LDC Committee believes these benefits are competitive with similar arrangements among our talent competitors, and thereby help support the recruitment and retention of critical executive talent. These benefits include medical and dental insurance, life insurance, and short- and long-term disability insurance. In 2024, the Company provided paid executive physical examinations for Messrs. Petras, Lyons, Rutz and Dimitrief. Please see page 53 and note 6 to “All Other Compensation” in the Summary Compensation Table for details regarding the value of these perquisites.</w:t>
      </w:r>
    </w:p>
    <w:p>
      <w:pPr>
        <w:spacing w:after="0" w:line="249"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Other Compensation Policies and Practices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Employment Arrangements</w:t>
      </w:r>
    </w:p>
    <w:p>
      <w:pPr>
        <w:spacing w:after="0" w:line="149" w:lineRule="exact"/>
        <w:rPr>
          <w:sz w:val="20"/>
          <w:szCs w:val="20"/>
          <w:color w:val="auto"/>
        </w:rPr>
      </w:pPr>
    </w:p>
    <w:p>
      <w:pPr>
        <w:ind w:left="780" w:right="800"/>
        <w:spacing w:after="0" w:line="263" w:lineRule="auto"/>
        <w:rPr>
          <w:sz w:val="20"/>
          <w:szCs w:val="20"/>
          <w:color w:val="auto"/>
        </w:rPr>
      </w:pPr>
      <w:r>
        <w:rPr>
          <w:rFonts w:ascii="Arial" w:cs="Arial" w:eastAsia="Arial" w:hAnsi="Arial"/>
          <w:sz w:val="19"/>
          <w:szCs w:val="19"/>
          <w:color w:val="auto"/>
        </w:rPr>
        <w:t>Although our NEOs are employed “at-will” and their employment can be terminated at any time for any reason with or without cause, the Company is party to employment agreements with Mr. Petras and Mr. Rutz, and offer letters and restrictive covenants agreements with Mr. Dimitrief and Mr. Lyons. The employment agreements with Mr. Petras and Mr. Rutz and the offer letter with Mr. Lyons contain severance provisions, and the employment agreement with Mr. Petras contains “double-trigger” change in control provisions for the vesting of any portion of Mr. Petras’ unvested IPO Equity Award and any future equity awards in the event Mr. Petras is terminated without cause or resigns for good reason within 1 year following a change in control. The LDC Committee believes severance provisions assist us in attracting and retaining executive talent and that change in control provisions are appropriate to help ensure continuity of management during a potential change in control.</w:t>
      </w:r>
    </w:p>
    <w:p>
      <w:pPr>
        <w:spacing w:after="0" w:line="150" w:lineRule="exact"/>
        <w:rPr>
          <w:sz w:val="20"/>
          <w:szCs w:val="20"/>
          <w:color w:val="auto"/>
        </w:rPr>
      </w:pPr>
    </w:p>
    <w:p>
      <w:pPr>
        <w:ind w:left="780" w:right="1100"/>
        <w:spacing w:after="0" w:line="248" w:lineRule="auto"/>
        <w:rPr>
          <w:sz w:val="20"/>
          <w:szCs w:val="20"/>
          <w:color w:val="auto"/>
        </w:rPr>
      </w:pPr>
      <w:r>
        <w:rPr>
          <w:rFonts w:ascii="Arial" w:cs="Arial" w:eastAsia="Arial" w:hAnsi="Arial"/>
          <w:sz w:val="21"/>
          <w:szCs w:val="21"/>
          <w:color w:val="auto"/>
        </w:rPr>
        <w:t>Additional detail regarding each NEO’s employment arrangements is provided in the sections “Employment Agreements” on page 58, and “Potential Payments Upon Termination or Change in Control” on page 61.</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28"/>
          <w:szCs w:val="28"/>
          <w:color w:val="auto"/>
        </w:rPr>
        <w:t>Policy Regarding Prohibition on Hedging and Pledging</w:t>
      </w:r>
    </w:p>
    <w:p>
      <w:pPr>
        <w:spacing w:after="0" w:line="149" w:lineRule="exact"/>
        <w:rPr>
          <w:sz w:val="20"/>
          <w:szCs w:val="20"/>
          <w:color w:val="auto"/>
        </w:rPr>
      </w:pPr>
    </w:p>
    <w:p>
      <w:pPr>
        <w:ind w:left="780" w:right="800"/>
        <w:spacing w:after="0" w:line="236" w:lineRule="auto"/>
        <w:rPr>
          <w:sz w:val="20"/>
          <w:szCs w:val="20"/>
          <w:color w:val="auto"/>
        </w:rPr>
      </w:pPr>
      <w:r>
        <w:rPr>
          <w:rFonts w:ascii="Arial" w:cs="Arial" w:eastAsia="Arial" w:hAnsi="Arial"/>
          <w:sz w:val="21"/>
          <w:szCs w:val="21"/>
          <w:color w:val="auto"/>
        </w:rPr>
        <w:t>We have adopted an Insider Trading Policy which provides that insiders, including executive officers and members of our Board, all employees at the Company’s global headquarters at 9100 South Hills Boulevard, Suite 300, Broadview Heights, Ohio and others reasonably expected to have access to material non-public information, are prohibited from entering into hedging or monetization transactions with respect to our securities, including zero-cost collars, equity swaps, exchange funds and forward sale contracts; holding our securities in a margin account; pledging our securities as collateral for a loan, unless approved in advance; short selling our securities; and engaging in any transaction in publicly traded options in our securities, including puts or calls or other derivative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142875</wp:posOffset>
            </wp:positionV>
            <wp:extent cx="5538470" cy="16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48</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Stock Ownership Guidelines</w:t>
      </w:r>
    </w:p>
    <w:p>
      <w:pPr>
        <w:spacing w:after="0" w:line="149" w:lineRule="exact"/>
        <w:rPr>
          <w:sz w:val="20"/>
          <w:szCs w:val="20"/>
          <w:color w:val="auto"/>
        </w:rPr>
      </w:pPr>
    </w:p>
    <w:p>
      <w:pPr>
        <w:ind w:left="780" w:right="219"/>
        <w:spacing w:after="0" w:line="267" w:lineRule="auto"/>
        <w:rPr>
          <w:sz w:val="20"/>
          <w:szCs w:val="20"/>
          <w:color w:val="auto"/>
        </w:rPr>
      </w:pPr>
      <w:r>
        <w:rPr>
          <w:rFonts w:ascii="Arial" w:cs="Arial" w:eastAsia="Arial" w:hAnsi="Arial"/>
          <w:sz w:val="19"/>
          <w:szCs w:val="19"/>
          <w:color w:val="auto"/>
        </w:rPr>
        <w:t>To further align the interests of our senior executive team, executive officers and directors with those of our shareholders, in 2021, the LDC Committee adopted stock ownership guidelines. Within</w:t>
      </w:r>
    </w:p>
    <w:p>
      <w:pPr>
        <w:spacing w:after="0" w:line="1" w:lineRule="exact"/>
        <w:rPr>
          <w:sz w:val="20"/>
          <w:szCs w:val="20"/>
          <w:color w:val="auto"/>
        </w:rPr>
      </w:pPr>
    </w:p>
    <w:p>
      <w:pPr>
        <w:ind w:left="780" w:right="179"/>
        <w:spacing w:after="0" w:line="260" w:lineRule="auto"/>
        <w:rPr>
          <w:sz w:val="20"/>
          <w:szCs w:val="20"/>
          <w:color w:val="auto"/>
        </w:rPr>
      </w:pPr>
      <w:r>
        <w:rPr>
          <w:rFonts w:ascii="Arial" w:cs="Arial" w:eastAsia="Arial" w:hAnsi="Arial"/>
          <w:sz w:val="19"/>
          <w:szCs w:val="19"/>
          <w:color w:val="auto"/>
        </w:rPr>
        <w:t>five years of becoming subject to the guidelines, our senior executive team is expected to hold Company stock valued at the following multiple of their annual base salary: five-times annual base salary for our CEO and two-times annual base salary for each of our other NEOs and other members of the senior executive team. Our non-employee directors are expected to hold Company stock valued at five-times their annual cash retainer within five years of becoming subject to the guidelines. Consistent with typical practices, we count shares underlying RSUs and shares of unvested restricted stock which are subject to time-based vesting requirements as owned shares for purposes of these guidelines but do not count shares underlying stock options or shares of unvested restricted stock which are subject to performance-based vesting requirements as owned shares. The Committee monitors compliance with these guidelines on an annual basis.</w:t>
      </w:r>
    </w:p>
    <w:p>
      <w:pPr>
        <w:spacing w:after="0" w:line="157" w:lineRule="exact"/>
        <w:rPr>
          <w:sz w:val="20"/>
          <w:szCs w:val="20"/>
          <w:color w:val="auto"/>
        </w:rPr>
      </w:pPr>
    </w:p>
    <w:p>
      <w:pPr>
        <w:ind w:left="780" w:right="439"/>
        <w:spacing w:after="0" w:line="242" w:lineRule="auto"/>
        <w:rPr>
          <w:sz w:val="20"/>
          <w:szCs w:val="20"/>
          <w:color w:val="auto"/>
        </w:rPr>
      </w:pPr>
      <w:r>
        <w:rPr>
          <w:rFonts w:ascii="Arial" w:cs="Arial" w:eastAsia="Arial" w:hAnsi="Arial"/>
          <w:sz w:val="21"/>
          <w:szCs w:val="21"/>
          <w:color w:val="auto"/>
        </w:rPr>
        <w:t>Mr. Petras, Mr. Dimitrief, Mr. Rutz and Mr. Lyons complied with our executive stock ownership guidelines as of March 31, 2024. Additionally, each of our non-employee directors either complies with the ownership guidelines or is on track to meet the ownership guidelines within the time required.</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Clawback Policy</w:t>
      </w:r>
    </w:p>
    <w:p>
      <w:pPr>
        <w:spacing w:after="0" w:line="149" w:lineRule="exact"/>
        <w:rPr>
          <w:sz w:val="20"/>
          <w:szCs w:val="20"/>
          <w:color w:val="auto"/>
        </w:rPr>
      </w:pPr>
    </w:p>
    <w:p>
      <w:pPr>
        <w:ind w:left="780" w:right="219"/>
        <w:spacing w:after="0" w:line="245" w:lineRule="auto"/>
        <w:rPr>
          <w:sz w:val="20"/>
          <w:szCs w:val="20"/>
          <w:color w:val="auto"/>
        </w:rPr>
      </w:pPr>
      <w:r>
        <w:rPr>
          <w:rFonts w:ascii="Arial" w:cs="Arial" w:eastAsia="Arial" w:hAnsi="Arial"/>
          <w:sz w:val="20"/>
          <w:szCs w:val="20"/>
          <w:color w:val="auto"/>
        </w:rPr>
        <w:t>We maintain and operate a Policy for the Recovery of Erroneously Awarded Compensation (the “Clawback Policy”) to comply with clawback rules adopted by the Securities and Exchange Commission (the “SEC”) and Nasdaq. In general, effective October 2, 2023, the Clawback Policy requires the Company to recover from certain current and former executive officers of the Company (“Covered Officers”), in a reasonably prompt manner, erroneously awarded compensation awarded to a Covered Officer in the event of an accounting restatement, without regard to any taxes paid. “Erroneously awarded compensation” is generally the amount of incentive-based compensation received by a Covered Officer (including the NEOs), during an applicable three fiscal-year recovery period immediately preceding an accounting restatement trigger date, that exceeds the amount of incentive-based compensation that would have been received by such Covered Officer during such period had it been determined based on the relevant restated amounts. Incentive-based compensation potentially subject to recovery under the mandatory accounting restatement provisions of the Clawback Policy is generally limited to any compensation granted, earned or vested (on or after October 2, 2023) based wholly or in part on the attainment of one or more financial reporting measures, and “financial reporting measure” includes stock price and total shareholder return. The recovery of such incentive-based compensation under the Clawback Policy applies regardless of whether a Covered Officer engaged in misconduct or otherwise caused or contributed to the requirement of an accounting restatement. Under the Clawback Policy, the Company generally is not required to recover such excess compensation if the LDC Committee has made a determination that recovery would be impracticable and (1) the Company has already attempted to recover such amount but the direct expense paid to a third party to assist in enforcing the Clawback Policy would exceed the amount to be recovered, (2) recovery would violate applicable home country law that was adopted prior to November 28, 2022, or (3) recovery would likely cause an otherwise tax qualified retirement plan to fail to meet the requirements of the Internal Revenue Code of 1986, as amended (the “Code”). The Company is prohibited from paying or reimbursing the cost of insurance for, or indemnifying, any Covered Officer against the loss of such recovered compensation. The LDC and Audit Committees oversee the administration of the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318135</wp:posOffset>
            </wp:positionV>
            <wp:extent cx="494665" cy="165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194310</wp:posOffset>
            </wp:positionV>
            <wp:extent cx="5538470"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23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Compensation Risk Considerations</w:t>
      </w:r>
    </w:p>
    <w:p>
      <w:pPr>
        <w:spacing w:after="0" w:line="162" w:lineRule="exact"/>
        <w:rPr>
          <w:sz w:val="20"/>
          <w:szCs w:val="20"/>
          <w:color w:val="auto"/>
        </w:rPr>
      </w:pPr>
    </w:p>
    <w:p>
      <w:pPr>
        <w:ind w:left="780" w:right="840"/>
        <w:spacing w:after="0" w:line="268" w:lineRule="auto"/>
        <w:rPr>
          <w:sz w:val="20"/>
          <w:szCs w:val="20"/>
          <w:color w:val="auto"/>
        </w:rPr>
      </w:pPr>
      <w:r>
        <w:rPr>
          <w:rFonts w:ascii="Arial" w:cs="Arial" w:eastAsia="Arial" w:hAnsi="Arial"/>
          <w:sz w:val="20"/>
          <w:szCs w:val="20"/>
          <w:color w:val="auto"/>
        </w:rPr>
        <w:t>In consultation with Exequity, the LDC Committee has reviewed our compensation program to assess whether it presents risks that are reasonably likely to have a material adverse effect on the Company. In particular, the LDC Committee has reviewed and considered our compensation policies and practices, including our mix of short- versus long-term incentives; cash- versus stock-based awards; stock ownership guidelines; assessment of individual performance against Company values; and the independent Board oversight of our compensation program. Based on this review, the LDC Committee agreed with Exequity’s assessment that the compensation program does not present risks that are reasonably likely to have a material adverse effect on the Company. Our LDC Committee conducts this assessment annually.</w:t>
      </w:r>
    </w:p>
    <w:p>
      <w:pPr>
        <w:spacing w:after="0" w:line="138" w:lineRule="exact"/>
        <w:rPr>
          <w:sz w:val="20"/>
          <w:szCs w:val="20"/>
          <w:color w:val="auto"/>
        </w:rPr>
      </w:pPr>
    </w:p>
    <w:p>
      <w:pPr>
        <w:ind w:left="780"/>
        <w:spacing w:after="0"/>
        <w:rPr>
          <w:sz w:val="20"/>
          <w:szCs w:val="20"/>
          <w:color w:val="auto"/>
        </w:rPr>
      </w:pPr>
      <w:r>
        <w:rPr>
          <w:rFonts w:ascii="Arial" w:cs="Arial" w:eastAsia="Arial" w:hAnsi="Arial"/>
          <w:sz w:val="28"/>
          <w:szCs w:val="28"/>
          <w:color w:val="auto"/>
        </w:rPr>
        <w:t>Policies and Practices Regarding Equity Awards</w:t>
      </w:r>
    </w:p>
    <w:p>
      <w:pPr>
        <w:spacing w:after="0" w:line="162" w:lineRule="exact"/>
        <w:rPr>
          <w:sz w:val="20"/>
          <w:szCs w:val="20"/>
          <w:color w:val="auto"/>
        </w:rPr>
      </w:pPr>
    </w:p>
    <w:p>
      <w:pPr>
        <w:ind w:left="780" w:right="860"/>
        <w:spacing w:after="0" w:line="266" w:lineRule="auto"/>
        <w:rPr>
          <w:sz w:val="20"/>
          <w:szCs w:val="20"/>
          <w:color w:val="auto"/>
        </w:rPr>
      </w:pPr>
      <w:r>
        <w:rPr>
          <w:rFonts w:ascii="Arial" w:cs="Arial" w:eastAsia="Arial" w:hAnsi="Arial"/>
          <w:sz w:val="20"/>
          <w:szCs w:val="20"/>
          <w:color w:val="auto"/>
        </w:rPr>
        <w:t>Under the Company’s policies and practices, in general, the Company does not grant equity awards when in possession of material non-public information. While the Company does not have predetermined, fixed dates upon which grants must be made, in generally, our broad-based equity awards (including stock options, and including grants to our NEOs) will be granted at approximately the same time each year (early March) following our release of full-year financial results. These grants are generally approved at regularly scheduled LDC Committee meetings or via unanimous written consent executed by the LDC Committee during February each year. Such LDC Committee meetings are generally scheduled at least one year in advance. When equity grants are approved outside of our regular annual cycle (for example, in connection with a new hire, promotion or retention incentive), grants are generally made following the release of our next quarterly financial results. Stock options are granted only with an exercise price equal to the closing price of the Company’s stock on the date of grant.</w:t>
      </w:r>
    </w:p>
    <w:p>
      <w:pPr>
        <w:spacing w:after="0" w:line="160" w:lineRule="exact"/>
        <w:rPr>
          <w:sz w:val="20"/>
          <w:szCs w:val="20"/>
          <w:color w:val="auto"/>
        </w:rPr>
      </w:pPr>
    </w:p>
    <w:p>
      <w:pPr>
        <w:ind w:left="780" w:right="880"/>
        <w:spacing w:after="0" w:line="253" w:lineRule="auto"/>
        <w:rPr>
          <w:sz w:val="20"/>
          <w:szCs w:val="20"/>
          <w:color w:val="auto"/>
        </w:rPr>
      </w:pPr>
      <w:r>
        <w:rPr>
          <w:rFonts w:ascii="Arial" w:cs="Arial" w:eastAsia="Arial" w:hAnsi="Arial"/>
          <w:sz w:val="21"/>
          <w:szCs w:val="21"/>
          <w:color w:val="auto"/>
        </w:rPr>
        <w:t>As a general matter, the LDC Committee does not take material nonpublic information into account when determining the timing and terms of stock option awards. Due to the grant timing described above, grants are generally made during open trading windows. This grant timing is used to provide for a routine and regular grant practice regarding stock options, and in order to make sure that material nonpublic information is not a factor in decisions about the timing or size of stock option grants. In this sense, the Committee acts in a neutral manner with respect to the existence (or lack thereof) of material nonpublic information when making stock option grants. Further, the Company has not timed the disclosure of material nonpublic information for the purpose of affecting the value of executive compensation.</w:t>
      </w:r>
    </w:p>
    <w:p>
      <w:pPr>
        <w:spacing w:after="0" w:line="175" w:lineRule="exact"/>
        <w:rPr>
          <w:sz w:val="20"/>
          <w:szCs w:val="20"/>
          <w:color w:val="auto"/>
        </w:rPr>
      </w:pPr>
    </w:p>
    <w:p>
      <w:pPr>
        <w:ind w:left="780" w:right="860"/>
        <w:spacing w:after="0" w:line="295" w:lineRule="auto"/>
        <w:rPr>
          <w:sz w:val="20"/>
          <w:szCs w:val="20"/>
          <w:color w:val="auto"/>
        </w:rPr>
      </w:pPr>
      <w:r>
        <w:rPr>
          <w:rFonts w:ascii="Arial" w:cs="Arial" w:eastAsia="Arial" w:hAnsi="Arial"/>
          <w:sz w:val="19"/>
          <w:szCs w:val="19"/>
          <w:color w:val="auto"/>
        </w:rPr>
        <w:t>The table below represents the instances when the Company granted stock options during fiscal year 2024 to any of our NEOs during the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405765</wp:posOffset>
            </wp:positionV>
            <wp:extent cx="5538470"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50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340"/>
        <w:spacing w:after="0"/>
        <w:rPr>
          <w:sz w:val="20"/>
          <w:szCs w:val="20"/>
          <w:color w:val="auto"/>
        </w:rPr>
      </w:pPr>
      <w:r>
        <w:rPr>
          <w:rFonts w:ascii="Arial" w:cs="Arial" w:eastAsia="Arial" w:hAnsi="Arial"/>
          <w:sz w:val="16"/>
          <w:szCs w:val="16"/>
          <w:b w:val="1"/>
          <w:bCs w:val="1"/>
          <w:color w:val="435F86"/>
        </w:rPr>
        <w:t>Name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Other Compensation Policies and Practices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435F86"/>
                <w:w w:val="93"/>
              </w:rPr>
              <w:t>Percentage change in the closing</w:t>
            </w:r>
          </w:p>
        </w:tc>
      </w:tr>
      <w:tr>
        <w:trPr>
          <w:trHeight w:val="169"/>
        </w:trPr>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2"/>
              </w:rPr>
              <w:t>market price of the securities</w:t>
            </w:r>
          </w:p>
        </w:tc>
      </w:tr>
      <w:tr>
        <w:trPr>
          <w:trHeight w:val="169"/>
        </w:trPr>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3"/>
              </w:rPr>
              <w:t>underlying the award between</w:t>
            </w:r>
          </w:p>
        </w:tc>
      </w:tr>
      <w:tr>
        <w:trPr>
          <w:trHeight w:val="182"/>
        </w:trPr>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tcPr>
          <w:p>
            <w:pPr>
              <w:jc w:val="center"/>
              <w:spacing w:after="0" w:line="182" w:lineRule="exact"/>
              <w:rPr>
                <w:sz w:val="20"/>
                <w:szCs w:val="20"/>
                <w:color w:val="auto"/>
              </w:rPr>
            </w:pPr>
            <w:r>
              <w:rPr>
                <w:rFonts w:ascii="Arial" w:cs="Arial" w:eastAsia="Arial" w:hAnsi="Arial"/>
                <w:sz w:val="16"/>
                <w:szCs w:val="16"/>
                <w:b w:val="1"/>
                <w:bCs w:val="1"/>
                <w:color w:val="435F86"/>
                <w:w w:val="93"/>
              </w:rPr>
              <w:t>the trading day ending</w:t>
            </w:r>
          </w:p>
        </w:tc>
      </w:tr>
      <w:tr>
        <w:trPr>
          <w:trHeight w:val="169"/>
        </w:trPr>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3"/>
              </w:rPr>
              <w:t>immediately prior to the</w:t>
            </w:r>
          </w:p>
        </w:tc>
      </w:tr>
      <w:tr>
        <w:trPr>
          <w:trHeight w:val="169"/>
        </w:trPr>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3"/>
              </w:rPr>
              <w:t>disclosure of material nonpublic</w:t>
            </w:r>
          </w:p>
        </w:tc>
      </w:tr>
      <w:tr>
        <w:trPr>
          <w:trHeight w:val="182"/>
        </w:trPr>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tcPr>
          <w:p>
            <w:pPr>
              <w:jc w:val="center"/>
              <w:spacing w:after="0" w:line="182" w:lineRule="exact"/>
              <w:rPr>
                <w:sz w:val="20"/>
                <w:szCs w:val="20"/>
                <w:color w:val="auto"/>
              </w:rPr>
            </w:pPr>
            <w:r>
              <w:rPr>
                <w:rFonts w:ascii="Arial" w:cs="Arial" w:eastAsia="Arial" w:hAnsi="Arial"/>
                <w:sz w:val="16"/>
                <w:szCs w:val="16"/>
                <w:b w:val="1"/>
                <w:bCs w:val="1"/>
                <w:color w:val="435F86"/>
                <w:w w:val="93"/>
              </w:rPr>
              <w:t>information and the trading day</w:t>
            </w:r>
          </w:p>
        </w:tc>
      </w:tr>
      <w:tr>
        <w:trPr>
          <w:trHeight w:val="169"/>
        </w:trPr>
        <w:tc>
          <w:tcPr>
            <w:tcW w:w="120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4"/>
              </w:rPr>
              <w:t>Number of</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4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3"/>
              </w:rPr>
              <w:t>beginning immediately following</w:t>
            </w:r>
          </w:p>
        </w:tc>
      </w:tr>
      <w:tr>
        <w:trPr>
          <w:trHeight w:val="170"/>
        </w:trPr>
        <w:tc>
          <w:tcPr>
            <w:tcW w:w="1200" w:type="dxa"/>
            <w:vAlign w:val="bottom"/>
          </w:tcPr>
          <w:p>
            <w:pPr>
              <w:spacing w:after="0"/>
              <w:rPr>
                <w:sz w:val="14"/>
                <w:szCs w:val="14"/>
                <w:color w:val="auto"/>
              </w:rPr>
            </w:pPr>
          </w:p>
        </w:tc>
        <w:tc>
          <w:tcPr>
            <w:tcW w:w="900" w:type="dxa"/>
            <w:vAlign w:val="bottom"/>
          </w:tcPr>
          <w:p>
            <w:pPr>
              <w:jc w:val="center"/>
              <w:spacing w:after="0" w:line="170" w:lineRule="exact"/>
              <w:rPr>
                <w:sz w:val="20"/>
                <w:szCs w:val="20"/>
                <w:color w:val="auto"/>
              </w:rPr>
            </w:pPr>
            <w:r>
              <w:rPr>
                <w:rFonts w:ascii="Arial" w:cs="Arial" w:eastAsia="Arial" w:hAnsi="Arial"/>
                <w:sz w:val="16"/>
                <w:szCs w:val="16"/>
                <w:b w:val="1"/>
                <w:bCs w:val="1"/>
                <w:color w:val="435F86"/>
                <w:w w:val="93"/>
              </w:rPr>
              <w:t>securities</w:t>
            </w:r>
          </w:p>
        </w:tc>
        <w:tc>
          <w:tcPr>
            <w:tcW w:w="300" w:type="dxa"/>
            <w:vAlign w:val="bottom"/>
          </w:tcPr>
          <w:p>
            <w:pPr>
              <w:spacing w:after="0"/>
              <w:rPr>
                <w:sz w:val="14"/>
                <w:szCs w:val="14"/>
                <w:color w:val="auto"/>
              </w:rPr>
            </w:pPr>
          </w:p>
        </w:tc>
        <w:tc>
          <w:tcPr>
            <w:tcW w:w="1160" w:type="dxa"/>
            <w:vAlign w:val="bottom"/>
          </w:tcPr>
          <w:p>
            <w:pPr>
              <w:jc w:val="center"/>
              <w:ind w:right="142"/>
              <w:spacing w:after="0" w:line="170" w:lineRule="exact"/>
              <w:rPr>
                <w:sz w:val="20"/>
                <w:szCs w:val="20"/>
                <w:color w:val="auto"/>
              </w:rPr>
            </w:pPr>
            <w:r>
              <w:rPr>
                <w:rFonts w:ascii="Arial" w:cs="Arial" w:eastAsia="Arial" w:hAnsi="Arial"/>
                <w:sz w:val="16"/>
                <w:szCs w:val="16"/>
                <w:b w:val="1"/>
                <w:bCs w:val="1"/>
                <w:color w:val="435F86"/>
                <w:w w:val="94"/>
              </w:rPr>
              <w:t>Exercise</w:t>
            </w:r>
          </w:p>
        </w:tc>
        <w:tc>
          <w:tcPr>
            <w:tcW w:w="1100" w:type="dxa"/>
            <w:vAlign w:val="bottom"/>
          </w:tcPr>
          <w:p>
            <w:pPr>
              <w:jc w:val="center"/>
              <w:spacing w:after="0" w:line="170" w:lineRule="exact"/>
              <w:rPr>
                <w:sz w:val="20"/>
                <w:szCs w:val="20"/>
                <w:color w:val="auto"/>
              </w:rPr>
            </w:pPr>
            <w:r>
              <w:rPr>
                <w:rFonts w:ascii="Arial" w:cs="Arial" w:eastAsia="Arial" w:hAnsi="Arial"/>
                <w:sz w:val="16"/>
                <w:szCs w:val="16"/>
                <w:b w:val="1"/>
                <w:bCs w:val="1"/>
                <w:color w:val="435F86"/>
                <w:w w:val="93"/>
              </w:rPr>
              <w:t>Grant date fair</w:t>
            </w:r>
          </w:p>
        </w:tc>
        <w:tc>
          <w:tcPr>
            <w:tcW w:w="2440" w:type="dxa"/>
            <w:vAlign w:val="bottom"/>
          </w:tcPr>
          <w:p>
            <w:pPr>
              <w:jc w:val="center"/>
              <w:spacing w:after="0" w:line="170" w:lineRule="exact"/>
              <w:rPr>
                <w:sz w:val="20"/>
                <w:szCs w:val="20"/>
                <w:color w:val="auto"/>
              </w:rPr>
            </w:pPr>
            <w:r>
              <w:rPr>
                <w:rFonts w:ascii="Arial" w:cs="Arial" w:eastAsia="Arial" w:hAnsi="Arial"/>
                <w:sz w:val="16"/>
                <w:szCs w:val="16"/>
                <w:b w:val="1"/>
                <w:bCs w:val="1"/>
                <w:color w:val="435F86"/>
                <w:w w:val="93"/>
              </w:rPr>
              <w:t>the disclosure of material</w:t>
            </w:r>
          </w:p>
        </w:tc>
      </w:tr>
      <w:tr>
        <w:trPr>
          <w:trHeight w:val="181"/>
        </w:trPr>
        <w:tc>
          <w:tcPr>
            <w:tcW w:w="3560" w:type="dxa"/>
            <w:vAlign w:val="bottom"/>
            <w:gridSpan w:val="4"/>
          </w:tcPr>
          <w:p>
            <w:pPr>
              <w:ind w:left="1100"/>
              <w:spacing w:after="0" w:line="181" w:lineRule="exact"/>
              <w:rPr>
                <w:sz w:val="20"/>
                <w:szCs w:val="20"/>
                <w:color w:val="auto"/>
              </w:rPr>
            </w:pPr>
            <w:r>
              <w:rPr>
                <w:rFonts w:ascii="Arial" w:cs="Arial" w:eastAsia="Arial" w:hAnsi="Arial"/>
                <w:sz w:val="16"/>
                <w:szCs w:val="16"/>
                <w:b w:val="1"/>
                <w:bCs w:val="1"/>
                <w:color w:val="435F86"/>
                <w:w w:val="96"/>
              </w:rPr>
              <w:t>underlying the price of the award</w:t>
            </w:r>
          </w:p>
        </w:tc>
        <w:tc>
          <w:tcPr>
            <w:tcW w:w="1100" w:type="dxa"/>
            <w:vAlign w:val="bottom"/>
          </w:tcPr>
          <w:p>
            <w:pPr>
              <w:jc w:val="center"/>
              <w:spacing w:after="0" w:line="181" w:lineRule="exact"/>
              <w:rPr>
                <w:sz w:val="20"/>
                <w:szCs w:val="20"/>
                <w:color w:val="auto"/>
              </w:rPr>
            </w:pPr>
            <w:r>
              <w:rPr>
                <w:rFonts w:ascii="Arial" w:cs="Arial" w:eastAsia="Arial" w:hAnsi="Arial"/>
                <w:sz w:val="16"/>
                <w:szCs w:val="16"/>
                <w:b w:val="1"/>
                <w:bCs w:val="1"/>
                <w:color w:val="435F86"/>
                <w:w w:val="92"/>
              </w:rPr>
              <w:t>value of the</w:t>
            </w:r>
          </w:p>
        </w:tc>
        <w:tc>
          <w:tcPr>
            <w:tcW w:w="2440" w:type="dxa"/>
            <w:vAlign w:val="bottom"/>
          </w:tcPr>
          <w:p>
            <w:pPr>
              <w:jc w:val="center"/>
              <w:spacing w:after="0" w:line="181" w:lineRule="exact"/>
              <w:rPr>
                <w:sz w:val="20"/>
                <w:szCs w:val="20"/>
                <w:color w:val="auto"/>
              </w:rPr>
            </w:pPr>
            <w:r>
              <w:rPr>
                <w:rFonts w:ascii="Arial" w:cs="Arial" w:eastAsia="Arial" w:hAnsi="Arial"/>
                <w:sz w:val="16"/>
                <w:szCs w:val="16"/>
                <w:b w:val="1"/>
                <w:bCs w:val="1"/>
                <w:color w:val="435F86"/>
                <w:w w:val="94"/>
              </w:rPr>
              <w:t>nonpublic</w:t>
            </w:r>
          </w:p>
        </w:tc>
      </w:tr>
      <w:tr>
        <w:trPr>
          <w:trHeight w:val="226"/>
        </w:trPr>
        <w:tc>
          <w:tcPr>
            <w:tcW w:w="1200" w:type="dxa"/>
            <w:vAlign w:val="bottom"/>
          </w:tcPr>
          <w:p>
            <w:pPr>
              <w:spacing w:after="0"/>
              <w:rPr>
                <w:sz w:val="20"/>
                <w:szCs w:val="20"/>
                <w:color w:val="auto"/>
              </w:rPr>
            </w:pPr>
            <w:r>
              <w:rPr>
                <w:rFonts w:ascii="Arial" w:cs="Arial" w:eastAsia="Arial" w:hAnsi="Arial"/>
                <w:sz w:val="16"/>
                <w:szCs w:val="16"/>
                <w:b w:val="1"/>
                <w:bCs w:val="1"/>
                <w:color w:val="435F86"/>
              </w:rPr>
              <w:t>​  Grant date  ​</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435F86"/>
                <w:w w:val="95"/>
              </w:rPr>
              <w:t>award</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435F86"/>
              </w:rPr>
              <w:t>​</w:t>
            </w:r>
          </w:p>
        </w:tc>
        <w:tc>
          <w:tcPr>
            <w:tcW w:w="1160" w:type="dxa"/>
            <w:vAlign w:val="bottom"/>
          </w:tcPr>
          <w:p>
            <w:pPr>
              <w:jc w:val="center"/>
              <w:ind w:right="102"/>
              <w:spacing w:after="0"/>
              <w:rPr>
                <w:sz w:val="20"/>
                <w:szCs w:val="20"/>
                <w:color w:val="auto"/>
              </w:rPr>
            </w:pPr>
            <w:r>
              <w:rPr>
                <w:rFonts w:ascii="Arial" w:cs="Arial" w:eastAsia="Arial" w:hAnsi="Arial"/>
                <w:sz w:val="16"/>
                <w:szCs w:val="16"/>
                <w:b w:val="1"/>
                <w:bCs w:val="1"/>
                <w:color w:val="435F86"/>
                <w:w w:val="94"/>
              </w:rPr>
              <w:t>($/Sh)</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435F86"/>
                <w:w w:val="93"/>
              </w:rPr>
              <w:t>award ($)</w:t>
            </w:r>
          </w:p>
        </w:tc>
        <w:tc>
          <w:tcPr>
            <w:tcW w:w="2440" w:type="dxa"/>
            <w:vAlign w:val="bottom"/>
          </w:tcPr>
          <w:p>
            <w:pPr>
              <w:jc w:val="center"/>
              <w:ind w:left="22"/>
              <w:spacing w:after="0"/>
              <w:rPr>
                <w:sz w:val="20"/>
                <w:szCs w:val="20"/>
                <w:color w:val="auto"/>
              </w:rPr>
            </w:pPr>
            <w:r>
              <w:rPr>
                <w:rFonts w:ascii="Arial" w:cs="Arial" w:eastAsia="Arial" w:hAnsi="Arial"/>
                <w:sz w:val="16"/>
                <w:szCs w:val="16"/>
                <w:b w:val="1"/>
                <w:bCs w:val="1"/>
                <w:color w:val="435F86"/>
                <w:w w:val="93"/>
              </w:rPr>
              <w:t>Information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-988060</wp:posOffset>
            </wp:positionH>
            <wp:positionV relativeFrom="paragraph">
              <wp:posOffset>-1905</wp:posOffset>
            </wp:positionV>
            <wp:extent cx="5538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1620" w:space="720"/>
            <w:col w:w="7319"/>
          </w:cols>
          <w:pgMar w:left="800" w:top="94" w:right="1440" w:bottom="1440" w:gutter="0" w:footer="0" w:header="0"/>
        </w:sectPr>
      </w:pPr>
    </w:p>
    <w:tbl>
      <w:tblPr>
        <w:tblLayout w:type="fixed"/>
        <w:tblInd w:w="780" w:type="dxa"/>
        <w:tblCellMar>
          <w:top w:w="0" w:type="dxa"/>
          <w:left w:w="0" w:type="dxa"/>
          <w:bottom w:w="0" w:type="dxa"/>
          <w:right w:w="0" w:type="dxa"/>
        </w:tblCellMar>
      </w:tblPr>
      <w:tr>
        <w:trPr>
          <w:trHeight w:val="222"/>
        </w:trPr>
        <w:tc>
          <w:tcPr>
            <w:tcW w:w="1520" w:type="dxa"/>
            <w:vAlign w:val="bottom"/>
            <w:tcBorders>
              <w:bottom w:val="single" w:sz="8" w:color="435F86"/>
            </w:tcBorders>
          </w:tcPr>
          <w:p>
            <w:pPr>
              <w:ind w:left="80"/>
              <w:spacing w:after="0"/>
              <w:rPr>
                <w:sz w:val="20"/>
                <w:szCs w:val="20"/>
                <w:color w:val="auto"/>
              </w:rPr>
            </w:pPr>
            <w:r>
              <w:rPr>
                <w:rFonts w:ascii="Arial" w:cs="Arial" w:eastAsia="Arial" w:hAnsi="Arial"/>
                <w:sz w:val="16"/>
                <w:szCs w:val="16"/>
                <w:b w:val="1"/>
                <w:bCs w:val="1"/>
                <w:color w:val="435F86"/>
              </w:rPr>
              <w:t>(a)</w:t>
            </w:r>
          </w:p>
        </w:tc>
        <w:tc>
          <w:tcPr>
            <w:tcW w:w="300" w:type="dxa"/>
            <w:vAlign w:val="bottom"/>
            <w:tcBorders>
              <w:bottom w:val="single" w:sz="8" w:color="435F86"/>
            </w:tcBorders>
          </w:tcPr>
          <w:p>
            <w:pPr>
              <w:ind w:left="40"/>
              <w:spacing w:after="0"/>
              <w:rPr>
                <w:sz w:val="20"/>
                <w:szCs w:val="20"/>
                <w:color w:val="auto"/>
              </w:rPr>
            </w:pPr>
            <w:r>
              <w:rPr>
                <w:rFonts w:ascii="Arial" w:cs="Arial" w:eastAsia="Arial" w:hAnsi="Arial"/>
                <w:sz w:val="16"/>
                <w:szCs w:val="16"/>
                <w:b w:val="1"/>
                <w:bCs w:val="1"/>
                <w:color w:val="435F86"/>
              </w:rPr>
              <w:t>​</w:t>
            </w:r>
          </w:p>
        </w:tc>
        <w:tc>
          <w:tcPr>
            <w:tcW w:w="600" w:type="dxa"/>
            <w:vAlign w:val="bottom"/>
            <w:tcBorders>
              <w:bottom w:val="single" w:sz="8" w:color="435F86"/>
            </w:tcBorders>
          </w:tcPr>
          <w:p>
            <w:pPr>
              <w:ind w:left="200"/>
              <w:spacing w:after="0"/>
              <w:rPr>
                <w:sz w:val="20"/>
                <w:szCs w:val="20"/>
                <w:color w:val="auto"/>
              </w:rPr>
            </w:pPr>
            <w:r>
              <w:rPr>
                <w:rFonts w:ascii="Arial" w:cs="Arial" w:eastAsia="Arial" w:hAnsi="Arial"/>
                <w:sz w:val="16"/>
                <w:szCs w:val="16"/>
                <w:b w:val="1"/>
                <w:bCs w:val="1"/>
                <w:color w:val="435F86"/>
              </w:rPr>
              <w:t>(b)</w:t>
            </w:r>
          </w:p>
        </w:tc>
        <w:tc>
          <w:tcPr>
            <w:tcW w:w="340" w:type="dxa"/>
            <w:vAlign w:val="bottom"/>
            <w:tcBorders>
              <w:bottom w:val="single" w:sz="8" w:color="435F86"/>
            </w:tcBorders>
          </w:tcPr>
          <w:p>
            <w:pPr>
              <w:ind w:left="220"/>
              <w:spacing w:after="0"/>
              <w:rPr>
                <w:sz w:val="20"/>
                <w:szCs w:val="20"/>
                <w:color w:val="auto"/>
              </w:rPr>
            </w:pPr>
            <w:r>
              <w:rPr>
                <w:rFonts w:ascii="Arial" w:cs="Arial" w:eastAsia="Arial" w:hAnsi="Arial"/>
                <w:sz w:val="16"/>
                <w:szCs w:val="16"/>
                <w:b w:val="1"/>
                <w:bCs w:val="1"/>
                <w:color w:val="435F86"/>
              </w:rPr>
              <w:t>​</w:t>
            </w:r>
          </w:p>
        </w:tc>
        <w:tc>
          <w:tcPr>
            <w:tcW w:w="180" w:type="dxa"/>
            <w:vAlign w:val="bottom"/>
            <w:tcBorders>
              <w:bottom w:val="single" w:sz="8" w:color="435F86"/>
            </w:tcBorders>
          </w:tcPr>
          <w:p>
            <w:pPr>
              <w:spacing w:after="0"/>
              <w:rPr>
                <w:sz w:val="19"/>
                <w:szCs w:val="19"/>
                <w:color w:val="auto"/>
              </w:rPr>
            </w:pPr>
          </w:p>
        </w:tc>
        <w:tc>
          <w:tcPr>
            <w:tcW w:w="700" w:type="dxa"/>
            <w:vAlign w:val="bottom"/>
            <w:tcBorders>
              <w:bottom w:val="single" w:sz="8" w:color="435F86"/>
            </w:tcBorders>
          </w:tcPr>
          <w:p>
            <w:pPr>
              <w:jc w:val="right"/>
              <w:ind w:right="256"/>
              <w:spacing w:after="0"/>
              <w:rPr>
                <w:sz w:val="20"/>
                <w:szCs w:val="20"/>
                <w:color w:val="auto"/>
              </w:rPr>
            </w:pPr>
            <w:r>
              <w:rPr>
                <w:rFonts w:ascii="Arial" w:cs="Arial" w:eastAsia="Arial" w:hAnsi="Arial"/>
                <w:sz w:val="16"/>
                <w:szCs w:val="16"/>
                <w:b w:val="1"/>
                <w:bCs w:val="1"/>
                <w:color w:val="435F86"/>
              </w:rPr>
              <w:t>(c)</w:t>
            </w:r>
          </w:p>
        </w:tc>
        <w:tc>
          <w:tcPr>
            <w:tcW w:w="320" w:type="dxa"/>
            <w:vAlign w:val="bottom"/>
            <w:tcBorders>
              <w:bottom w:val="single" w:sz="8" w:color="435F86"/>
            </w:tcBorders>
          </w:tcPr>
          <w:p>
            <w:pPr>
              <w:jc w:val="right"/>
              <w:ind w:right="75"/>
              <w:spacing w:after="0"/>
              <w:rPr>
                <w:sz w:val="20"/>
                <w:szCs w:val="20"/>
                <w:color w:val="auto"/>
              </w:rPr>
            </w:pPr>
            <w:r>
              <w:rPr>
                <w:rFonts w:ascii="Arial" w:cs="Arial" w:eastAsia="Arial" w:hAnsi="Arial"/>
                <w:sz w:val="16"/>
                <w:szCs w:val="16"/>
                <w:b w:val="1"/>
                <w:bCs w:val="1"/>
                <w:color w:val="435F86"/>
              </w:rPr>
              <w:t>​</w:t>
            </w:r>
          </w:p>
        </w:tc>
        <w:tc>
          <w:tcPr>
            <w:tcW w:w="260" w:type="dxa"/>
            <w:vAlign w:val="bottom"/>
            <w:tcBorders>
              <w:bottom w:val="single" w:sz="8" w:color="435F86"/>
            </w:tcBorders>
          </w:tcPr>
          <w:p>
            <w:pPr>
              <w:spacing w:after="0"/>
              <w:rPr>
                <w:sz w:val="19"/>
                <w:szCs w:val="19"/>
                <w:color w:val="auto"/>
              </w:rPr>
            </w:pPr>
          </w:p>
        </w:tc>
        <w:tc>
          <w:tcPr>
            <w:tcW w:w="680" w:type="dxa"/>
            <w:vAlign w:val="bottom"/>
            <w:tcBorders>
              <w:bottom w:val="single" w:sz="8" w:color="435F86"/>
            </w:tcBorders>
          </w:tcPr>
          <w:p>
            <w:pPr>
              <w:jc w:val="right"/>
              <w:ind w:right="276"/>
              <w:spacing w:after="0"/>
              <w:rPr>
                <w:sz w:val="20"/>
                <w:szCs w:val="20"/>
                <w:color w:val="auto"/>
              </w:rPr>
            </w:pPr>
            <w:r>
              <w:rPr>
                <w:rFonts w:ascii="Arial" w:cs="Arial" w:eastAsia="Arial" w:hAnsi="Arial"/>
                <w:sz w:val="16"/>
                <w:szCs w:val="16"/>
                <w:b w:val="1"/>
                <w:bCs w:val="1"/>
                <w:color w:val="435F86"/>
              </w:rPr>
              <w:t>(d)</w:t>
            </w:r>
          </w:p>
        </w:tc>
        <w:tc>
          <w:tcPr>
            <w:tcW w:w="460" w:type="dxa"/>
            <w:vAlign w:val="bottom"/>
            <w:tcBorders>
              <w:bottom w:val="single" w:sz="8" w:color="435F86"/>
            </w:tcBorders>
          </w:tcPr>
          <w:p>
            <w:pPr>
              <w:spacing w:after="0"/>
              <w:rPr>
                <w:sz w:val="19"/>
                <w:szCs w:val="19"/>
                <w:color w:val="auto"/>
              </w:rPr>
            </w:pPr>
          </w:p>
        </w:tc>
        <w:tc>
          <w:tcPr>
            <w:tcW w:w="840" w:type="dxa"/>
            <w:vAlign w:val="bottom"/>
            <w:tcBorders>
              <w:bottom w:val="single" w:sz="8" w:color="435F86"/>
            </w:tcBorders>
          </w:tcPr>
          <w:p>
            <w:pPr>
              <w:jc w:val="right"/>
              <w:ind w:right="335"/>
              <w:spacing w:after="0"/>
              <w:rPr>
                <w:sz w:val="20"/>
                <w:szCs w:val="20"/>
                <w:color w:val="auto"/>
              </w:rPr>
            </w:pPr>
            <w:r>
              <w:rPr>
                <w:rFonts w:ascii="Arial" w:cs="Arial" w:eastAsia="Arial" w:hAnsi="Arial"/>
                <w:sz w:val="16"/>
                <w:szCs w:val="16"/>
                <w:b w:val="1"/>
                <w:bCs w:val="1"/>
                <w:color w:val="435F86"/>
              </w:rPr>
              <w:t>(e)</w:t>
            </w:r>
          </w:p>
        </w:tc>
        <w:tc>
          <w:tcPr>
            <w:tcW w:w="540" w:type="dxa"/>
            <w:vAlign w:val="bottom"/>
            <w:tcBorders>
              <w:bottom w:val="single" w:sz="8" w:color="435F86"/>
            </w:tcBorders>
          </w:tcPr>
          <w:p>
            <w:pPr>
              <w:spacing w:after="0"/>
              <w:rPr>
                <w:sz w:val="19"/>
                <w:szCs w:val="19"/>
                <w:color w:val="auto"/>
              </w:rPr>
            </w:pPr>
          </w:p>
        </w:tc>
        <w:tc>
          <w:tcPr>
            <w:tcW w:w="1540" w:type="dxa"/>
            <w:vAlign w:val="bottom"/>
            <w:tcBorders>
              <w:bottom w:val="single" w:sz="8" w:color="435F86"/>
            </w:tcBorders>
          </w:tcPr>
          <w:p>
            <w:pPr>
              <w:ind w:left="680"/>
              <w:spacing w:after="0"/>
              <w:rPr>
                <w:sz w:val="20"/>
                <w:szCs w:val="20"/>
                <w:color w:val="auto"/>
              </w:rPr>
            </w:pPr>
            <w:r>
              <w:rPr>
                <w:rFonts w:ascii="Arial" w:cs="Arial" w:eastAsia="Arial" w:hAnsi="Arial"/>
                <w:sz w:val="16"/>
                <w:szCs w:val="16"/>
                <w:b w:val="1"/>
                <w:bCs w:val="1"/>
                <w:color w:val="435F86"/>
              </w:rPr>
              <w:t>(f)</w:t>
            </w:r>
          </w:p>
        </w:tc>
        <w:tc>
          <w:tcPr>
            <w:tcW w:w="440" w:type="dxa"/>
            <w:vAlign w:val="bottom"/>
            <w:tcBorders>
              <w:bottom w:val="single" w:sz="8" w:color="435F86"/>
            </w:tcBorders>
          </w:tcPr>
          <w:p>
            <w:pPr>
              <w:spacing w:after="0"/>
              <w:rPr>
                <w:sz w:val="19"/>
                <w:szCs w:val="19"/>
                <w:color w:val="auto"/>
              </w:rPr>
            </w:pPr>
          </w:p>
        </w:tc>
      </w:tr>
      <w:tr>
        <w:trPr>
          <w:trHeight w:val="210"/>
        </w:trPr>
        <w:tc>
          <w:tcPr>
            <w:tcW w:w="1520" w:type="dxa"/>
            <w:vAlign w:val="bottom"/>
            <w:shd w:val="clear" w:color="auto" w:fill="CCEEFF"/>
          </w:tcPr>
          <w:p>
            <w:pPr>
              <w:ind w:left="80"/>
              <w:spacing w:after="0"/>
              <w:rPr>
                <w:sz w:val="20"/>
                <w:szCs w:val="20"/>
                <w:color w:val="auto"/>
              </w:rPr>
            </w:pPr>
            <w:r>
              <w:rPr>
                <w:rFonts w:ascii="Arial" w:cs="Arial" w:eastAsia="Arial" w:hAnsi="Arial"/>
                <w:sz w:val="17"/>
                <w:szCs w:val="17"/>
                <w:color w:val="auto"/>
              </w:rPr>
              <w:t>Michael B.</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50"/>
        </w:trPr>
        <w:tc>
          <w:tcPr>
            <w:tcW w:w="152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Petras, Jr.</w:t>
            </w:r>
          </w:p>
        </w:tc>
        <w:tc>
          <w:tcPr>
            <w:tcW w:w="1240" w:type="dxa"/>
            <w:vAlign w:val="bottom"/>
            <w:tcBorders>
              <w:bottom w:val="single" w:sz="8" w:color="7B8FAA"/>
            </w:tcBorders>
            <w:gridSpan w:val="3"/>
            <w:shd w:val="clear" w:color="auto" w:fill="CCEEFF"/>
          </w:tcPr>
          <w:p>
            <w:pPr>
              <w:ind w:left="40"/>
              <w:spacing w:after="0"/>
              <w:rPr>
                <w:sz w:val="20"/>
                <w:szCs w:val="20"/>
                <w:color w:val="auto"/>
              </w:rPr>
            </w:pPr>
            <w:r>
              <w:rPr>
                <w:rFonts w:ascii="Arial" w:cs="Arial" w:eastAsia="Arial" w:hAnsi="Arial"/>
                <w:sz w:val="17"/>
                <w:szCs w:val="17"/>
                <w:color w:val="auto"/>
              </w:rPr>
              <w:t>​March 4, 2024​</w:t>
            </w:r>
          </w:p>
        </w:tc>
        <w:tc>
          <w:tcPr>
            <w:tcW w:w="880" w:type="dxa"/>
            <w:vAlign w:val="bottom"/>
            <w:tcBorders>
              <w:bottom w:val="single" w:sz="8" w:color="7B8FAA"/>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 544,509</w:t>
            </w:r>
          </w:p>
        </w:tc>
        <w:tc>
          <w:tcPr>
            <w:tcW w:w="320" w:type="dxa"/>
            <w:vAlign w:val="bottom"/>
            <w:tcBorders>
              <w:bottom w:val="single" w:sz="8" w:color="7B8FAA"/>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7B8FAA"/>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​$ 14.59</w:t>
            </w:r>
          </w:p>
        </w:tc>
        <w:tc>
          <w:tcPr>
            <w:tcW w:w="460" w:type="dxa"/>
            <w:vAlign w:val="bottom"/>
            <w:tcBorders>
              <w:bottom w:val="single" w:sz="8" w:color="7B8FAA"/>
            </w:tcBorders>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84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4,007,275</w:t>
            </w:r>
          </w:p>
        </w:tc>
        <w:tc>
          <w:tcPr>
            <w:tcW w:w="540" w:type="dxa"/>
            <w:vAlign w:val="bottom"/>
            <w:tcBorders>
              <w:bottom w:val="single" w:sz="8" w:color="7B8FAA"/>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7B8FAA"/>
            </w:tcBorders>
            <w:shd w:val="clear" w:color="auto" w:fill="CCEEFF"/>
          </w:tcPr>
          <w:p>
            <w:pPr>
              <w:ind w:left="460"/>
              <w:spacing w:after="0"/>
              <w:rPr>
                <w:sz w:val="20"/>
                <w:szCs w:val="20"/>
                <w:color w:val="auto"/>
              </w:rPr>
            </w:pPr>
            <w:r>
              <w:rPr>
                <w:rFonts w:ascii="Arial" w:cs="Arial" w:eastAsia="Arial" w:hAnsi="Arial"/>
                <w:sz w:val="17"/>
                <w:szCs w:val="17"/>
                <w:color w:val="auto"/>
              </w:rPr>
              <w:t>​ (3.85)%</w:t>
            </w:r>
          </w:p>
        </w:tc>
        <w:tc>
          <w:tcPr>
            <w:tcW w:w="440" w:type="dxa"/>
            <w:vAlign w:val="bottom"/>
            <w:tcBorders>
              <w:bottom w:val="single" w:sz="8" w:color="7B8FAA"/>
            </w:tcBorders>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53"/>
        </w:trPr>
        <w:tc>
          <w:tcPr>
            <w:tcW w:w="152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w w:val="98"/>
              </w:rPr>
              <w:t>Jonathan M. Lyons</w:t>
            </w:r>
          </w:p>
        </w:tc>
        <w:tc>
          <w:tcPr>
            <w:tcW w:w="1240" w:type="dxa"/>
            <w:vAlign w:val="bottom"/>
            <w:tcBorders>
              <w:bottom w:val="single" w:sz="8" w:color="7B8FAA"/>
            </w:tcBorders>
            <w:gridSpan w:val="3"/>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March 4, 2024</w:t>
            </w:r>
            <w:r>
              <w:rPr>
                <w:rFonts w:ascii="Arial" w:cs="Arial" w:eastAsia="Arial" w:hAnsi="Arial"/>
                <w:sz w:val="29"/>
                <w:szCs w:val="29"/>
                <w:color w:val="auto"/>
                <w:vertAlign w:val="subscript"/>
              </w:rPr>
              <w:t>​</w:t>
            </w:r>
          </w:p>
        </w:tc>
        <w:tc>
          <w:tcPr>
            <w:tcW w:w="18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7B8FAA"/>
            </w:tcBorders>
          </w:tcPr>
          <w:p>
            <w:pPr>
              <w:jc w:val="right"/>
              <w:ind w:right="16"/>
              <w:spacing w:after="0"/>
              <w:rPr>
                <w:sz w:val="20"/>
                <w:szCs w:val="20"/>
                <w:color w:val="auto"/>
              </w:rPr>
            </w:pPr>
            <w:r>
              <w:rPr>
                <w:rFonts w:ascii="Arial" w:cs="Arial" w:eastAsia="Arial" w:hAnsi="Arial"/>
                <w:sz w:val="17"/>
                <w:szCs w:val="17"/>
                <w:color w:val="auto"/>
              </w:rPr>
              <w:t>81,676</w:t>
            </w:r>
          </w:p>
        </w:tc>
        <w:tc>
          <w:tcPr>
            <w:tcW w:w="320" w:type="dxa"/>
            <w:vAlign w:val="bottom"/>
            <w:tcBorders>
              <w:bottom w:val="single" w:sz="8" w:color="7B8FAA"/>
            </w:tcBorders>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tcPr>
          <w:p>
            <w:pPr>
              <w:ind w:left="16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7B8FAA"/>
            </w:tcBorders>
          </w:tcPr>
          <w:p>
            <w:pPr>
              <w:jc w:val="right"/>
              <w:ind w:right="96"/>
              <w:spacing w:after="0"/>
              <w:rPr>
                <w:sz w:val="20"/>
                <w:szCs w:val="20"/>
                <w:color w:val="auto"/>
              </w:rPr>
            </w:pPr>
            <w:r>
              <w:rPr>
                <w:rFonts w:ascii="Arial" w:cs="Arial" w:eastAsia="Arial" w:hAnsi="Arial"/>
                <w:sz w:val="17"/>
                <w:szCs w:val="17"/>
                <w:color w:val="auto"/>
              </w:rPr>
              <w:t>14.59</w:t>
            </w:r>
          </w:p>
        </w:tc>
        <w:tc>
          <w:tcPr>
            <w:tcW w:w="460" w:type="dxa"/>
            <w:vAlign w:val="bottom"/>
            <w:tcBorders>
              <w:bottom w:val="single" w:sz="8" w:color="7B8FAA"/>
            </w:tcBorders>
          </w:tcPr>
          <w:p>
            <w:pPr>
              <w:ind w:left="1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601,089</w:t>
            </w:r>
          </w:p>
        </w:tc>
        <w:tc>
          <w:tcPr>
            <w:tcW w:w="540" w:type="dxa"/>
            <w:vAlign w:val="bottom"/>
            <w:tcBorders>
              <w:bottom w:val="single" w:sz="8" w:color="7B8FAA"/>
            </w:tcBorders>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7B8FAA"/>
            </w:tcBorders>
          </w:tcPr>
          <w:p>
            <w:pPr>
              <w:ind w:left="4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(3.85)%</w:t>
            </w:r>
          </w:p>
        </w:tc>
        <w:tc>
          <w:tcPr>
            <w:tcW w:w="440" w:type="dxa"/>
            <w:vAlign w:val="bottom"/>
            <w:tcBorders>
              <w:bottom w:val="single" w:sz="8" w:color="7B8FAA"/>
            </w:tcBorders>
          </w:tcPr>
          <w:p>
            <w:pPr>
              <w:ind w:left="360"/>
              <w:spacing w:after="0"/>
              <w:rPr>
                <w:sz w:val="20"/>
                <w:szCs w:val="20"/>
                <w:color w:val="auto"/>
              </w:rPr>
            </w:pPr>
            <w:r>
              <w:rPr>
                <w:rFonts w:ascii="Arial" w:cs="Arial" w:eastAsia="Arial" w:hAnsi="Arial"/>
                <w:sz w:val="17"/>
                <w:szCs w:val="17"/>
                <w:color w:val="auto"/>
              </w:rPr>
              <w:t>​</w:t>
            </w:r>
          </w:p>
        </w:tc>
      </w:tr>
      <w:tr>
        <w:trPr>
          <w:trHeight w:val="253"/>
        </w:trPr>
        <w:tc>
          <w:tcPr>
            <w:tcW w:w="152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P. Rutz</w:t>
            </w:r>
          </w:p>
        </w:tc>
        <w:tc>
          <w:tcPr>
            <w:tcW w:w="1240" w:type="dxa"/>
            <w:vAlign w:val="bottom"/>
            <w:tcBorders>
              <w:bottom w:val="single" w:sz="8" w:color="7B8FAA"/>
            </w:tcBorders>
            <w:gridSpan w:val="3"/>
            <w:shd w:val="clear" w:color="auto" w:fill="CCEEFF"/>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March 4, 2024</w:t>
            </w:r>
            <w:r>
              <w:rPr>
                <w:rFonts w:ascii="Arial" w:cs="Arial" w:eastAsia="Arial" w:hAnsi="Arial"/>
                <w:sz w:val="29"/>
                <w:szCs w:val="29"/>
                <w:color w:val="auto"/>
                <w:vertAlign w:val="subscript"/>
              </w:rPr>
              <w:t>​</w:t>
            </w:r>
          </w:p>
        </w:tc>
        <w:tc>
          <w:tcPr>
            <w:tcW w:w="18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7B8FAA"/>
            </w:tcBorders>
            <w:shd w:val="clear" w:color="auto" w:fill="CCEEFF"/>
          </w:tcPr>
          <w:p>
            <w:pPr>
              <w:jc w:val="right"/>
              <w:ind w:right="16"/>
              <w:spacing w:after="0"/>
              <w:rPr>
                <w:sz w:val="20"/>
                <w:szCs w:val="20"/>
                <w:color w:val="auto"/>
              </w:rPr>
            </w:pPr>
            <w:r>
              <w:rPr>
                <w:rFonts w:ascii="Arial" w:cs="Arial" w:eastAsia="Arial" w:hAnsi="Arial"/>
                <w:sz w:val="17"/>
                <w:szCs w:val="17"/>
                <w:color w:val="auto"/>
              </w:rPr>
              <w:t>68,063</w:t>
            </w:r>
          </w:p>
        </w:tc>
        <w:tc>
          <w:tcPr>
            <w:tcW w:w="320" w:type="dxa"/>
            <w:vAlign w:val="bottom"/>
            <w:tcBorders>
              <w:bottom w:val="single" w:sz="8" w:color="7B8FAA"/>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7B8FAA"/>
            </w:tcBorders>
            <w:shd w:val="clear" w:color="auto" w:fill="CCEEFF"/>
          </w:tcPr>
          <w:p>
            <w:pPr>
              <w:jc w:val="right"/>
              <w:ind w:right="96"/>
              <w:spacing w:after="0"/>
              <w:rPr>
                <w:sz w:val="20"/>
                <w:szCs w:val="20"/>
                <w:color w:val="auto"/>
              </w:rPr>
            </w:pPr>
            <w:r>
              <w:rPr>
                <w:rFonts w:ascii="Arial" w:cs="Arial" w:eastAsia="Arial" w:hAnsi="Arial"/>
                <w:sz w:val="17"/>
                <w:szCs w:val="17"/>
                <w:color w:val="auto"/>
              </w:rPr>
              <w:t>14.59</w:t>
            </w:r>
          </w:p>
        </w:tc>
        <w:tc>
          <w:tcPr>
            <w:tcW w:w="460" w:type="dxa"/>
            <w:vAlign w:val="bottom"/>
            <w:tcBorders>
              <w:bottom w:val="single" w:sz="8" w:color="7B8FAA"/>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500,905</w:t>
            </w:r>
          </w:p>
        </w:tc>
        <w:tc>
          <w:tcPr>
            <w:tcW w:w="540" w:type="dxa"/>
            <w:vAlign w:val="bottom"/>
            <w:tcBorders>
              <w:bottom w:val="single" w:sz="8" w:color="7B8FAA"/>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7B8FAA"/>
            </w:tcBorders>
            <w:shd w:val="clear" w:color="auto" w:fill="CCEEFF"/>
          </w:tcPr>
          <w:p>
            <w:pPr>
              <w:ind w:left="4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(3.85)%</w:t>
            </w:r>
          </w:p>
        </w:tc>
        <w:tc>
          <w:tcPr>
            <w:tcW w:w="440" w:type="dxa"/>
            <w:vAlign w:val="bottom"/>
            <w:tcBorders>
              <w:bottom w:val="single" w:sz="8" w:color="7B8FAA"/>
            </w:tcBorders>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53"/>
        </w:trPr>
        <w:tc>
          <w:tcPr>
            <w:tcW w:w="1520" w:type="dxa"/>
            <w:vAlign w:val="bottom"/>
            <w:tcBorders>
              <w:bottom w:val="single" w:sz="8" w:color="435F86"/>
            </w:tcBorders>
          </w:tcPr>
          <w:p>
            <w:pPr>
              <w:ind w:left="80"/>
              <w:spacing w:after="0"/>
              <w:rPr>
                <w:sz w:val="20"/>
                <w:szCs w:val="20"/>
                <w:color w:val="auto"/>
              </w:rPr>
            </w:pPr>
            <w:r>
              <w:rPr>
                <w:rFonts w:ascii="Arial" w:cs="Arial" w:eastAsia="Arial" w:hAnsi="Arial"/>
                <w:sz w:val="17"/>
                <w:szCs w:val="17"/>
                <w:color w:val="auto"/>
                <w:w w:val="98"/>
              </w:rPr>
              <w:t>Alexander Dimitrief</w:t>
            </w:r>
          </w:p>
        </w:tc>
        <w:tc>
          <w:tcPr>
            <w:tcW w:w="1240" w:type="dxa"/>
            <w:vAlign w:val="bottom"/>
            <w:tcBorders>
              <w:bottom w:val="single" w:sz="8" w:color="435F86"/>
            </w:tcBorders>
            <w:gridSpan w:val="3"/>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March 4, 2024</w:t>
            </w:r>
            <w:r>
              <w:rPr>
                <w:rFonts w:ascii="Arial" w:cs="Arial" w:eastAsia="Arial" w:hAnsi="Arial"/>
                <w:sz w:val="29"/>
                <w:szCs w:val="29"/>
                <w:color w:val="auto"/>
                <w:vertAlign w:val="subscript"/>
              </w:rPr>
              <w:t>​</w:t>
            </w:r>
          </w:p>
        </w:tc>
        <w:tc>
          <w:tcPr>
            <w:tcW w:w="880" w:type="dxa"/>
            <w:vAlign w:val="bottom"/>
            <w:tcBorders>
              <w:bottom w:val="single" w:sz="8" w:color="435F86"/>
            </w:tcBorders>
            <w:gridSpan w:val="2"/>
          </w:tcPr>
          <w:p>
            <w:pPr>
              <w:jc w:val="right"/>
              <w:ind w:right="16"/>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102,095</w:t>
            </w:r>
          </w:p>
        </w:tc>
        <w:tc>
          <w:tcPr>
            <w:tcW w:w="320" w:type="dxa"/>
            <w:vAlign w:val="bottom"/>
            <w:tcBorders>
              <w:bottom w:val="single" w:sz="8" w:color="435F86"/>
            </w:tcBorders>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435F86"/>
            </w:tcBorders>
          </w:tcPr>
          <w:p>
            <w:pPr>
              <w:ind w:left="16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435F86"/>
            </w:tcBorders>
          </w:tcPr>
          <w:p>
            <w:pPr>
              <w:jc w:val="right"/>
              <w:ind w:right="96"/>
              <w:spacing w:after="0"/>
              <w:rPr>
                <w:sz w:val="20"/>
                <w:szCs w:val="20"/>
                <w:color w:val="auto"/>
              </w:rPr>
            </w:pPr>
            <w:r>
              <w:rPr>
                <w:rFonts w:ascii="Arial" w:cs="Arial" w:eastAsia="Arial" w:hAnsi="Arial"/>
                <w:sz w:val="17"/>
                <w:szCs w:val="17"/>
                <w:color w:val="auto"/>
              </w:rPr>
              <w:t>14.59</w:t>
            </w:r>
          </w:p>
        </w:tc>
        <w:tc>
          <w:tcPr>
            <w:tcW w:w="460" w:type="dxa"/>
            <w:vAlign w:val="bottom"/>
            <w:tcBorders>
              <w:bottom w:val="single" w:sz="8" w:color="435F86"/>
            </w:tcBorders>
          </w:tcPr>
          <w:p>
            <w:pPr>
              <w:ind w:left="1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751,361</w:t>
            </w:r>
          </w:p>
        </w:tc>
        <w:tc>
          <w:tcPr>
            <w:tcW w:w="540" w:type="dxa"/>
            <w:vAlign w:val="bottom"/>
            <w:tcBorders>
              <w:bottom w:val="single" w:sz="8" w:color="435F86"/>
            </w:tcBorders>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435F86"/>
            </w:tcBorders>
          </w:tcPr>
          <w:p>
            <w:pPr>
              <w:ind w:left="4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(3.85)%</w:t>
            </w:r>
          </w:p>
        </w:tc>
        <w:tc>
          <w:tcPr>
            <w:tcW w:w="440" w:type="dxa"/>
            <w:vAlign w:val="bottom"/>
            <w:tcBorders>
              <w:bottom w:val="single" w:sz="8" w:color="435F86"/>
            </w:tcBorders>
          </w:tcPr>
          <w:p>
            <w:pPr>
              <w:ind w:left="36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37" w:lineRule="exact"/>
        <w:rPr>
          <w:sz w:val="20"/>
          <w:szCs w:val="20"/>
          <w:color w:val="auto"/>
        </w:rPr>
      </w:pPr>
    </w:p>
    <w:p>
      <w:pPr>
        <w:ind w:left="780"/>
        <w:spacing w:after="0"/>
        <w:rPr>
          <w:sz w:val="20"/>
          <w:szCs w:val="20"/>
          <w:color w:val="auto"/>
        </w:rPr>
      </w:pPr>
      <w:r>
        <w:rPr>
          <w:rFonts w:ascii="Arial" w:cs="Arial" w:eastAsia="Arial" w:hAnsi="Arial"/>
          <w:sz w:val="28"/>
          <w:szCs w:val="28"/>
          <w:color w:val="auto"/>
        </w:rPr>
        <w:t>Deductibility of Compensation</w:t>
      </w:r>
    </w:p>
    <w:p>
      <w:pPr>
        <w:spacing w:after="0" w:line="149" w:lineRule="exact"/>
        <w:rPr>
          <w:sz w:val="20"/>
          <w:szCs w:val="20"/>
          <w:color w:val="auto"/>
        </w:rPr>
      </w:pPr>
    </w:p>
    <w:p>
      <w:pPr>
        <w:ind w:left="780" w:right="199"/>
        <w:spacing w:after="0" w:line="244" w:lineRule="auto"/>
        <w:rPr>
          <w:sz w:val="20"/>
          <w:szCs w:val="20"/>
          <w:color w:val="auto"/>
        </w:rPr>
      </w:pPr>
      <w:r>
        <w:rPr>
          <w:rFonts w:ascii="Arial" w:cs="Arial" w:eastAsia="Arial" w:hAnsi="Arial"/>
          <w:sz w:val="21"/>
          <w:szCs w:val="21"/>
          <w:color w:val="auto"/>
        </w:rPr>
        <w:t>Prior to the effectiveness of the Tax Cuts and Jobs Act of 2017 (the “Tax Act”), Section 162(m) of the Code (“Section 162(m)”) imposed an annual deduction limit of $1 million on the amount of compensation paid to both the chief executive officer and certain other named executive officers. The deduction limit did not apply to performance-based compensation satisfying the requirements of Section 162(m). Effective in fiscal year 2018, the Tax Act eliminated the Section 162(m) provisions exempting performance-based compensation from the $1 million deduction limit for compensation granted or materially modified after November 2, 2017. While the LDC Committee will take into account the tax and accounting implications (including with respect to the expected lack of deductibility under the revised Section 162(m)) when making compensation decisions, it reserves the right to make compensation decisions based on other factors if the LDC Committee determines it is in its best interests to do so and as a result, some of the compensation paid to our NEOs may not be deductible.</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Compensation Committee Interlocks and Insider Participation</w:t>
      </w:r>
    </w:p>
    <w:p>
      <w:pPr>
        <w:spacing w:after="0" w:line="149" w:lineRule="exact"/>
        <w:rPr>
          <w:sz w:val="20"/>
          <w:szCs w:val="20"/>
          <w:color w:val="auto"/>
        </w:rPr>
      </w:pPr>
    </w:p>
    <w:p>
      <w:pPr>
        <w:ind w:left="780" w:right="199"/>
        <w:spacing w:after="0" w:line="249" w:lineRule="auto"/>
        <w:rPr>
          <w:sz w:val="20"/>
          <w:szCs w:val="20"/>
          <w:color w:val="auto"/>
        </w:rPr>
      </w:pPr>
      <w:r>
        <w:rPr>
          <w:rFonts w:ascii="Arial" w:cs="Arial" w:eastAsia="Arial" w:hAnsi="Arial"/>
          <w:sz w:val="21"/>
          <w:szCs w:val="21"/>
          <w:color w:val="auto"/>
        </w:rPr>
        <w:t>None of the members of our LDC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or LDC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1430020</wp:posOffset>
            </wp:positionV>
            <wp:extent cx="494665" cy="165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1306195</wp:posOffset>
            </wp:positionV>
            <wp:extent cx="5538470" cy="165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Leadership Development and Compensation Committee Report</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Leadership Development and Compensation Committee Report</w:t>
      </w:r>
    </w:p>
    <w:p>
      <w:pPr>
        <w:spacing w:after="0" w:line="215" w:lineRule="exact"/>
        <w:rPr>
          <w:sz w:val="20"/>
          <w:szCs w:val="20"/>
          <w:color w:val="auto"/>
        </w:rPr>
      </w:pPr>
    </w:p>
    <w:p>
      <w:pPr>
        <w:ind w:left="780" w:right="880"/>
        <w:spacing w:after="0" w:line="246" w:lineRule="auto"/>
        <w:rPr>
          <w:sz w:val="20"/>
          <w:szCs w:val="20"/>
          <w:color w:val="auto"/>
        </w:rPr>
      </w:pPr>
      <w:r>
        <w:rPr>
          <w:rFonts w:ascii="Arial" w:cs="Arial" w:eastAsia="Arial" w:hAnsi="Arial"/>
          <w:sz w:val="21"/>
          <w:szCs w:val="21"/>
          <w:color w:val="auto"/>
        </w:rPr>
        <w:t>The Leadership Development and Compensation Committee of the Board has reviewed and discussed with management the Compensation Discussion and Analysis contained in this Proxy Statement. Based on this review and discussion, the Leadership Development and Compensation Committee has recommended to the Board that the Compensation Discussion and Analysis be included in this Proxy Statement and incorporated into the Company’s Annual Report on Form 10-K for the year ended December 31, 2024.</w:t>
      </w:r>
    </w:p>
    <w:p>
      <w:pPr>
        <w:spacing w:after="0" w:line="176" w:lineRule="exact"/>
        <w:rPr>
          <w:sz w:val="20"/>
          <w:szCs w:val="20"/>
          <w:color w:val="auto"/>
        </w:rPr>
      </w:pPr>
    </w:p>
    <w:p>
      <w:pPr>
        <w:ind w:left="780"/>
        <w:spacing w:after="0"/>
        <w:rPr>
          <w:sz w:val="20"/>
          <w:szCs w:val="20"/>
          <w:color w:val="auto"/>
        </w:rPr>
      </w:pPr>
      <w:r>
        <w:rPr>
          <w:rFonts w:ascii="Arial" w:cs="Arial" w:eastAsia="Arial" w:hAnsi="Arial"/>
          <w:sz w:val="21"/>
          <w:szCs w:val="21"/>
          <w:color w:val="auto"/>
        </w:rPr>
        <w:t>Respectfully submitted,</w:t>
      </w:r>
    </w:p>
    <w:p>
      <w:pPr>
        <w:spacing w:after="0" w:line="222" w:lineRule="exact"/>
        <w:rPr>
          <w:sz w:val="20"/>
          <w:szCs w:val="20"/>
          <w:color w:val="auto"/>
        </w:rPr>
      </w:pPr>
    </w:p>
    <w:p>
      <w:pPr>
        <w:ind w:left="780"/>
        <w:spacing w:after="0"/>
        <w:rPr>
          <w:sz w:val="20"/>
          <w:szCs w:val="20"/>
          <w:color w:val="auto"/>
        </w:rPr>
      </w:pPr>
      <w:r>
        <w:rPr>
          <w:rFonts w:ascii="Arial" w:cs="Arial" w:eastAsia="Arial" w:hAnsi="Arial"/>
          <w:sz w:val="17"/>
          <w:szCs w:val="17"/>
          <w:b w:val="1"/>
          <w:bCs w:val="1"/>
          <w:i w:val="1"/>
          <w:iCs w:val="1"/>
          <w:color w:val="auto"/>
        </w:rPr>
        <w:t>The Leadership Development and Compensation Committee</w:t>
      </w:r>
    </w:p>
    <w:p>
      <w:pPr>
        <w:spacing w:after="0" w:line="41" w:lineRule="exact"/>
        <w:rPr>
          <w:sz w:val="20"/>
          <w:szCs w:val="20"/>
          <w:color w:val="auto"/>
        </w:rPr>
      </w:pPr>
    </w:p>
    <w:p>
      <w:pPr>
        <w:ind w:left="780"/>
        <w:spacing w:after="0"/>
        <w:rPr>
          <w:sz w:val="20"/>
          <w:szCs w:val="20"/>
          <w:color w:val="auto"/>
        </w:rPr>
      </w:pPr>
      <w:r>
        <w:rPr>
          <w:rFonts w:ascii="Arial" w:cs="Arial" w:eastAsia="Arial" w:hAnsi="Arial"/>
          <w:sz w:val="21"/>
          <w:szCs w:val="21"/>
          <w:color w:val="auto"/>
        </w:rPr>
        <w:t>James C. Neary, Chair</w:t>
      </w:r>
    </w:p>
    <w:p>
      <w:pPr>
        <w:spacing w:after="0" w:line="13" w:lineRule="exact"/>
        <w:rPr>
          <w:sz w:val="20"/>
          <w:szCs w:val="20"/>
          <w:color w:val="auto"/>
        </w:rPr>
      </w:pPr>
    </w:p>
    <w:p>
      <w:pPr>
        <w:ind w:left="780"/>
        <w:spacing w:after="0"/>
        <w:rPr>
          <w:sz w:val="20"/>
          <w:szCs w:val="20"/>
          <w:color w:val="auto"/>
        </w:rPr>
      </w:pPr>
      <w:r>
        <w:rPr>
          <w:rFonts w:ascii="Arial" w:cs="Arial" w:eastAsia="Arial" w:hAnsi="Arial"/>
          <w:sz w:val="21"/>
          <w:szCs w:val="21"/>
          <w:color w:val="auto"/>
        </w:rPr>
        <w:t>Constantine S. Mihas</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21"/>
          <w:szCs w:val="21"/>
          <w:color w:val="auto"/>
        </w:rPr>
        <w:t>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4581525</wp:posOffset>
            </wp:positionV>
            <wp:extent cx="5538470"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52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340"/>
        <w:spacing w:after="0"/>
        <w:rPr>
          <w:sz w:val="20"/>
          <w:szCs w:val="20"/>
          <w:color w:val="auto"/>
        </w:rPr>
      </w:pPr>
      <w:r>
        <w:rPr>
          <w:rFonts w:ascii="Arial" w:cs="Arial" w:eastAsia="Arial" w:hAnsi="Arial"/>
          <w:sz w:val="17"/>
          <w:szCs w:val="17"/>
          <w:b w:val="1"/>
          <w:bCs w:val="1"/>
          <w:color w:val="auto"/>
        </w:rPr>
        <w:t>Compensation Tables</w:t>
      </w:r>
    </w:p>
    <w:p>
      <w:pPr>
        <w:spacing w:after="0" w:line="48" w:lineRule="exact"/>
        <w:rPr>
          <w:sz w:val="20"/>
          <w:szCs w:val="20"/>
          <w:color w:val="auto"/>
        </w:rPr>
      </w:pPr>
    </w:p>
    <w:p>
      <w:pPr>
        <w:jc w:val="right"/>
        <w:ind w:right="340"/>
        <w:spacing w:after="0"/>
        <w:rPr>
          <w:sz w:val="20"/>
          <w:szCs w:val="20"/>
          <w:color w:val="auto"/>
        </w:rPr>
      </w:pPr>
      <w:r>
        <w:rPr>
          <w:rFonts w:ascii="Arial" w:cs="Arial" w:eastAsia="Arial" w:hAnsi="Arial"/>
          <w:sz w:val="14"/>
          <w:szCs w:val="14"/>
          <w:b w:val="1"/>
          <w:bCs w:val="1"/>
          <w:color w:val="auto"/>
        </w:rPr>
        <w:t>2024 Summary Compensation Table</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COMPENSATION TABLES</w:t>
      </w:r>
    </w:p>
    <w:p>
      <w:pPr>
        <w:spacing w:after="0" w:line="14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Summary Compensation Table</w:t>
      </w:r>
    </w:p>
    <w:p>
      <w:pPr>
        <w:spacing w:after="0" w:line="215" w:lineRule="exact"/>
        <w:rPr>
          <w:sz w:val="20"/>
          <w:szCs w:val="20"/>
          <w:color w:val="auto"/>
        </w:rPr>
      </w:pPr>
    </w:p>
    <w:p>
      <w:pPr>
        <w:ind w:left="780" w:right="1020"/>
        <w:spacing w:after="0" w:line="273" w:lineRule="auto"/>
        <w:rPr>
          <w:sz w:val="20"/>
          <w:szCs w:val="20"/>
          <w:color w:val="auto"/>
        </w:rPr>
      </w:pPr>
      <w:r>
        <w:rPr>
          <w:rFonts w:ascii="Arial" w:cs="Arial" w:eastAsia="Arial" w:hAnsi="Arial"/>
          <w:sz w:val="20"/>
          <w:szCs w:val="20"/>
          <w:color w:val="auto"/>
        </w:rPr>
        <w:t>The following table presents summary information regarding the total compensation that was awarded to, earned by or paid to our Named Executive Officers during the years ended December 31, 2022, December 31, 2023 and December 31, 2024, as applicable: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37"/>
              <w:spacing w:after="0"/>
              <w:rPr>
                <w:sz w:val="20"/>
                <w:szCs w:val="20"/>
                <w:color w:val="auto"/>
              </w:rPr>
            </w:pPr>
            <w:r>
              <w:rPr>
                <w:rFonts w:ascii="Arial" w:cs="Arial" w:eastAsia="Arial" w:hAnsi="Arial"/>
                <w:sz w:val="14"/>
                <w:szCs w:val="14"/>
                <w:b w:val="1"/>
                <w:bCs w:val="1"/>
                <w:color w:val="435F86"/>
                <w:w w:val="96"/>
              </w:rPr>
              <w:t>Non-Equity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435F86"/>
                <w:w w:val="92"/>
              </w:rPr>
              <w:t>Incentive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640" w:type="dxa"/>
            <w:vAlign w:val="bottom"/>
          </w:tcPr>
          <w:p>
            <w:pPr>
              <w:spacing w:after="0" w:line="144" w:lineRule="exact"/>
              <w:rPr>
                <w:sz w:val="20"/>
                <w:szCs w:val="20"/>
                <w:color w:val="auto"/>
              </w:rPr>
            </w:pPr>
            <w:r>
              <w:rPr>
                <w:rFonts w:ascii="Arial" w:cs="Arial" w:eastAsia="Arial" w:hAnsi="Arial"/>
                <w:sz w:val="14"/>
                <w:szCs w:val="14"/>
                <w:b w:val="1"/>
                <w:bCs w:val="1"/>
                <w:color w:val="435F86"/>
              </w:rPr>
              <w:t>Name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435F86"/>
                <w:w w:val="85"/>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435F86"/>
                <w:w w:val="86"/>
              </w:rPr>
              <w:t xml:space="preserve">Salary </w:t>
            </w:r>
            <w:r>
              <w:rPr>
                <w:rFonts w:ascii="Arial" w:cs="Arial" w:eastAsia="Arial" w:hAnsi="Arial"/>
                <w:sz w:val="17"/>
                <w:szCs w:val="17"/>
                <w:b w:val="1"/>
                <w:bCs w:val="1"/>
                <w:color w:val="435F86"/>
                <w:w w:val="86"/>
                <w:vertAlign w:val="superscript"/>
              </w:rPr>
              <w:t>(1)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vMerge w:val="restart"/>
          </w:tcPr>
          <w:p>
            <w:pPr>
              <w:jc w:val="right"/>
              <w:ind w:right="85"/>
              <w:spacing w:after="0"/>
              <w:rPr>
                <w:sz w:val="20"/>
                <w:szCs w:val="20"/>
                <w:color w:val="auto"/>
              </w:rPr>
            </w:pPr>
            <w:r>
              <w:rPr>
                <w:rFonts w:ascii="Arial" w:cs="Arial" w:eastAsia="Arial" w:hAnsi="Arial"/>
                <w:sz w:val="14"/>
                <w:szCs w:val="14"/>
                <w:b w:val="1"/>
                <w:bCs w:val="1"/>
                <w:color w:val="435F86"/>
                <w:w w:val="88"/>
              </w:rPr>
              <w:t xml:space="preserve">Bonus </w:t>
            </w:r>
            <w:r>
              <w:rPr>
                <w:rFonts w:ascii="Arial" w:cs="Arial" w:eastAsia="Arial" w:hAnsi="Arial"/>
                <w:sz w:val="17"/>
                <w:szCs w:val="17"/>
                <w:b w:val="1"/>
                <w:bCs w:val="1"/>
                <w:color w:val="435F86"/>
                <w:w w:val="88"/>
                <w:vertAlign w:val="superscript"/>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99"/>
              <w:spacing w:after="0" w:line="144" w:lineRule="exact"/>
              <w:rPr>
                <w:sz w:val="20"/>
                <w:szCs w:val="20"/>
                <w:color w:val="auto"/>
              </w:rPr>
            </w:pPr>
            <w:r>
              <w:rPr>
                <w:rFonts w:ascii="Arial" w:cs="Arial" w:eastAsia="Arial" w:hAnsi="Arial"/>
                <w:sz w:val="14"/>
                <w:szCs w:val="14"/>
                <w:b w:val="1"/>
                <w:bCs w:val="1"/>
                <w:color w:val="435F86"/>
                <w:w w:val="99"/>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center"/>
              <w:ind w:right="125"/>
              <w:spacing w:after="0" w:line="144" w:lineRule="exact"/>
              <w:rPr>
                <w:sz w:val="20"/>
                <w:szCs w:val="20"/>
                <w:color w:val="auto"/>
              </w:rPr>
            </w:pPr>
            <w:r>
              <w:rPr>
                <w:rFonts w:ascii="Arial" w:cs="Arial" w:eastAsia="Arial" w:hAnsi="Arial"/>
                <w:sz w:val="14"/>
                <w:szCs w:val="14"/>
                <w:b w:val="1"/>
                <w:bCs w:val="1"/>
                <w:color w:val="435F86"/>
                <w:w w:val="93"/>
              </w:rPr>
              <w:t>Option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17"/>
              <w:spacing w:after="0" w:line="144" w:lineRule="exact"/>
              <w:rPr>
                <w:sz w:val="20"/>
                <w:szCs w:val="20"/>
                <w:color w:val="auto"/>
              </w:rPr>
            </w:pPr>
            <w:r>
              <w:rPr>
                <w:rFonts w:ascii="Arial" w:cs="Arial" w:eastAsia="Arial" w:hAnsi="Arial"/>
                <w:sz w:val="14"/>
                <w:szCs w:val="14"/>
                <w:b w:val="1"/>
                <w:bCs w:val="1"/>
                <w:color w:val="435F86"/>
                <w:w w:val="94"/>
              </w:rPr>
              <w:t>Plan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spacing w:after="0" w:line="144" w:lineRule="exact"/>
              <w:rPr>
                <w:sz w:val="20"/>
                <w:szCs w:val="20"/>
                <w:color w:val="auto"/>
              </w:rPr>
            </w:pPr>
            <w:r>
              <w:rPr>
                <w:rFonts w:ascii="Arial" w:cs="Arial" w:eastAsia="Arial" w:hAnsi="Arial"/>
                <w:sz w:val="14"/>
                <w:szCs w:val="14"/>
                <w:b w:val="1"/>
                <w:bCs w:val="1"/>
                <w:color w:val="435F86"/>
              </w:rPr>
              <w:t>All 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435F86"/>
              </w:rPr>
              <w:t>Total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 w:type="dxa"/>
            <w:vAlign w:val="bottom"/>
            <w:vMerge w:val="restart"/>
          </w:tcPr>
          <w:p>
            <w:pPr>
              <w:ind w:left="60"/>
              <w:spacing w:after="0"/>
              <w:rPr>
                <w:sz w:val="20"/>
                <w:szCs w:val="20"/>
                <w:color w:val="auto"/>
              </w:rPr>
            </w:pPr>
            <w:r>
              <w:rPr>
                <w:rFonts w:ascii="Arial" w:cs="Arial" w:eastAsia="Arial" w:hAnsi="Arial"/>
                <w:sz w:val="14"/>
                <w:szCs w:val="14"/>
                <w:b w:val="1"/>
                <w:bCs w:val="1"/>
                <w:color w:val="435F86"/>
              </w:rPr>
              <w:t>​</w:t>
            </w:r>
          </w:p>
        </w:tc>
        <w:tc>
          <w:tcPr>
            <w:tcW w:w="1640" w:type="dxa"/>
            <w:vAlign w:val="bottom"/>
          </w:tcPr>
          <w:p>
            <w:pPr>
              <w:spacing w:after="0" w:line="151" w:lineRule="exact"/>
              <w:rPr>
                <w:sz w:val="20"/>
                <w:szCs w:val="20"/>
                <w:color w:val="auto"/>
              </w:rPr>
            </w:pPr>
            <w:r>
              <w:rPr>
                <w:rFonts w:ascii="Arial" w:cs="Arial" w:eastAsia="Arial" w:hAnsi="Arial"/>
                <w:sz w:val="14"/>
                <w:szCs w:val="14"/>
                <w:b w:val="1"/>
                <w:bCs w:val="1"/>
                <w:color w:val="435F86"/>
              </w:rPr>
              <w:t>Principal Position</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35F86"/>
              </w:rPr>
              <w:t>​</w:t>
            </w:r>
          </w:p>
        </w:tc>
        <w:tc>
          <w:tcPr>
            <w:tcW w:w="340" w:type="dxa"/>
            <w:vAlign w:val="bottom"/>
            <w:vMerge w:val="continue"/>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435F86"/>
              </w:rPr>
              <w:t>​</w:t>
            </w: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14"/>
                <w:szCs w:val="14"/>
                <w:b w:val="1"/>
                <w:bCs w:val="1"/>
                <w:color w:val="435F86"/>
              </w:rPr>
              <w:t>​</w:t>
            </w: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435F86"/>
              </w:rPr>
              <w:t>​</w:t>
            </w:r>
          </w:p>
        </w:tc>
        <w:tc>
          <w:tcPr>
            <w:tcW w:w="800" w:type="dxa"/>
            <w:vAlign w:val="bottom"/>
            <w:gridSpan w:val="2"/>
          </w:tcPr>
          <w:p>
            <w:pPr>
              <w:jc w:val="right"/>
              <w:ind w:right="59"/>
              <w:spacing w:after="0" w:line="151" w:lineRule="exact"/>
              <w:rPr>
                <w:sz w:val="20"/>
                <w:szCs w:val="20"/>
                <w:color w:val="auto"/>
              </w:rPr>
            </w:pPr>
            <w:r>
              <w:rPr>
                <w:rFonts w:ascii="Arial" w:cs="Arial" w:eastAsia="Arial" w:hAnsi="Arial"/>
                <w:sz w:val="14"/>
                <w:szCs w:val="14"/>
                <w:b w:val="1"/>
                <w:bCs w:val="1"/>
                <w:color w:val="435F86"/>
                <w:w w:val="93"/>
              </w:rPr>
              <w:t xml:space="preserve">Awards </w:t>
            </w:r>
            <w:r>
              <w:rPr>
                <w:rFonts w:ascii="Arial" w:cs="Arial" w:eastAsia="Arial" w:hAnsi="Arial"/>
                <w:sz w:val="17"/>
                <w:szCs w:val="17"/>
                <w:b w:val="1"/>
                <w:bCs w:val="1"/>
                <w:color w:val="435F86"/>
                <w:w w:val="93"/>
                <w:vertAlign w:val="superscript"/>
              </w:rPr>
              <w:t>(3)</w:t>
            </w: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435F86"/>
              </w:rPr>
              <w:t>​</w:t>
            </w:r>
          </w:p>
        </w:tc>
        <w:tc>
          <w:tcPr>
            <w:tcW w:w="60" w:type="dxa"/>
            <w:vAlign w:val="bottom"/>
          </w:tcPr>
          <w:p>
            <w:pPr>
              <w:spacing w:after="0"/>
              <w:rPr>
                <w:sz w:val="13"/>
                <w:szCs w:val="13"/>
                <w:color w:val="auto"/>
              </w:rPr>
            </w:pPr>
          </w:p>
        </w:tc>
        <w:tc>
          <w:tcPr>
            <w:tcW w:w="820" w:type="dxa"/>
            <w:vAlign w:val="bottom"/>
          </w:tcPr>
          <w:p>
            <w:pPr>
              <w:jc w:val="center"/>
              <w:ind w:right="85"/>
              <w:spacing w:after="0" w:line="151" w:lineRule="exact"/>
              <w:rPr>
                <w:sz w:val="20"/>
                <w:szCs w:val="20"/>
                <w:color w:val="auto"/>
              </w:rPr>
            </w:pPr>
            <w:r>
              <w:rPr>
                <w:rFonts w:ascii="Arial" w:cs="Arial" w:eastAsia="Arial" w:hAnsi="Arial"/>
                <w:sz w:val="14"/>
                <w:szCs w:val="14"/>
                <w:b w:val="1"/>
                <w:bCs w:val="1"/>
                <w:color w:val="435F86"/>
                <w:w w:val="90"/>
              </w:rPr>
              <w:t xml:space="preserve">Awards </w:t>
            </w:r>
            <w:r>
              <w:rPr>
                <w:rFonts w:ascii="Arial" w:cs="Arial" w:eastAsia="Arial" w:hAnsi="Arial"/>
                <w:sz w:val="17"/>
                <w:szCs w:val="17"/>
                <w:b w:val="1"/>
                <w:bCs w:val="1"/>
                <w:color w:val="435F86"/>
                <w:w w:val="90"/>
                <w:vertAlign w:val="superscript"/>
              </w:rPr>
              <w:t>(4)</w:t>
            </w:r>
          </w:p>
        </w:tc>
        <w:tc>
          <w:tcPr>
            <w:tcW w:w="2220" w:type="dxa"/>
            <w:vAlign w:val="bottom"/>
            <w:gridSpan w:val="8"/>
          </w:tcPr>
          <w:p>
            <w:pPr>
              <w:ind w:left="20"/>
              <w:spacing w:after="0" w:line="151" w:lineRule="exact"/>
              <w:rPr>
                <w:sz w:val="20"/>
                <w:szCs w:val="20"/>
                <w:color w:val="auto"/>
              </w:rPr>
            </w:pPr>
            <w:r>
              <w:rPr>
                <w:rFonts w:ascii="Arial" w:cs="Arial" w:eastAsia="Arial" w:hAnsi="Arial"/>
                <w:sz w:val="14"/>
                <w:szCs w:val="14"/>
                <w:b w:val="1"/>
                <w:bCs w:val="1"/>
                <w:color w:val="435F86"/>
                <w:w w:val="93"/>
              </w:rPr>
              <w:t xml:space="preserve">Compensation </w:t>
            </w:r>
            <w:r>
              <w:rPr>
                <w:rFonts w:ascii="Arial" w:cs="Arial" w:eastAsia="Arial" w:hAnsi="Arial"/>
                <w:sz w:val="17"/>
                <w:szCs w:val="17"/>
                <w:b w:val="1"/>
                <w:bCs w:val="1"/>
                <w:color w:val="435F86"/>
                <w:w w:val="93"/>
                <w:vertAlign w:val="superscript"/>
              </w:rPr>
              <w:t>(5)</w:t>
            </w:r>
            <w:r>
              <w:rPr>
                <w:rFonts w:ascii="Arial" w:cs="Arial" w:eastAsia="Arial" w:hAnsi="Arial"/>
                <w:sz w:val="14"/>
                <w:szCs w:val="14"/>
                <w:b w:val="1"/>
                <w:bCs w:val="1"/>
                <w:color w:val="435F86"/>
                <w:w w:val="93"/>
              </w:rPr>
              <w:t xml:space="preserve"> Compensation </w:t>
            </w:r>
            <w:r>
              <w:rPr>
                <w:rFonts w:ascii="Arial" w:cs="Arial" w:eastAsia="Arial" w:hAnsi="Arial"/>
                <w:sz w:val="17"/>
                <w:szCs w:val="17"/>
                <w:b w:val="1"/>
                <w:bCs w:val="1"/>
                <w:color w:val="435F86"/>
                <w:w w:val="93"/>
                <w:vertAlign w:val="superscript"/>
              </w:rPr>
              <w:t>(6)</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435F86"/>
              </w:rPr>
              <w:t>​​</w:t>
            </w: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435F86"/>
              </w:rPr>
              <w:t>​</w:t>
            </w:r>
          </w:p>
        </w:tc>
        <w:tc>
          <w:tcPr>
            <w:tcW w:w="0" w:type="dxa"/>
            <w:vAlign w:val="bottom"/>
          </w:tcPr>
          <w:p>
            <w:pPr>
              <w:spacing w:after="0"/>
              <w:rPr>
                <w:sz w:val="1"/>
                <w:szCs w:val="1"/>
                <w:color w:val="auto"/>
              </w:rPr>
            </w:pPr>
          </w:p>
        </w:tc>
      </w:tr>
      <w:tr>
        <w:trPr>
          <w:trHeight w:val="65"/>
        </w:trPr>
        <w:tc>
          <w:tcPr>
            <w:tcW w:w="100" w:type="dxa"/>
            <w:vAlign w:val="bottom"/>
            <w:vMerge w:val="continue"/>
          </w:tcPr>
          <w:p>
            <w:pPr>
              <w:spacing w:after="0"/>
              <w:rPr>
                <w:sz w:val="5"/>
                <w:szCs w:val="5"/>
                <w:color w:val="auto"/>
              </w:rPr>
            </w:pPr>
          </w:p>
        </w:tc>
        <w:tc>
          <w:tcPr>
            <w:tcW w:w="164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line="65" w:lineRule="exact"/>
              <w:rPr>
                <w:sz w:val="20"/>
                <w:szCs w:val="20"/>
                <w:color w:val="auto"/>
              </w:rPr>
            </w:pPr>
            <w:r>
              <w:rPr>
                <w:rFonts w:ascii="Arial" w:cs="Arial" w:eastAsia="Arial" w:hAnsi="Arial"/>
                <w:sz w:val="7"/>
                <w:szCs w:val="7"/>
                <w:b w:val="1"/>
                <w:bCs w:val="1"/>
                <w:color w:val="435F86"/>
              </w:rPr>
              <w:t>​</w:t>
            </w: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jc w:val="right"/>
              <w:spacing w:after="0" w:line="65" w:lineRule="exact"/>
              <w:rPr>
                <w:sz w:val="20"/>
                <w:szCs w:val="20"/>
                <w:color w:val="auto"/>
              </w:rPr>
            </w:pPr>
            <w:r>
              <w:rPr>
                <w:rFonts w:ascii="Arial" w:cs="Arial" w:eastAsia="Arial" w:hAnsi="Arial"/>
                <w:sz w:val="7"/>
                <w:szCs w:val="7"/>
                <w:b w:val="1"/>
                <w:bCs w:val="1"/>
                <w:color w:val="435F86"/>
              </w:rPr>
              <w:t>​​</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740" w:type="dxa"/>
            <w:vAlign w:val="bottom"/>
            <w:tcBorders>
              <w:top w:val="single" w:sz="8" w:color="435F86"/>
              <w:bottom w:val="single" w:sz="8" w:color="CCEEFF"/>
            </w:tcBorders>
            <w:gridSpan w:val="2"/>
            <w:shd w:val="clear" w:color="auto" w:fill="CCEEFF"/>
          </w:tcPr>
          <w:p>
            <w:pPr>
              <w:ind w:left="6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Michael B. Petras, Jr.</w:t>
            </w:r>
          </w:p>
        </w:tc>
        <w:tc>
          <w:tcPr>
            <w:tcW w:w="100" w:type="dxa"/>
            <w:vAlign w:val="bottom"/>
            <w:tcBorders>
              <w:top w:val="single" w:sz="8" w:color="435F86"/>
              <w:bottom w:val="single" w:sz="8" w:color="CCEEFF"/>
            </w:tcBorders>
            <w:shd w:val="clear" w:color="auto" w:fill="CCEEFF"/>
          </w:tcPr>
          <w:p>
            <w:pPr>
              <w:spacing w:after="0"/>
              <w:rPr>
                <w:sz w:val="24"/>
                <w:szCs w:val="24"/>
                <w:color w:val="auto"/>
              </w:rPr>
            </w:pPr>
          </w:p>
        </w:tc>
        <w:tc>
          <w:tcPr>
            <w:tcW w:w="420" w:type="dxa"/>
            <w:vAlign w:val="bottom"/>
            <w:tcBorders>
              <w:top w:val="single" w:sz="8" w:color="435F86"/>
              <w:bottom w:val="single" w:sz="8" w:color="CCEEFF"/>
            </w:tcBorders>
            <w:gridSpan w:val="2"/>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​2024</w:t>
            </w:r>
          </w:p>
        </w:tc>
        <w:tc>
          <w:tcPr>
            <w:tcW w:w="920" w:type="dxa"/>
            <w:vAlign w:val="bottom"/>
            <w:tcBorders>
              <w:top w:val="single" w:sz="8" w:color="435F86"/>
              <w:bottom w:val="single" w:sz="8" w:color="CCEEFF"/>
            </w:tcBorders>
            <w:gridSpan w:val="3"/>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$1,088,365</w:t>
            </w:r>
          </w:p>
        </w:tc>
        <w:tc>
          <w:tcPr>
            <w:tcW w:w="200" w:type="dxa"/>
            <w:vAlign w:val="bottom"/>
            <w:tcBorders>
              <w:top w:val="single" w:sz="8" w:color="435F86"/>
              <w:bottom w:val="single" w:sz="8" w:color="CCEEFF"/>
            </w:tcBorders>
            <w:gridSpan w:val="2"/>
            <w:shd w:val="clear" w:color="auto" w:fill="CCEEFF"/>
          </w:tcPr>
          <w:p>
            <w:pPr>
              <w:ind w:left="2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bscript"/>
              </w:rPr>
              <w:t>​</w:t>
            </w:r>
          </w:p>
        </w:tc>
        <w:tc>
          <w:tcPr>
            <w:tcW w:w="1640" w:type="dxa"/>
            <w:vAlign w:val="bottom"/>
            <w:tcBorders>
              <w:top w:val="single" w:sz="8" w:color="435F86"/>
              <w:bottom w:val="single" w:sz="8" w:color="CCEEFF"/>
            </w:tcBorders>
            <w:gridSpan w:val="4"/>
            <w:shd w:val="clear" w:color="auto" w:fill="CCEEFF"/>
          </w:tcPr>
          <w:p>
            <w:pPr>
              <w:jc w:val="right"/>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r>
              <w:rPr>
                <w:rFonts w:ascii="Arial" w:cs="Arial" w:eastAsia="Arial" w:hAnsi="Arial"/>
                <w:sz w:val="15"/>
                <w:szCs w:val="15"/>
                <w:color w:val="auto"/>
              </w:rPr>
              <w:t>$3,999,994</w:t>
            </w:r>
          </w:p>
        </w:tc>
        <w:tc>
          <w:tcPr>
            <w:tcW w:w="140" w:type="dxa"/>
            <w:vAlign w:val="bottom"/>
            <w:tcBorders>
              <w:top w:val="single" w:sz="8" w:color="435F86"/>
              <w:bottom w:val="single" w:sz="8" w:color="CCEEFF"/>
            </w:tcBorders>
            <w:shd w:val="clear" w:color="auto" w:fill="CCEEFF"/>
          </w:tcPr>
          <w:p>
            <w:pPr>
              <w:ind w:left="20"/>
              <w:spacing w:after="0" w:line="236"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bscript"/>
              </w:rPr>
              <w:t>$</w:t>
            </w:r>
          </w:p>
        </w:tc>
        <w:tc>
          <w:tcPr>
            <w:tcW w:w="60" w:type="dxa"/>
            <w:vAlign w:val="bottom"/>
            <w:tcBorders>
              <w:top w:val="single" w:sz="8" w:color="435F86"/>
              <w:bottom w:val="single" w:sz="8" w:color="CCEEFF"/>
            </w:tcBorders>
            <w:shd w:val="clear" w:color="auto" w:fill="CCEEFF"/>
          </w:tcPr>
          <w:p>
            <w:pPr>
              <w:spacing w:after="0"/>
              <w:rPr>
                <w:sz w:val="24"/>
                <w:szCs w:val="24"/>
                <w:color w:val="auto"/>
              </w:rPr>
            </w:pPr>
          </w:p>
        </w:tc>
        <w:tc>
          <w:tcPr>
            <w:tcW w:w="2040" w:type="dxa"/>
            <w:vAlign w:val="bottom"/>
            <w:tcBorders>
              <w:top w:val="single" w:sz="8" w:color="435F86"/>
              <w:bottom w:val="single" w:sz="8" w:color="CCEEFF"/>
            </w:tcBorders>
            <w:gridSpan w:val="5"/>
            <w:shd w:val="clear" w:color="auto" w:fill="CCEEFF"/>
          </w:tcPr>
          <w:p>
            <w:pPr>
              <w:jc w:val="right"/>
              <w:spacing w:after="0" w:line="236" w:lineRule="exact"/>
              <w:rPr>
                <w:sz w:val="20"/>
                <w:szCs w:val="20"/>
                <w:color w:val="auto"/>
              </w:rPr>
            </w:pPr>
            <w:r>
              <w:rPr>
                <w:rFonts w:ascii="Arial" w:cs="Arial" w:eastAsia="Arial" w:hAnsi="Arial"/>
                <w:sz w:val="15"/>
                <w:szCs w:val="15"/>
                <w:color w:val="auto"/>
              </w:rPr>
              <w:t>4,007,275</w:t>
            </w:r>
            <w:r>
              <w:rPr>
                <w:rFonts w:ascii="Arial" w:cs="Arial" w:eastAsia="Arial" w:hAnsi="Arial"/>
                <w:sz w:val="27"/>
                <w:szCs w:val="27"/>
                <w:color w:val="auto"/>
                <w:vertAlign w:val="superscript"/>
              </w:rPr>
              <w:t>​​</w:t>
            </w:r>
            <w:r>
              <w:rPr>
                <w:rFonts w:ascii="Arial" w:cs="Arial" w:eastAsia="Arial" w:hAnsi="Arial"/>
                <w:sz w:val="15"/>
                <w:szCs w:val="15"/>
                <w:color w:val="auto"/>
              </w:rPr>
              <w:t xml:space="preserve">$ 1,278,830 </w:t>
            </w:r>
            <w:r>
              <w:rPr>
                <w:rFonts w:ascii="Arial" w:cs="Arial" w:eastAsia="Arial" w:hAnsi="Arial"/>
                <w:sz w:val="27"/>
                <w:szCs w:val="27"/>
                <w:color w:val="auto"/>
                <w:vertAlign w:val="superscript"/>
              </w:rPr>
              <w:t>​​​</w:t>
            </w:r>
          </w:p>
        </w:tc>
        <w:tc>
          <w:tcPr>
            <w:tcW w:w="160" w:type="dxa"/>
            <w:vAlign w:val="bottom"/>
            <w:tcBorders>
              <w:top w:val="single" w:sz="8" w:color="435F86"/>
              <w:bottom w:val="single" w:sz="8" w:color="CCEEFF"/>
            </w:tcBorders>
            <w:shd w:val="clear" w:color="auto" w:fill="CCEEFF"/>
          </w:tcPr>
          <w:p>
            <w:pPr>
              <w:ind w:left="40"/>
              <w:spacing w:after="0" w:line="236" w:lineRule="exact"/>
              <w:rPr>
                <w:sz w:val="20"/>
                <w:szCs w:val="20"/>
                <w:color w:val="auto"/>
              </w:rPr>
            </w:pPr>
            <w:r>
              <w:rPr>
                <w:rFonts w:ascii="Arial" w:cs="Arial" w:eastAsia="Arial" w:hAnsi="Arial"/>
                <w:sz w:val="15"/>
                <w:szCs w:val="15"/>
                <w:color w:val="auto"/>
                <w:w w:val="99"/>
              </w:rPr>
              <w:t>​</w:t>
            </w:r>
            <w:r>
              <w:rPr>
                <w:rFonts w:ascii="Arial" w:cs="Arial" w:eastAsia="Arial" w:hAnsi="Arial"/>
                <w:sz w:val="27"/>
                <w:szCs w:val="27"/>
                <w:color w:val="auto"/>
                <w:w w:val="99"/>
                <w:vertAlign w:val="subscript"/>
              </w:rPr>
              <w:t>$</w:t>
            </w:r>
          </w:p>
        </w:tc>
        <w:tc>
          <w:tcPr>
            <w:tcW w:w="100" w:type="dxa"/>
            <w:vAlign w:val="bottom"/>
            <w:tcBorders>
              <w:top w:val="single" w:sz="8" w:color="435F86"/>
              <w:bottom w:val="single" w:sz="8" w:color="CCEEFF"/>
            </w:tcBorders>
            <w:shd w:val="clear" w:color="auto" w:fill="CCEEFF"/>
          </w:tcPr>
          <w:p>
            <w:pPr>
              <w:spacing w:after="0"/>
              <w:rPr>
                <w:sz w:val="24"/>
                <w:szCs w:val="24"/>
                <w:color w:val="auto"/>
              </w:rPr>
            </w:pPr>
          </w:p>
        </w:tc>
        <w:tc>
          <w:tcPr>
            <w:tcW w:w="640" w:type="dxa"/>
            <w:vAlign w:val="bottom"/>
            <w:tcBorders>
              <w:top w:val="single" w:sz="8" w:color="435F86"/>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18,004</w:t>
            </w:r>
          </w:p>
        </w:tc>
        <w:tc>
          <w:tcPr>
            <w:tcW w:w="1200" w:type="dxa"/>
            <w:vAlign w:val="bottom"/>
            <w:tcBorders>
              <w:top w:val="single" w:sz="8" w:color="435F86"/>
              <w:bottom w:val="single" w:sz="8" w:color="CCEEFF"/>
            </w:tcBorders>
            <w:gridSpan w:val="5"/>
            <w:shd w:val="clear" w:color="auto" w:fill="CCEEFF"/>
          </w:tcPr>
          <w:p>
            <w:pPr>
              <w:ind w:left="6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$10,392,468</w:t>
            </w:r>
            <w:r>
              <w:rPr>
                <w:rFonts w:ascii="Arial" w:cs="Arial" w:eastAsia="Arial" w:hAnsi="Arial"/>
                <w:sz w:val="27"/>
                <w:szCs w:val="27"/>
                <w:color w:val="auto"/>
                <w:vertAlign w:val="super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CCEEFF"/>
              <w:bottom w:val="single" w:sz="8" w:color="CCEEFF"/>
            </w:tcBorders>
            <w:shd w:val="clear" w:color="auto" w:fill="CCEEFF"/>
          </w:tcPr>
          <w:p>
            <w:pPr>
              <w:spacing w:after="0" w:line="153" w:lineRule="exact"/>
              <w:rPr>
                <w:sz w:val="20"/>
                <w:szCs w:val="20"/>
                <w:color w:val="auto"/>
              </w:rPr>
            </w:pPr>
            <w:r>
              <w:rPr>
                <w:rFonts w:ascii="Arial" w:cs="Arial" w:eastAsia="Arial" w:hAnsi="Arial"/>
                <w:sz w:val="17"/>
                <w:szCs w:val="17"/>
                <w:i w:val="1"/>
                <w:iCs w:val="1"/>
                <w:color w:val="auto"/>
              </w:rPr>
              <w:t>Chairman and CEO</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7B8FAA"/>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​2023</w:t>
            </w:r>
          </w:p>
        </w:tc>
        <w:tc>
          <w:tcPr>
            <w:tcW w:w="920" w:type="dxa"/>
            <w:vAlign w:val="bottom"/>
            <w:tcBorders>
              <w:top w:val="single" w:sz="8" w:color="7B8FAA"/>
              <w:bottom w:val="single" w:sz="8" w:color="7B8FAA"/>
            </w:tcBorders>
            <w:gridSpan w:val="3"/>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​1,050,000</w:t>
            </w:r>
          </w:p>
        </w:tc>
        <w:tc>
          <w:tcPr>
            <w:tcW w:w="200" w:type="dxa"/>
            <w:vAlign w:val="bottom"/>
            <w:tcBorders>
              <w:top w:val="single" w:sz="8" w:color="7B8FAA"/>
              <w:bottom w:val="single" w:sz="8" w:color="7B8FAA"/>
            </w:tcBorders>
            <w:gridSpan w:val="2"/>
            <w:shd w:val="clear" w:color="auto" w:fill="CCEEFF"/>
          </w:tcPr>
          <w:p>
            <w:pPr>
              <w:ind w:left="2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1640" w:type="dxa"/>
            <w:vAlign w:val="bottom"/>
            <w:tcBorders>
              <w:top w:val="single" w:sz="8" w:color="7B8FAA"/>
              <w:bottom w:val="single" w:sz="8" w:color="7B8FAA"/>
            </w:tcBorders>
            <w:gridSpan w:val="4"/>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​3,749,995</w:t>
            </w:r>
          </w:p>
        </w:tc>
        <w:tc>
          <w:tcPr>
            <w:tcW w:w="200" w:type="dxa"/>
            <w:vAlign w:val="bottom"/>
            <w:tcBorders>
              <w:top w:val="single" w:sz="8" w:color="7B8FAA"/>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2040" w:type="dxa"/>
            <w:vAlign w:val="bottom"/>
            <w:tcBorders>
              <w:top w:val="single" w:sz="8" w:color="7B8FAA"/>
              <w:bottom w:val="single" w:sz="8" w:color="7B8FAA"/>
            </w:tcBorders>
            <w:gridSpan w:val="5"/>
            <w:shd w:val="clear" w:color="auto" w:fill="CCEEFF"/>
          </w:tcPr>
          <w:p>
            <w:pPr>
              <w:jc w:val="right"/>
              <w:spacing w:after="0" w:line="252" w:lineRule="exact"/>
              <w:rPr>
                <w:sz w:val="20"/>
                <w:szCs w:val="20"/>
                <w:color w:val="auto"/>
              </w:rPr>
            </w:pPr>
            <w:r>
              <w:rPr>
                <w:rFonts w:ascii="Arial" w:cs="Arial" w:eastAsia="Arial" w:hAnsi="Arial"/>
                <w:sz w:val="16"/>
                <w:szCs w:val="16"/>
                <w:color w:val="auto"/>
              </w:rPr>
              <w:t>3,745,697</w:t>
            </w:r>
            <w:r>
              <w:rPr>
                <w:rFonts w:ascii="Arial" w:cs="Arial" w:eastAsia="Arial" w:hAnsi="Arial"/>
                <w:sz w:val="29"/>
                <w:szCs w:val="29"/>
                <w:color w:val="auto"/>
                <w:vertAlign w:val="superscript"/>
              </w:rPr>
              <w:t>​​</w:t>
            </w:r>
            <w:r>
              <w:rPr>
                <w:rFonts w:ascii="Arial" w:cs="Arial" w:eastAsia="Arial" w:hAnsi="Arial"/>
                <w:sz w:val="16"/>
                <w:szCs w:val="16"/>
                <w:color w:val="auto"/>
              </w:rPr>
              <w:t xml:space="preserve"> ​1,137,938 </w:t>
            </w:r>
            <w:r>
              <w:rPr>
                <w:rFonts w:ascii="Arial" w:cs="Arial" w:eastAsia="Arial" w:hAnsi="Arial"/>
                <w:sz w:val="29"/>
                <w:szCs w:val="29"/>
                <w:color w:val="auto"/>
                <w:vertAlign w:val="superscript"/>
              </w:rPr>
              <w:t>​​​</w:t>
            </w:r>
          </w:p>
        </w:tc>
        <w:tc>
          <w:tcPr>
            <w:tcW w:w="260" w:type="dxa"/>
            <w:vAlign w:val="bottom"/>
            <w:tcBorders>
              <w:top w:val="single" w:sz="8" w:color="7B8FAA"/>
              <w:bottom w:val="single" w:sz="8" w:color="7B8FAA"/>
            </w:tcBorders>
            <w:gridSpan w:val="2"/>
            <w:shd w:val="clear" w:color="auto" w:fill="CCEEFF"/>
          </w:tcPr>
          <w:p>
            <w:pPr>
              <w:ind w:left="4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640" w:type="dxa"/>
            <w:vAlign w:val="bottom"/>
            <w:tcBorders>
              <w:top w:val="single" w:sz="8" w:color="7B8FAA"/>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17,375</w:t>
            </w:r>
          </w:p>
        </w:tc>
        <w:tc>
          <w:tcPr>
            <w:tcW w:w="320" w:type="dxa"/>
            <w:vAlign w:val="bottom"/>
            <w:tcBorders>
              <w:top w:val="single" w:sz="8" w:color="7B8FAA"/>
              <w:bottom w:val="single" w:sz="8" w:color="7B8FAA"/>
            </w:tcBorders>
            <w:gridSpan w:val="3"/>
            <w:shd w:val="clear" w:color="auto" w:fill="CCEEFF"/>
          </w:tcPr>
          <w:p>
            <w:pPr>
              <w:ind w:left="6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880" w:type="dxa"/>
            <w:vAlign w:val="bottom"/>
            <w:tcBorders>
              <w:top w:val="single" w:sz="8" w:color="7B8FAA"/>
              <w:bottom w:val="single" w:sz="8" w:color="7B8FAA"/>
            </w:tcBorders>
            <w:gridSpan w:val="2"/>
            <w:shd w:val="clear" w:color="auto" w:fill="CCEEFF"/>
          </w:tcPr>
          <w:p>
            <w:pPr>
              <w:ind w:left="40"/>
              <w:spacing w:after="0" w:line="252" w:lineRule="exact"/>
              <w:rPr>
                <w:sz w:val="20"/>
                <w:szCs w:val="20"/>
                <w:color w:val="auto"/>
              </w:rPr>
            </w:pPr>
            <w:r>
              <w:rPr>
                <w:rFonts w:ascii="Arial" w:cs="Arial" w:eastAsia="Arial" w:hAnsi="Arial"/>
                <w:sz w:val="16"/>
                <w:szCs w:val="16"/>
                <w:color w:val="auto"/>
              </w:rPr>
              <w:t>9,701,005</w:t>
            </w:r>
            <w:r>
              <w:rPr>
                <w:rFonts w:ascii="Arial" w:cs="Arial" w:eastAsia="Arial" w:hAnsi="Arial"/>
                <w:sz w:val="29"/>
                <w:szCs w:val="29"/>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00" w:type="dxa"/>
            <w:vAlign w:val="bottom"/>
            <w:tcBorders>
              <w:bottom w:val="single" w:sz="8" w:color="7B8FAA"/>
            </w:tcBorders>
            <w:shd w:val="clear" w:color="auto" w:fill="CCEEFF"/>
          </w:tcPr>
          <w:p>
            <w:pPr>
              <w:spacing w:after="0"/>
              <w:rPr>
                <w:sz w:val="21"/>
                <w:szCs w:val="21"/>
                <w:color w:val="auto"/>
              </w:rPr>
            </w:pPr>
          </w:p>
        </w:tc>
        <w:tc>
          <w:tcPr>
            <w:tcW w:w="1640" w:type="dxa"/>
            <w:vAlign w:val="bottom"/>
            <w:tcBorders>
              <w:bottom w:val="single" w:sz="8" w:color="7B8FAA"/>
            </w:tcBorders>
            <w:shd w:val="clear" w:color="auto" w:fill="CCEEFF"/>
          </w:tcPr>
          <w:p>
            <w:pPr>
              <w:spacing w:after="0"/>
              <w:rPr>
                <w:sz w:val="21"/>
                <w:szCs w:val="21"/>
                <w:color w:val="auto"/>
              </w:rPr>
            </w:pPr>
          </w:p>
        </w:tc>
        <w:tc>
          <w:tcPr>
            <w:tcW w:w="100" w:type="dxa"/>
            <w:vAlign w:val="bottom"/>
            <w:tcBorders>
              <w:bottom w:val="single" w:sz="8" w:color="7B8FAA"/>
            </w:tcBorders>
            <w:shd w:val="clear" w:color="auto" w:fill="CCEEFF"/>
          </w:tcPr>
          <w:p>
            <w:pPr>
              <w:spacing w:after="0"/>
              <w:rPr>
                <w:sz w:val="21"/>
                <w:szCs w:val="21"/>
                <w:color w:val="auto"/>
              </w:rPr>
            </w:pPr>
          </w:p>
        </w:tc>
        <w:tc>
          <w:tcPr>
            <w:tcW w:w="420" w:type="dxa"/>
            <w:vAlign w:val="bottom"/>
            <w:tcBorders>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​2022</w:t>
            </w:r>
          </w:p>
        </w:tc>
        <w:tc>
          <w:tcPr>
            <w:tcW w:w="920" w:type="dxa"/>
            <w:vAlign w:val="bottom"/>
            <w:tcBorders>
              <w:bottom w:val="single" w:sz="8" w:color="7B8FAA"/>
            </w:tcBorders>
            <w:gridSpan w:val="3"/>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​1,038,462</w:t>
            </w:r>
          </w:p>
        </w:tc>
        <w:tc>
          <w:tcPr>
            <w:tcW w:w="200" w:type="dxa"/>
            <w:vAlign w:val="bottom"/>
            <w:tcBorders>
              <w:bottom w:val="single" w:sz="8" w:color="7B8FAA"/>
            </w:tcBorders>
            <w:gridSpan w:val="2"/>
            <w:shd w:val="clear" w:color="auto" w:fill="CCEEFF"/>
          </w:tcPr>
          <w:p>
            <w:pPr>
              <w:ind w:left="2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1640" w:type="dxa"/>
            <w:vAlign w:val="bottom"/>
            <w:tcBorders>
              <w:bottom w:val="single" w:sz="8" w:color="7B8FAA"/>
            </w:tcBorders>
            <w:gridSpan w:val="4"/>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​3,749,997</w:t>
            </w:r>
          </w:p>
        </w:tc>
        <w:tc>
          <w:tcPr>
            <w:tcW w:w="2240" w:type="dxa"/>
            <w:vAlign w:val="bottom"/>
            <w:tcBorders>
              <w:bottom w:val="single" w:sz="8" w:color="7B8FAA"/>
            </w:tcBorders>
            <w:gridSpan w:val="7"/>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​10,712,705</w:t>
            </w:r>
            <w:r>
              <w:rPr>
                <w:rFonts w:ascii="Arial" w:cs="Arial" w:eastAsia="Arial" w:hAnsi="Arial"/>
                <w:sz w:val="29"/>
                <w:szCs w:val="29"/>
                <w:color w:val="auto"/>
                <w:vertAlign w:val="superscript"/>
              </w:rPr>
              <w:t>​​</w:t>
            </w:r>
            <w:r>
              <w:rPr>
                <w:rFonts w:ascii="Arial" w:cs="Arial" w:eastAsia="Arial" w:hAnsi="Arial"/>
                <w:sz w:val="16"/>
                <w:szCs w:val="16"/>
                <w:color w:val="auto"/>
              </w:rPr>
              <w:t xml:space="preserve"> ​1,142,308 </w:t>
            </w:r>
            <w:r>
              <w:rPr>
                <w:rFonts w:ascii="Arial" w:cs="Arial" w:eastAsia="Arial" w:hAnsi="Arial"/>
                <w:sz w:val="29"/>
                <w:szCs w:val="29"/>
                <w:color w:val="auto"/>
                <w:vertAlign w:val="superscript"/>
              </w:rPr>
              <w:t>​​​</w:t>
            </w:r>
          </w:p>
        </w:tc>
        <w:tc>
          <w:tcPr>
            <w:tcW w:w="260" w:type="dxa"/>
            <w:vAlign w:val="bottom"/>
            <w:tcBorders>
              <w:bottom w:val="single" w:sz="8" w:color="7B8FAA"/>
            </w:tcBorders>
            <w:gridSpan w:val="2"/>
            <w:shd w:val="clear" w:color="auto" w:fill="CCEEFF"/>
          </w:tcPr>
          <w:p>
            <w:pPr>
              <w:ind w:left="4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64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16,386</w:t>
            </w:r>
          </w:p>
        </w:tc>
        <w:tc>
          <w:tcPr>
            <w:tcW w:w="1200" w:type="dxa"/>
            <w:vAlign w:val="bottom"/>
            <w:tcBorders>
              <w:bottom w:val="single" w:sz="8" w:color="7B8FAA"/>
            </w:tcBorders>
            <w:gridSpan w:val="5"/>
            <w:shd w:val="clear" w:color="auto" w:fill="CCEEFF"/>
          </w:tcPr>
          <w:p>
            <w:pPr>
              <w:ind w:left="6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​16,659,858</w:t>
            </w:r>
            <w:r>
              <w:rPr>
                <w:rFonts w:ascii="Arial" w:cs="Arial" w:eastAsia="Arial" w:hAnsi="Arial"/>
                <w:sz w:val="29"/>
                <w:szCs w:val="29"/>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40" w:type="dxa"/>
            <w:vAlign w:val="bottom"/>
            <w:gridSpan w:val="2"/>
          </w:tcPr>
          <w:p>
            <w:pPr>
              <w:ind w:left="6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Jonathan Lyons</w:t>
            </w:r>
          </w:p>
        </w:tc>
        <w:tc>
          <w:tcPr>
            <w:tcW w:w="100" w:type="dxa"/>
            <w:vAlign w:val="bottom"/>
          </w:tcPr>
          <w:p>
            <w:pPr>
              <w:spacing w:after="0"/>
              <w:rPr>
                <w:sz w:val="20"/>
                <w:szCs w:val="20"/>
                <w:color w:val="auto"/>
              </w:rPr>
            </w:pPr>
          </w:p>
        </w:tc>
        <w:tc>
          <w:tcPr>
            <w:tcW w:w="4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​2024</w:t>
            </w:r>
          </w:p>
        </w:tc>
        <w:tc>
          <w:tcPr>
            <w:tcW w:w="200" w:type="dxa"/>
            <w:vAlign w:val="bottom"/>
            <w:gridSpan w:val="2"/>
          </w:tcPr>
          <w:p>
            <w:pPr>
              <w:jc w:val="right"/>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493,269</w:t>
            </w:r>
          </w:p>
        </w:tc>
        <w:tc>
          <w:tcPr>
            <w:tcW w:w="200" w:type="dxa"/>
            <w:vAlign w:val="bottom"/>
            <w:gridSpan w:val="2"/>
          </w:tcPr>
          <w:p>
            <w:pPr>
              <w:ind w:left="2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bscript"/>
              </w:rPr>
              <w:t>​</w:t>
            </w:r>
          </w:p>
        </w:tc>
        <w:tc>
          <w:tcPr>
            <w:tcW w:w="96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680" w:type="dxa"/>
            <w:vAlign w:val="bottom"/>
          </w:tcPr>
          <w:p>
            <w:pPr>
              <w:jc w:val="right"/>
              <w:spacing w:after="0"/>
              <w:rPr>
                <w:sz w:val="20"/>
                <w:szCs w:val="20"/>
                <w:color w:val="auto"/>
              </w:rPr>
            </w:pPr>
            <w:r>
              <w:rPr>
                <w:rFonts w:ascii="Arial" w:cs="Arial" w:eastAsia="Arial" w:hAnsi="Arial"/>
                <w:sz w:val="17"/>
                <w:szCs w:val="17"/>
                <w:color w:val="auto"/>
              </w:rPr>
              <w:t>599,999</w:t>
            </w:r>
          </w:p>
        </w:tc>
        <w:tc>
          <w:tcPr>
            <w:tcW w:w="200" w:type="dxa"/>
            <w:vAlign w:val="bottom"/>
            <w:gridSpan w:val="2"/>
          </w:tcPr>
          <w:p>
            <w:pPr>
              <w:jc w:val="right"/>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bscript"/>
              </w:rPr>
              <w:t>​</w:t>
            </w:r>
          </w:p>
        </w:tc>
        <w:tc>
          <w:tcPr>
            <w:tcW w:w="106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601,089</w:t>
            </w: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800" w:type="dxa"/>
            <w:vAlign w:val="bottom"/>
          </w:tcPr>
          <w:p>
            <w:pPr>
              <w:jc w:val="right"/>
              <w:spacing w:after="0"/>
              <w:rPr>
                <w:sz w:val="20"/>
                <w:szCs w:val="20"/>
                <w:color w:val="auto"/>
              </w:rPr>
            </w:pPr>
            <w:r>
              <w:rPr>
                <w:rFonts w:ascii="Arial" w:cs="Arial" w:eastAsia="Arial" w:hAnsi="Arial"/>
                <w:sz w:val="17"/>
                <w:szCs w:val="17"/>
                <w:color w:val="auto"/>
              </w:rPr>
              <w:t>324,571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​119,744</w:t>
            </w:r>
          </w:p>
        </w:tc>
        <w:tc>
          <w:tcPr>
            <w:tcW w:w="320" w:type="dxa"/>
            <w:vAlign w:val="bottom"/>
            <w:gridSpan w:val="3"/>
          </w:tcPr>
          <w:p>
            <w:pPr>
              <w:ind w:left="6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bscript"/>
              </w:rPr>
              <w:t>​</w:t>
            </w:r>
          </w:p>
        </w:tc>
        <w:tc>
          <w:tcPr>
            <w:tcW w:w="880" w:type="dxa"/>
            <w:vAlign w:val="bottom"/>
            <w:gridSpan w:val="2"/>
          </w:tcPr>
          <w:p>
            <w:pPr>
              <w:ind w:left="40"/>
              <w:spacing w:after="0" w:line="236" w:lineRule="exact"/>
              <w:rPr>
                <w:sz w:val="20"/>
                <w:szCs w:val="20"/>
                <w:color w:val="auto"/>
              </w:rPr>
            </w:pPr>
            <w:r>
              <w:rPr>
                <w:rFonts w:ascii="Arial" w:cs="Arial" w:eastAsia="Arial" w:hAnsi="Arial"/>
                <w:sz w:val="15"/>
                <w:szCs w:val="15"/>
                <w:color w:val="auto"/>
              </w:rPr>
              <w:t>2,138,672</w:t>
            </w:r>
            <w:r>
              <w:rPr>
                <w:rFonts w:ascii="Arial" w:cs="Arial" w:eastAsia="Arial" w:hAnsi="Arial"/>
                <w:sz w:val="27"/>
                <w:szCs w:val="27"/>
                <w:color w:val="auto"/>
                <w:vertAlign w:val="superscript"/>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640" w:type="dxa"/>
            <w:vAlign w:val="bottom"/>
            <w:vMerge w:val="restart"/>
          </w:tcPr>
          <w:p>
            <w:pPr>
              <w:spacing w:after="0"/>
              <w:rPr>
                <w:sz w:val="20"/>
                <w:szCs w:val="20"/>
                <w:color w:val="auto"/>
              </w:rPr>
            </w:pPr>
            <w:r>
              <w:rPr>
                <w:rFonts w:ascii="Arial" w:cs="Arial" w:eastAsia="Arial" w:hAnsi="Arial"/>
                <w:sz w:val="17"/>
                <w:szCs w:val="17"/>
                <w:i w:val="1"/>
                <w:iCs w:val="1"/>
                <w:color w:val="auto"/>
              </w:rPr>
              <w:t>SVP, CFO</w:t>
            </w:r>
          </w:p>
        </w:tc>
        <w:tc>
          <w:tcPr>
            <w:tcW w:w="100" w:type="dxa"/>
            <w:vAlign w:val="bottom"/>
          </w:tcPr>
          <w:p>
            <w:pPr>
              <w:spacing w:after="0"/>
              <w:rPr>
                <w:sz w:val="4"/>
                <w:szCs w:val="4"/>
                <w:color w:val="auto"/>
              </w:rPr>
            </w:pPr>
          </w:p>
        </w:tc>
        <w:tc>
          <w:tcPr>
            <w:tcW w:w="420" w:type="dxa"/>
            <w:vAlign w:val="bottom"/>
            <w:tcBorders>
              <w:bottom w:val="single" w:sz="8" w:color="7B8FAA"/>
            </w:tcBorders>
            <w:gridSpan w:val="2"/>
          </w:tcPr>
          <w:p>
            <w:pPr>
              <w:spacing w:after="0"/>
              <w:rPr>
                <w:sz w:val="4"/>
                <w:szCs w:val="4"/>
                <w:color w:val="auto"/>
              </w:rPr>
            </w:pPr>
          </w:p>
        </w:tc>
        <w:tc>
          <w:tcPr>
            <w:tcW w:w="200" w:type="dxa"/>
            <w:vAlign w:val="bottom"/>
            <w:tcBorders>
              <w:bottom w:val="single" w:sz="8" w:color="7B8FAA"/>
            </w:tcBorders>
            <w:gridSpan w:val="2"/>
          </w:tcPr>
          <w:p>
            <w:pPr>
              <w:spacing w:after="0"/>
              <w:rPr>
                <w:sz w:val="4"/>
                <w:szCs w:val="4"/>
                <w:color w:val="auto"/>
              </w:rPr>
            </w:pPr>
          </w:p>
        </w:tc>
        <w:tc>
          <w:tcPr>
            <w:tcW w:w="720" w:type="dxa"/>
            <w:vAlign w:val="bottom"/>
            <w:tcBorders>
              <w:bottom w:val="single" w:sz="8" w:color="7B8FAA"/>
            </w:tcBorders>
          </w:tcPr>
          <w:p>
            <w:pPr>
              <w:spacing w:after="0"/>
              <w:rPr>
                <w:sz w:val="4"/>
                <w:szCs w:val="4"/>
                <w:color w:val="auto"/>
              </w:rPr>
            </w:pPr>
          </w:p>
        </w:tc>
        <w:tc>
          <w:tcPr>
            <w:tcW w:w="140" w:type="dxa"/>
            <w:vAlign w:val="bottom"/>
            <w:tcBorders>
              <w:bottom w:val="single" w:sz="8" w:color="7B8FAA"/>
            </w:tcBorders>
          </w:tcPr>
          <w:p>
            <w:pPr>
              <w:spacing w:after="0"/>
              <w:rPr>
                <w:sz w:val="4"/>
                <w:szCs w:val="4"/>
                <w:color w:val="auto"/>
              </w:rPr>
            </w:pPr>
          </w:p>
        </w:tc>
        <w:tc>
          <w:tcPr>
            <w:tcW w:w="60" w:type="dxa"/>
            <w:vAlign w:val="bottom"/>
            <w:tcBorders>
              <w:bottom w:val="single" w:sz="8" w:color="7B8FAA"/>
            </w:tcBorders>
          </w:tcPr>
          <w:p>
            <w:pPr>
              <w:spacing w:after="0"/>
              <w:rPr>
                <w:sz w:val="4"/>
                <w:szCs w:val="4"/>
                <w:color w:val="auto"/>
              </w:rPr>
            </w:pPr>
          </w:p>
        </w:tc>
        <w:tc>
          <w:tcPr>
            <w:tcW w:w="1640" w:type="dxa"/>
            <w:vAlign w:val="bottom"/>
            <w:tcBorders>
              <w:bottom w:val="single" w:sz="8" w:color="7B8FAA"/>
            </w:tcBorders>
            <w:gridSpan w:val="4"/>
          </w:tcPr>
          <w:p>
            <w:pPr>
              <w:spacing w:after="0"/>
              <w:rPr>
                <w:sz w:val="4"/>
                <w:szCs w:val="4"/>
                <w:color w:val="auto"/>
              </w:rPr>
            </w:pPr>
          </w:p>
        </w:tc>
        <w:tc>
          <w:tcPr>
            <w:tcW w:w="200" w:type="dxa"/>
            <w:vAlign w:val="bottom"/>
            <w:tcBorders>
              <w:bottom w:val="single" w:sz="8" w:color="7B8FAA"/>
            </w:tcBorders>
            <w:gridSpan w:val="2"/>
          </w:tcPr>
          <w:p>
            <w:pPr>
              <w:spacing w:after="0"/>
              <w:rPr>
                <w:sz w:val="4"/>
                <w:szCs w:val="4"/>
                <w:color w:val="auto"/>
              </w:rPr>
            </w:pPr>
          </w:p>
        </w:tc>
        <w:tc>
          <w:tcPr>
            <w:tcW w:w="1060" w:type="dxa"/>
            <w:vAlign w:val="bottom"/>
            <w:tcBorders>
              <w:bottom w:val="single" w:sz="8" w:color="7B8FAA"/>
            </w:tcBorders>
            <w:gridSpan w:val="3"/>
          </w:tcPr>
          <w:p>
            <w:pPr>
              <w:spacing w:after="0"/>
              <w:rPr>
                <w:sz w:val="4"/>
                <w:szCs w:val="4"/>
                <w:color w:val="auto"/>
              </w:rPr>
            </w:pPr>
          </w:p>
        </w:tc>
        <w:tc>
          <w:tcPr>
            <w:tcW w:w="800" w:type="dxa"/>
            <w:vAlign w:val="bottom"/>
            <w:tcBorders>
              <w:bottom w:val="single" w:sz="8" w:color="7B8FAA"/>
            </w:tcBorders>
          </w:tcPr>
          <w:p>
            <w:pPr>
              <w:spacing w:after="0"/>
              <w:rPr>
                <w:sz w:val="4"/>
                <w:szCs w:val="4"/>
                <w:color w:val="auto"/>
              </w:rPr>
            </w:pPr>
          </w:p>
        </w:tc>
        <w:tc>
          <w:tcPr>
            <w:tcW w:w="180" w:type="dxa"/>
            <w:vAlign w:val="bottom"/>
            <w:tcBorders>
              <w:bottom w:val="single" w:sz="8" w:color="7B8FAA"/>
            </w:tcBorders>
          </w:tcPr>
          <w:p>
            <w:pPr>
              <w:spacing w:after="0"/>
              <w:rPr>
                <w:sz w:val="4"/>
                <w:szCs w:val="4"/>
                <w:color w:val="auto"/>
              </w:rPr>
            </w:pPr>
          </w:p>
        </w:tc>
        <w:tc>
          <w:tcPr>
            <w:tcW w:w="260" w:type="dxa"/>
            <w:vAlign w:val="bottom"/>
            <w:tcBorders>
              <w:bottom w:val="single" w:sz="8" w:color="7B8FAA"/>
            </w:tcBorders>
            <w:gridSpan w:val="2"/>
          </w:tcPr>
          <w:p>
            <w:pPr>
              <w:spacing w:after="0"/>
              <w:rPr>
                <w:sz w:val="4"/>
                <w:szCs w:val="4"/>
                <w:color w:val="auto"/>
              </w:rPr>
            </w:pPr>
          </w:p>
        </w:tc>
        <w:tc>
          <w:tcPr>
            <w:tcW w:w="640" w:type="dxa"/>
            <w:vAlign w:val="bottom"/>
            <w:tcBorders>
              <w:bottom w:val="single" w:sz="8" w:color="7B8FAA"/>
            </w:tcBorders>
          </w:tcPr>
          <w:p>
            <w:pPr>
              <w:spacing w:after="0"/>
              <w:rPr>
                <w:sz w:val="4"/>
                <w:szCs w:val="4"/>
                <w:color w:val="auto"/>
              </w:rPr>
            </w:pPr>
          </w:p>
        </w:tc>
        <w:tc>
          <w:tcPr>
            <w:tcW w:w="320" w:type="dxa"/>
            <w:vAlign w:val="bottom"/>
            <w:tcBorders>
              <w:bottom w:val="single" w:sz="8" w:color="7B8FAA"/>
            </w:tcBorders>
            <w:gridSpan w:val="3"/>
          </w:tcPr>
          <w:p>
            <w:pPr>
              <w:spacing w:after="0"/>
              <w:rPr>
                <w:sz w:val="4"/>
                <w:szCs w:val="4"/>
                <w:color w:val="auto"/>
              </w:rPr>
            </w:pPr>
          </w:p>
        </w:tc>
        <w:tc>
          <w:tcPr>
            <w:tcW w:w="900" w:type="dxa"/>
            <w:vAlign w:val="bottom"/>
            <w:tcBorders>
              <w:bottom w:val="single" w:sz="8" w:color="7B8FAA"/>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1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​2023</w:t>
            </w:r>
          </w:p>
        </w:tc>
        <w:tc>
          <w:tcPr>
            <w:tcW w:w="200" w:type="dxa"/>
            <w:vAlign w:val="bottom"/>
            <w:gridSpan w:val="2"/>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237,500</w:t>
            </w:r>
          </w:p>
        </w:tc>
        <w:tc>
          <w:tcPr>
            <w:tcW w:w="140" w:type="dxa"/>
            <w:vAlign w:val="bottom"/>
          </w:tcPr>
          <w:p>
            <w:pPr>
              <w:ind w:left="20"/>
              <w:spacing w:after="0" w:line="252" w:lineRule="exact"/>
              <w:rPr>
                <w:sz w:val="20"/>
                <w:szCs w:val="20"/>
                <w:color w:val="auto"/>
              </w:rPr>
            </w:pPr>
            <w:r>
              <w:rPr>
                <w:rFonts w:ascii="Arial" w:cs="Arial" w:eastAsia="Arial" w:hAnsi="Arial"/>
                <w:sz w:val="16"/>
                <w:szCs w:val="16"/>
                <w:color w:val="auto"/>
                <w:w w:val="92"/>
              </w:rPr>
              <w:t>​</w:t>
            </w:r>
            <w:r>
              <w:rPr>
                <w:rFonts w:ascii="Arial" w:cs="Arial" w:eastAsia="Arial" w:hAnsi="Arial"/>
                <w:sz w:val="29"/>
                <w:szCs w:val="29"/>
                <w:color w:val="auto"/>
                <w:w w:val="92"/>
                <w:vertAlign w:val="subscript"/>
              </w:rPr>
              <w:t>$</w:t>
            </w:r>
          </w:p>
        </w:tc>
        <w:tc>
          <w:tcPr>
            <w:tcW w:w="60" w:type="dxa"/>
            <w:vAlign w:val="bottom"/>
          </w:tcPr>
          <w:p>
            <w:pPr>
              <w:spacing w:after="0"/>
              <w:rPr>
                <w:sz w:val="21"/>
                <w:szCs w:val="21"/>
                <w:color w:val="auto"/>
              </w:rPr>
            </w:pPr>
          </w:p>
        </w:tc>
        <w:tc>
          <w:tcPr>
            <w:tcW w:w="1640" w:type="dxa"/>
            <w:vAlign w:val="bottom"/>
            <w:gridSpan w:val="4"/>
          </w:tcPr>
          <w:p>
            <w:pPr>
              <w:jc w:val="right"/>
              <w:spacing w:after="0" w:line="252" w:lineRule="exact"/>
              <w:rPr>
                <w:sz w:val="20"/>
                <w:szCs w:val="20"/>
                <w:color w:val="auto"/>
              </w:rPr>
            </w:pPr>
            <w:r>
              <w:rPr>
                <w:rFonts w:ascii="Arial" w:cs="Arial" w:eastAsia="Arial" w:hAnsi="Arial"/>
                <w:sz w:val="16"/>
                <w:szCs w:val="16"/>
                <w:color w:val="auto"/>
              </w:rPr>
              <w:t xml:space="preserve">200,000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​1,299,973</w:t>
            </w:r>
          </w:p>
        </w:tc>
        <w:tc>
          <w:tcPr>
            <w:tcW w:w="200" w:type="dxa"/>
            <w:vAlign w:val="bottom"/>
            <w:gridSpan w:val="2"/>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106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298,791</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0" w:type="dxa"/>
            <w:vAlign w:val="bottom"/>
          </w:tcPr>
          <w:p>
            <w:pPr>
              <w:jc w:val="right"/>
              <w:spacing w:after="0"/>
              <w:rPr>
                <w:sz w:val="20"/>
                <w:szCs w:val="20"/>
                <w:color w:val="auto"/>
              </w:rPr>
            </w:pPr>
            <w:r>
              <w:rPr>
                <w:rFonts w:ascii="Arial" w:cs="Arial" w:eastAsia="Arial" w:hAnsi="Arial"/>
                <w:sz w:val="17"/>
                <w:szCs w:val="17"/>
                <w:color w:val="auto"/>
              </w:rPr>
              <w:t>141,312</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4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tcPr>
          <w:p>
            <w:pPr>
              <w:ind w:left="6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900" w:type="dxa"/>
            <w:vAlign w:val="bottom"/>
            <w:gridSpan w:val="3"/>
          </w:tcPr>
          <w:p>
            <w:pPr>
              <w:ind w:left="40"/>
              <w:spacing w:after="0" w:line="252" w:lineRule="exact"/>
              <w:rPr>
                <w:sz w:val="20"/>
                <w:szCs w:val="20"/>
                <w:color w:val="auto"/>
              </w:rPr>
            </w:pPr>
            <w:r>
              <w:rPr>
                <w:rFonts w:ascii="Arial" w:cs="Arial" w:eastAsia="Arial" w:hAnsi="Arial"/>
                <w:sz w:val="16"/>
                <w:szCs w:val="16"/>
                <w:color w:val="auto"/>
              </w:rPr>
              <w:t>2,177,576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97"/>
        </w:trPr>
        <w:tc>
          <w:tcPr>
            <w:tcW w:w="1740" w:type="dxa"/>
            <w:vAlign w:val="bottom"/>
            <w:tcBorders>
              <w:top w:val="single" w:sz="8" w:color="7B8FAA"/>
              <w:bottom w:val="single" w:sz="8" w:color="CCEEFF"/>
            </w:tcBorders>
            <w:gridSpan w:val="2"/>
            <w:shd w:val="clear" w:color="auto" w:fill="CCEEFF"/>
          </w:tcPr>
          <w:p>
            <w:pPr>
              <w:ind w:left="6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Michael P. Rutz</w:t>
            </w:r>
          </w:p>
        </w:tc>
        <w:tc>
          <w:tcPr>
            <w:tcW w:w="100" w:type="dxa"/>
            <w:vAlign w:val="bottom"/>
            <w:tcBorders>
              <w:top w:val="single" w:sz="8" w:color="7B8FAA"/>
              <w:bottom w:val="single" w:sz="8" w:color="CCEEFF"/>
            </w:tcBorders>
            <w:shd w:val="clear" w:color="auto" w:fill="CCEEFF"/>
          </w:tcPr>
          <w:p>
            <w:pPr>
              <w:spacing w:after="0"/>
              <w:rPr>
                <w:sz w:val="24"/>
                <w:szCs w:val="24"/>
                <w:color w:val="auto"/>
              </w:rPr>
            </w:pPr>
          </w:p>
        </w:tc>
        <w:tc>
          <w:tcPr>
            <w:tcW w:w="420" w:type="dxa"/>
            <w:vAlign w:val="bottom"/>
            <w:tcBorders>
              <w:top w:val="single" w:sz="8" w:color="7B8FAA"/>
              <w:bottom w:val="single" w:sz="8" w:color="CCEEFF"/>
            </w:tcBorders>
            <w:gridSpan w:val="2"/>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shd w:val="clear" w:color="auto" w:fill="CCEEFF"/>
              </w:rPr>
              <w:t>​2024</w:t>
            </w:r>
          </w:p>
        </w:tc>
        <w:tc>
          <w:tcPr>
            <w:tcW w:w="200" w:type="dxa"/>
            <w:vAlign w:val="bottom"/>
            <w:tcBorders>
              <w:top w:val="single" w:sz="8" w:color="7B8FAA"/>
              <w:bottom w:val="single" w:sz="8" w:color="CCEEFF"/>
            </w:tcBorders>
            <w:gridSpan w:val="2"/>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perscript"/>
                <w:shd w:val="clear" w:color="auto" w:fill="CCEEFF"/>
              </w:rPr>
              <w:t>​</w:t>
            </w:r>
            <w:r>
              <w:rPr>
                <w:rFonts w:ascii="Arial" w:cs="Arial" w:eastAsia="Arial" w:hAnsi="Arial"/>
                <w:sz w:val="15"/>
                <w:szCs w:val="15"/>
                <w:color w:val="auto"/>
                <w:shd w:val="clear" w:color="auto" w:fill="CCEEFF"/>
              </w:rPr>
              <w:t xml:space="preserve"> ​</w:t>
            </w:r>
          </w:p>
        </w:tc>
        <w:tc>
          <w:tcPr>
            <w:tcW w:w="720" w:type="dxa"/>
            <w:vAlign w:val="bottom"/>
            <w:tcBorders>
              <w:top w:val="single" w:sz="8" w:color="7B8FAA"/>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491,923</w:t>
            </w:r>
          </w:p>
        </w:tc>
        <w:tc>
          <w:tcPr>
            <w:tcW w:w="200" w:type="dxa"/>
            <w:vAlign w:val="bottom"/>
            <w:tcBorders>
              <w:top w:val="single" w:sz="8" w:color="7B8FAA"/>
              <w:bottom w:val="single" w:sz="8" w:color="CCEEFF"/>
            </w:tcBorders>
            <w:gridSpan w:val="2"/>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perscript"/>
                <w:shd w:val="clear" w:color="auto" w:fill="CCEEFF"/>
              </w:rPr>
              <w:t>​</w:t>
            </w:r>
            <w:r>
              <w:rPr>
                <w:rFonts w:ascii="Arial" w:cs="Arial" w:eastAsia="Arial" w:hAnsi="Arial"/>
                <w:sz w:val="15"/>
                <w:szCs w:val="15"/>
                <w:color w:val="auto"/>
                <w:shd w:val="clear" w:color="auto" w:fill="CCEEFF"/>
              </w:rPr>
              <w:t xml:space="preserve"> ​</w:t>
            </w:r>
          </w:p>
        </w:tc>
        <w:tc>
          <w:tcPr>
            <w:tcW w:w="960" w:type="dxa"/>
            <w:vAlign w:val="bottom"/>
            <w:tcBorders>
              <w:top w:val="single" w:sz="8" w:color="7B8FAA"/>
              <w:bottom w:val="single" w:sz="8" w:color="CCEEFF"/>
            </w:tcBorders>
            <w:gridSpan w:val="3"/>
            <w:shd w:val="clear" w:color="auto" w:fill="CCEEFF"/>
          </w:tcPr>
          <w:p>
            <w:pPr>
              <w:jc w:val="right"/>
              <w:spacing w:after="0" w:line="236" w:lineRule="exact"/>
              <w:rPr>
                <w:sz w:val="20"/>
                <w:szCs w:val="20"/>
                <w:color w:val="auto"/>
              </w:rPr>
            </w:pPr>
            <w:r>
              <w:rPr>
                <w:rFonts w:ascii="Arial" w:cs="Arial" w:eastAsia="Arial" w:hAnsi="Arial"/>
                <w:sz w:val="15"/>
                <w:szCs w:val="15"/>
                <w:color w:val="auto"/>
                <w:shd w:val="clear" w:color="auto" w:fill="CCEEFF"/>
              </w:rPr>
              <w:t xml:space="preserve">700,000 </w:t>
            </w:r>
            <w:r>
              <w:rPr>
                <w:rFonts w:ascii="Arial" w:cs="Arial" w:eastAsia="Arial" w:hAnsi="Arial"/>
                <w:sz w:val="27"/>
                <w:szCs w:val="27"/>
                <w:color w:val="auto"/>
                <w:vertAlign w:val="superscript"/>
                <w:shd w:val="clear" w:color="auto" w:fill="CCEEFF"/>
              </w:rPr>
              <w:t>​</w:t>
            </w:r>
            <w:r>
              <w:rPr>
                <w:rFonts w:ascii="Arial" w:cs="Arial" w:eastAsia="Arial" w:hAnsi="Arial"/>
                <w:sz w:val="15"/>
                <w:szCs w:val="15"/>
                <w:color w:val="auto"/>
                <w:shd w:val="clear" w:color="auto" w:fill="CCEEFF"/>
              </w:rPr>
              <w:t xml:space="preserve"> ​</w:t>
            </w:r>
          </w:p>
        </w:tc>
        <w:tc>
          <w:tcPr>
            <w:tcW w:w="680" w:type="dxa"/>
            <w:vAlign w:val="bottom"/>
            <w:tcBorders>
              <w:top w:val="single" w:sz="8" w:color="7B8FAA"/>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499,999</w:t>
            </w:r>
          </w:p>
        </w:tc>
        <w:tc>
          <w:tcPr>
            <w:tcW w:w="200" w:type="dxa"/>
            <w:vAlign w:val="bottom"/>
            <w:tcBorders>
              <w:top w:val="single" w:sz="8" w:color="7B8FAA"/>
              <w:bottom w:val="single" w:sz="8" w:color="CCEEFF"/>
            </w:tcBorders>
            <w:gridSpan w:val="2"/>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perscript"/>
                <w:shd w:val="clear" w:color="auto" w:fill="CCEEFF"/>
              </w:rPr>
              <w:t>​</w:t>
            </w:r>
            <w:r>
              <w:rPr>
                <w:rFonts w:ascii="Arial" w:cs="Arial" w:eastAsia="Arial" w:hAnsi="Arial"/>
                <w:sz w:val="15"/>
                <w:szCs w:val="15"/>
                <w:color w:val="auto"/>
                <w:shd w:val="clear" w:color="auto" w:fill="CCEEFF"/>
              </w:rPr>
              <w:t xml:space="preserve"> ​</w:t>
            </w:r>
          </w:p>
        </w:tc>
        <w:tc>
          <w:tcPr>
            <w:tcW w:w="1060" w:type="dxa"/>
            <w:vAlign w:val="bottom"/>
            <w:tcBorders>
              <w:top w:val="single" w:sz="8" w:color="7B8FAA"/>
              <w:bottom w:val="single" w:sz="8" w:color="CCEEFF"/>
            </w:tcBorders>
            <w:gridSpan w:val="3"/>
            <w:shd w:val="clear" w:color="auto" w:fill="CCEEFF"/>
          </w:tcPr>
          <w:p>
            <w:pPr>
              <w:jc w:val="right"/>
              <w:spacing w:after="0" w:line="236" w:lineRule="exact"/>
              <w:rPr>
                <w:sz w:val="20"/>
                <w:szCs w:val="20"/>
                <w:color w:val="auto"/>
              </w:rPr>
            </w:pPr>
            <w:r>
              <w:rPr>
                <w:rFonts w:ascii="Arial" w:cs="Arial" w:eastAsia="Arial" w:hAnsi="Arial"/>
                <w:sz w:val="15"/>
                <w:szCs w:val="15"/>
                <w:color w:val="auto"/>
                <w:shd w:val="clear" w:color="auto" w:fill="CCEEFF"/>
              </w:rPr>
              <w:t>500,905</w:t>
            </w:r>
            <w:r>
              <w:rPr>
                <w:rFonts w:ascii="Arial" w:cs="Arial" w:eastAsia="Arial" w:hAnsi="Arial"/>
                <w:sz w:val="27"/>
                <w:szCs w:val="27"/>
                <w:color w:val="auto"/>
                <w:vertAlign w:val="superscript"/>
                <w:shd w:val="clear" w:color="auto" w:fill="CCEEFF"/>
              </w:rPr>
              <w:t>​​</w:t>
            </w:r>
            <w:r>
              <w:rPr>
                <w:rFonts w:ascii="Arial" w:cs="Arial" w:eastAsia="Arial" w:hAnsi="Arial"/>
                <w:sz w:val="15"/>
                <w:szCs w:val="15"/>
                <w:color w:val="auto"/>
                <w:shd w:val="clear" w:color="auto" w:fill="CCEEFF"/>
              </w:rPr>
              <w:t xml:space="preserve"> ​</w:t>
            </w:r>
          </w:p>
        </w:tc>
        <w:tc>
          <w:tcPr>
            <w:tcW w:w="800" w:type="dxa"/>
            <w:vAlign w:val="bottom"/>
            <w:tcBorders>
              <w:top w:val="single" w:sz="8" w:color="7B8FAA"/>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270,804</w:t>
            </w:r>
          </w:p>
        </w:tc>
        <w:tc>
          <w:tcPr>
            <w:tcW w:w="180" w:type="dxa"/>
            <w:vAlign w:val="bottom"/>
            <w:tcBorders>
              <w:top w:val="single" w:sz="8" w:color="7B8FAA"/>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w:t>
            </w:r>
          </w:p>
        </w:tc>
        <w:tc>
          <w:tcPr>
            <w:tcW w:w="260" w:type="dxa"/>
            <w:vAlign w:val="bottom"/>
            <w:tcBorders>
              <w:top w:val="single" w:sz="8" w:color="7B8FAA"/>
              <w:bottom w:val="single" w:sz="8" w:color="CCEEFF"/>
            </w:tcBorders>
            <w:gridSpan w:val="2"/>
            <w:shd w:val="clear" w:color="auto" w:fill="CCEEFF"/>
          </w:tcPr>
          <w:p>
            <w:pPr>
              <w:ind w:left="40"/>
              <w:spacing w:after="0" w:line="236" w:lineRule="exact"/>
              <w:rPr>
                <w:sz w:val="20"/>
                <w:szCs w:val="20"/>
                <w:color w:val="auto"/>
              </w:rPr>
            </w:pPr>
            <w:r>
              <w:rPr>
                <w:rFonts w:ascii="Arial" w:cs="Arial" w:eastAsia="Arial" w:hAnsi="Arial"/>
                <w:sz w:val="27"/>
                <w:szCs w:val="27"/>
                <w:color w:val="auto"/>
                <w:vertAlign w:val="superscript"/>
                <w:shd w:val="clear" w:color="auto" w:fill="CCEEFF"/>
              </w:rPr>
              <w:t>​</w:t>
            </w:r>
            <w:r>
              <w:rPr>
                <w:rFonts w:ascii="Arial" w:cs="Arial" w:eastAsia="Arial" w:hAnsi="Arial"/>
                <w:sz w:val="15"/>
                <w:szCs w:val="15"/>
                <w:color w:val="auto"/>
                <w:shd w:val="clear" w:color="auto" w:fill="CCEEFF"/>
              </w:rPr>
              <w:t xml:space="preserve"> ​</w:t>
            </w:r>
          </w:p>
        </w:tc>
        <w:tc>
          <w:tcPr>
            <w:tcW w:w="640" w:type="dxa"/>
            <w:vAlign w:val="bottom"/>
            <w:tcBorders>
              <w:top w:val="single" w:sz="8" w:color="7B8FAA"/>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17,878</w:t>
            </w:r>
          </w:p>
        </w:tc>
        <w:tc>
          <w:tcPr>
            <w:tcW w:w="320" w:type="dxa"/>
            <w:vAlign w:val="bottom"/>
            <w:tcBorders>
              <w:top w:val="single" w:sz="8" w:color="7B8FAA"/>
              <w:bottom w:val="single" w:sz="8" w:color="CCEEFF"/>
            </w:tcBorders>
            <w:gridSpan w:val="3"/>
            <w:shd w:val="clear" w:color="auto" w:fill="CCEEFF"/>
          </w:tcPr>
          <w:p>
            <w:pPr>
              <w:ind w:left="60"/>
              <w:spacing w:after="0" w:line="236" w:lineRule="exact"/>
              <w:rPr>
                <w:sz w:val="20"/>
                <w:szCs w:val="20"/>
                <w:color w:val="auto"/>
              </w:rPr>
            </w:pPr>
            <w:r>
              <w:rPr>
                <w:rFonts w:ascii="Arial" w:cs="Arial" w:eastAsia="Arial" w:hAnsi="Arial"/>
                <w:sz w:val="15"/>
                <w:szCs w:val="15"/>
                <w:color w:val="auto"/>
                <w:shd w:val="clear" w:color="auto" w:fill="CCEEFF"/>
              </w:rPr>
              <w:t xml:space="preserve">​​​​ </w:t>
            </w:r>
            <w:r>
              <w:rPr>
                <w:rFonts w:ascii="Arial" w:cs="Arial" w:eastAsia="Arial" w:hAnsi="Arial"/>
                <w:sz w:val="27"/>
                <w:szCs w:val="27"/>
                <w:color w:val="auto"/>
                <w:vertAlign w:val="subscript"/>
                <w:shd w:val="clear" w:color="auto" w:fill="CCEEFF"/>
              </w:rPr>
              <w:t>​</w:t>
            </w:r>
          </w:p>
        </w:tc>
        <w:tc>
          <w:tcPr>
            <w:tcW w:w="880" w:type="dxa"/>
            <w:vAlign w:val="bottom"/>
            <w:tcBorders>
              <w:top w:val="single" w:sz="8" w:color="7B8FAA"/>
              <w:bottom w:val="single" w:sz="8" w:color="CCEEFF"/>
            </w:tcBorders>
            <w:gridSpan w:val="2"/>
            <w:shd w:val="clear" w:color="auto" w:fill="CCEEFF"/>
          </w:tcPr>
          <w:p>
            <w:pPr>
              <w:ind w:left="40"/>
              <w:spacing w:after="0" w:line="236" w:lineRule="exact"/>
              <w:rPr>
                <w:sz w:val="20"/>
                <w:szCs w:val="20"/>
                <w:color w:val="auto"/>
              </w:rPr>
            </w:pPr>
            <w:r>
              <w:rPr>
                <w:rFonts w:ascii="Arial" w:cs="Arial" w:eastAsia="Arial" w:hAnsi="Arial"/>
                <w:sz w:val="15"/>
                <w:szCs w:val="15"/>
                <w:color w:val="auto"/>
                <w:shd w:val="clear" w:color="auto" w:fill="CCEEFF"/>
              </w:rPr>
              <w:t>2,481,509</w:t>
            </w:r>
            <w:r>
              <w:rPr>
                <w:rFonts w:ascii="Arial" w:cs="Arial" w:eastAsia="Arial" w:hAnsi="Arial"/>
                <w:sz w:val="27"/>
                <w:szCs w:val="27"/>
                <w:color w:val="auto"/>
                <w:vertAlign w:val="superscript"/>
                <w:shd w:val="clear" w:color="auto" w:fill="CCEEFF"/>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0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5"/>
                <w:szCs w:val="15"/>
                <w:i w:val="1"/>
                <w:iCs w:val="1"/>
                <w:color w:val="auto"/>
              </w:rPr>
              <w:t>President of Sterigenics</w:t>
            </w:r>
          </w:p>
        </w:tc>
        <w:tc>
          <w:tcPr>
            <w:tcW w:w="80" w:type="dxa"/>
            <w:vAlign w:val="bottom"/>
            <w:tcBorders>
              <w:top w:val="single" w:sz="8" w:color="7B8FAA"/>
            </w:tcBorders>
            <w:shd w:val="clear" w:color="auto" w:fill="CCEEFF"/>
          </w:tcPr>
          <w:p>
            <w:pPr>
              <w:ind w:left="20"/>
              <w:spacing w:after="0" w:line="136" w:lineRule="exact"/>
              <w:rPr>
                <w:sz w:val="20"/>
                <w:szCs w:val="20"/>
                <w:color w:val="auto"/>
              </w:rPr>
            </w:pPr>
            <w:r>
              <w:rPr>
                <w:rFonts w:ascii="Arial" w:cs="Arial" w:eastAsia="Arial" w:hAnsi="Arial"/>
                <w:sz w:val="15"/>
                <w:szCs w:val="15"/>
                <w:color w:val="auto"/>
                <w:shd w:val="clear" w:color="auto" w:fill="CCEEFF"/>
              </w:rPr>
              <w:t>​</w:t>
            </w:r>
          </w:p>
        </w:tc>
        <w:tc>
          <w:tcPr>
            <w:tcW w:w="340" w:type="dxa"/>
            <w:vAlign w:val="bottom"/>
            <w:tcBorders>
              <w:top w:val="single" w:sz="8" w:color="7B8FAA"/>
            </w:tcBorders>
            <w:shd w:val="clear" w:color="auto" w:fill="CCEEFF"/>
          </w:tcPr>
          <w:p>
            <w:pPr>
              <w:spacing w:after="0"/>
              <w:rPr>
                <w:sz w:val="11"/>
                <w:szCs w:val="11"/>
                <w:color w:val="auto"/>
              </w:rPr>
            </w:pPr>
          </w:p>
        </w:tc>
        <w:tc>
          <w:tcPr>
            <w:tcW w:w="120" w:type="dxa"/>
            <w:vAlign w:val="bottom"/>
            <w:tcBorders>
              <w:top w:val="single" w:sz="8" w:color="7B8FAA"/>
            </w:tcBorders>
            <w:shd w:val="clear" w:color="auto" w:fill="CCEEFF"/>
          </w:tcPr>
          <w:p>
            <w:pPr>
              <w:ind w:left="20"/>
              <w:spacing w:after="0" w:line="136" w:lineRule="exact"/>
              <w:rPr>
                <w:sz w:val="20"/>
                <w:szCs w:val="20"/>
                <w:color w:val="auto"/>
              </w:rPr>
            </w:pPr>
            <w:r>
              <w:rPr>
                <w:rFonts w:ascii="Arial" w:cs="Arial" w:eastAsia="Arial" w:hAnsi="Arial"/>
                <w:sz w:val="15"/>
                <w:szCs w:val="15"/>
                <w:color w:val="auto"/>
                <w:shd w:val="clear" w:color="auto" w:fill="CCEEFF"/>
              </w:rPr>
              <w:t>​</w:t>
            </w:r>
          </w:p>
        </w:tc>
        <w:tc>
          <w:tcPr>
            <w:tcW w:w="8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w:t>
            </w:r>
          </w:p>
        </w:tc>
        <w:tc>
          <w:tcPr>
            <w:tcW w:w="72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464,615</w:t>
            </w:r>
          </w:p>
        </w:tc>
        <w:tc>
          <w:tcPr>
            <w:tcW w:w="140" w:type="dxa"/>
            <w:vAlign w:val="bottom"/>
            <w:tcBorders>
              <w:top w:val="single" w:sz="8" w:color="7B8FAA"/>
            </w:tcBorders>
            <w:shd w:val="clear" w:color="auto" w:fill="CCEEFF"/>
          </w:tcPr>
          <w:p>
            <w:pPr>
              <w:ind w:left="20"/>
              <w:spacing w:after="0" w:line="136" w:lineRule="exact"/>
              <w:rPr>
                <w:sz w:val="20"/>
                <w:szCs w:val="20"/>
                <w:color w:val="auto"/>
              </w:rPr>
            </w:pPr>
            <w:r>
              <w:rPr>
                <w:rFonts w:ascii="Arial" w:cs="Arial" w:eastAsia="Arial" w:hAnsi="Arial"/>
                <w:sz w:val="15"/>
                <w:szCs w:val="15"/>
                <w:color w:val="auto"/>
                <w:shd w:val="clear" w:color="auto" w:fill="CCEEFF"/>
              </w:rPr>
              <w:t>​</w:t>
            </w:r>
          </w:p>
        </w:tc>
        <w:tc>
          <w:tcPr>
            <w:tcW w:w="60" w:type="dxa"/>
            <w:vAlign w:val="bottom"/>
            <w:tcBorders>
              <w:top w:val="single" w:sz="8" w:color="7B8FAA"/>
            </w:tcBorders>
            <w:vMerge w:val="restart"/>
            <w:shd w:val="clear" w:color="auto" w:fill="CCEEFF"/>
          </w:tcPr>
          <w:p>
            <w:pPr>
              <w:spacing w:after="0"/>
              <w:rPr>
                <w:sz w:val="20"/>
                <w:szCs w:val="20"/>
                <w:color w:val="auto"/>
              </w:rPr>
            </w:pPr>
            <w:r>
              <w:rPr>
                <w:rFonts w:ascii="Arial" w:cs="Arial" w:eastAsia="Arial" w:hAnsi="Arial"/>
                <w:sz w:val="17"/>
                <w:szCs w:val="17"/>
                <w:color w:val="auto"/>
                <w:shd w:val="clear" w:color="auto" w:fill="CCEEFF"/>
              </w:rPr>
              <w:t>​</w:t>
            </w:r>
          </w:p>
        </w:tc>
        <w:tc>
          <w:tcPr>
            <w:tcW w:w="72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300,000</w:t>
            </w:r>
          </w:p>
        </w:tc>
        <w:tc>
          <w:tcPr>
            <w:tcW w:w="120" w:type="dxa"/>
            <w:vAlign w:val="bottom"/>
            <w:tcBorders>
              <w:top w:val="single" w:sz="8" w:color="7B8FAA"/>
            </w:tcBorders>
            <w:shd w:val="clear" w:color="auto" w:fill="CCEEFF"/>
          </w:tcPr>
          <w:p>
            <w:pPr>
              <w:ind w:left="20"/>
              <w:spacing w:after="0" w:line="136" w:lineRule="exact"/>
              <w:rPr>
                <w:sz w:val="20"/>
                <w:szCs w:val="20"/>
                <w:color w:val="auto"/>
              </w:rPr>
            </w:pPr>
            <w:r>
              <w:rPr>
                <w:rFonts w:ascii="Arial" w:cs="Arial" w:eastAsia="Arial" w:hAnsi="Arial"/>
                <w:sz w:val="15"/>
                <w:szCs w:val="15"/>
                <w:color w:val="auto"/>
                <w:shd w:val="clear" w:color="auto" w:fill="CCEEFF"/>
              </w:rPr>
              <w:t>​</w:t>
            </w:r>
          </w:p>
        </w:tc>
        <w:tc>
          <w:tcPr>
            <w:tcW w:w="12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w:t>
            </w:r>
          </w:p>
        </w:tc>
        <w:tc>
          <w:tcPr>
            <w:tcW w:w="68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499,996</w:t>
            </w:r>
          </w:p>
        </w:tc>
        <w:tc>
          <w:tcPr>
            <w:tcW w:w="140" w:type="dxa"/>
            <w:vAlign w:val="bottom"/>
            <w:tcBorders>
              <w:top w:val="single" w:sz="8" w:color="7B8FAA"/>
            </w:tcBorders>
            <w:shd w:val="clear" w:color="auto" w:fill="CCEEFF"/>
          </w:tcPr>
          <w:p>
            <w:pPr>
              <w:ind w:left="20"/>
              <w:spacing w:after="0" w:line="136" w:lineRule="exact"/>
              <w:rPr>
                <w:sz w:val="20"/>
                <w:szCs w:val="20"/>
                <w:color w:val="auto"/>
              </w:rPr>
            </w:pPr>
            <w:r>
              <w:rPr>
                <w:rFonts w:ascii="Arial" w:cs="Arial" w:eastAsia="Arial" w:hAnsi="Arial"/>
                <w:sz w:val="15"/>
                <w:szCs w:val="15"/>
                <w:color w:val="auto"/>
                <w:shd w:val="clear" w:color="auto" w:fill="CCEEFF"/>
              </w:rPr>
              <w:t>​</w:t>
            </w:r>
          </w:p>
        </w:tc>
        <w:tc>
          <w:tcPr>
            <w:tcW w:w="6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w:t>
            </w:r>
          </w:p>
        </w:tc>
        <w:tc>
          <w:tcPr>
            <w:tcW w:w="82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499,424</w:t>
            </w:r>
          </w:p>
        </w:tc>
        <w:tc>
          <w:tcPr>
            <w:tcW w:w="160" w:type="dxa"/>
            <w:vAlign w:val="bottom"/>
            <w:tcBorders>
              <w:top w:val="single" w:sz="8" w:color="7B8FAA"/>
            </w:tcBorders>
            <w:shd w:val="clear" w:color="auto" w:fill="CCEEFF"/>
          </w:tcPr>
          <w:p>
            <w:pPr>
              <w:spacing w:after="0" w:line="136" w:lineRule="exact"/>
              <w:rPr>
                <w:sz w:val="20"/>
                <w:szCs w:val="20"/>
                <w:color w:val="auto"/>
              </w:rPr>
            </w:pPr>
            <w:r>
              <w:rPr>
                <w:rFonts w:ascii="Arial" w:cs="Arial" w:eastAsia="Arial" w:hAnsi="Arial"/>
                <w:sz w:val="15"/>
                <w:szCs w:val="15"/>
                <w:color w:val="auto"/>
                <w:shd w:val="clear" w:color="auto" w:fill="CCEEFF"/>
              </w:rPr>
              <w:t>​​</w:t>
            </w:r>
          </w:p>
        </w:tc>
        <w:tc>
          <w:tcPr>
            <w:tcW w:w="8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w:t>
            </w:r>
          </w:p>
        </w:tc>
        <w:tc>
          <w:tcPr>
            <w:tcW w:w="80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249,498</w:t>
            </w:r>
          </w:p>
        </w:tc>
        <w:tc>
          <w:tcPr>
            <w:tcW w:w="180" w:type="dxa"/>
            <w:vAlign w:val="bottom"/>
            <w:tcBorders>
              <w:top w:val="single" w:sz="8" w:color="7B8FAA"/>
            </w:tcBorders>
            <w:shd w:val="clear" w:color="auto" w:fill="CCEEFF"/>
          </w:tcPr>
          <w:p>
            <w:pPr>
              <w:jc w:val="right"/>
              <w:spacing w:after="0" w:line="136" w:lineRule="exact"/>
              <w:rPr>
                <w:sz w:val="20"/>
                <w:szCs w:val="20"/>
                <w:color w:val="auto"/>
              </w:rPr>
            </w:pPr>
            <w:r>
              <w:rPr>
                <w:rFonts w:ascii="Arial" w:cs="Arial" w:eastAsia="Arial" w:hAnsi="Arial"/>
                <w:sz w:val="15"/>
                <w:szCs w:val="15"/>
                <w:color w:val="auto"/>
                <w:shd w:val="clear" w:color="auto" w:fill="CCEEFF"/>
              </w:rPr>
              <w:t>​​​</w:t>
            </w:r>
          </w:p>
        </w:tc>
        <w:tc>
          <w:tcPr>
            <w:tcW w:w="160" w:type="dxa"/>
            <w:vAlign w:val="bottom"/>
            <w:tcBorders>
              <w:top w:val="single" w:sz="8" w:color="7B8FAA"/>
            </w:tcBorders>
            <w:shd w:val="clear" w:color="auto" w:fill="CCEEFF"/>
          </w:tcPr>
          <w:p>
            <w:pPr>
              <w:ind w:left="40"/>
              <w:spacing w:after="0" w:line="136" w:lineRule="exact"/>
              <w:rPr>
                <w:sz w:val="20"/>
                <w:szCs w:val="20"/>
                <w:color w:val="auto"/>
              </w:rPr>
            </w:pPr>
            <w:r>
              <w:rPr>
                <w:rFonts w:ascii="Arial" w:cs="Arial" w:eastAsia="Arial" w:hAnsi="Arial"/>
                <w:sz w:val="15"/>
                <w:szCs w:val="15"/>
                <w:color w:val="auto"/>
                <w:shd w:val="clear" w:color="auto" w:fill="CCEEFF"/>
              </w:rPr>
              <w:t>​</w:t>
            </w:r>
          </w:p>
        </w:tc>
        <w:tc>
          <w:tcPr>
            <w:tcW w:w="100" w:type="dxa"/>
            <w:vAlign w:val="bottom"/>
            <w:tcBorders>
              <w:top w:val="single" w:sz="8" w:color="7B8FAA"/>
            </w:tcBorders>
            <w:vMerge w:val="restart"/>
            <w:shd w:val="clear" w:color="auto" w:fill="CCEEFF"/>
          </w:tcPr>
          <w:p>
            <w:pPr>
              <w:spacing w:after="0"/>
              <w:rPr>
                <w:sz w:val="20"/>
                <w:szCs w:val="20"/>
                <w:color w:val="auto"/>
              </w:rPr>
            </w:pPr>
            <w:r>
              <w:rPr>
                <w:rFonts w:ascii="Arial" w:cs="Arial" w:eastAsia="Arial" w:hAnsi="Arial"/>
                <w:sz w:val="17"/>
                <w:szCs w:val="17"/>
                <w:color w:val="auto"/>
                <w:shd w:val="clear" w:color="auto" w:fill="CCEEFF"/>
              </w:rPr>
              <w:t>​</w:t>
            </w:r>
          </w:p>
        </w:tc>
        <w:tc>
          <w:tcPr>
            <w:tcW w:w="640" w:type="dxa"/>
            <w:vAlign w:val="bottom"/>
            <w:tcBorders>
              <w:top w:val="single" w:sz="8" w:color="7B8FAA"/>
            </w:tcBorders>
            <w:vMerge w:val="restart"/>
            <w:shd w:val="clear" w:color="auto" w:fill="CCEEFF"/>
          </w:tcPr>
          <w:p>
            <w:pPr>
              <w:jc w:val="right"/>
              <w:spacing w:after="0"/>
              <w:rPr>
                <w:sz w:val="20"/>
                <w:szCs w:val="20"/>
                <w:color w:val="auto"/>
              </w:rPr>
            </w:pPr>
            <w:r>
              <w:rPr>
                <w:rFonts w:ascii="Arial" w:cs="Arial" w:eastAsia="Arial" w:hAnsi="Arial"/>
                <w:sz w:val="17"/>
                <w:szCs w:val="17"/>
                <w:color w:val="auto"/>
                <w:shd w:val="clear" w:color="auto" w:fill="CCEEFF"/>
              </w:rPr>
              <w:t>16,706</w:t>
            </w:r>
          </w:p>
        </w:tc>
        <w:tc>
          <w:tcPr>
            <w:tcW w:w="220" w:type="dxa"/>
            <w:vAlign w:val="bottom"/>
            <w:tcBorders>
              <w:top w:val="single" w:sz="8" w:color="7B8FAA"/>
            </w:tcBorders>
            <w:gridSpan w:val="2"/>
            <w:shd w:val="clear" w:color="auto" w:fill="CCEEFF"/>
          </w:tcPr>
          <w:p>
            <w:pPr>
              <w:ind w:left="60"/>
              <w:spacing w:after="0" w:line="136" w:lineRule="exact"/>
              <w:rPr>
                <w:sz w:val="20"/>
                <w:szCs w:val="20"/>
                <w:color w:val="auto"/>
              </w:rPr>
            </w:pPr>
            <w:r>
              <w:rPr>
                <w:rFonts w:ascii="Arial" w:cs="Arial" w:eastAsia="Arial" w:hAnsi="Arial"/>
                <w:sz w:val="15"/>
                <w:szCs w:val="15"/>
                <w:color w:val="auto"/>
                <w:shd w:val="clear" w:color="auto" w:fill="CCEEFF"/>
              </w:rPr>
              <w:t>​​​​</w:t>
            </w:r>
          </w:p>
        </w:tc>
        <w:tc>
          <w:tcPr>
            <w:tcW w:w="100" w:type="dxa"/>
            <w:vAlign w:val="bottom"/>
            <w:tcBorders>
              <w:top w:val="single" w:sz="8" w:color="7B8FAA"/>
            </w:tcBorders>
            <w:vMerge w:val="restart"/>
            <w:shd w:val="clear" w:color="auto" w:fill="CCEEFF"/>
          </w:tcPr>
          <w:p>
            <w:pPr>
              <w:ind w:left="40"/>
              <w:spacing w:after="0"/>
              <w:rPr>
                <w:sz w:val="20"/>
                <w:szCs w:val="20"/>
                <w:color w:val="auto"/>
              </w:rPr>
            </w:pPr>
            <w:r>
              <w:rPr>
                <w:rFonts w:ascii="Arial" w:cs="Arial" w:eastAsia="Arial" w:hAnsi="Arial"/>
                <w:sz w:val="17"/>
                <w:szCs w:val="17"/>
                <w:color w:val="auto"/>
                <w:shd w:val="clear" w:color="auto" w:fill="CCEEFF"/>
              </w:rPr>
              <w:t>​</w:t>
            </w:r>
          </w:p>
        </w:tc>
        <w:tc>
          <w:tcPr>
            <w:tcW w:w="800" w:type="dxa"/>
            <w:vAlign w:val="bottom"/>
            <w:tcBorders>
              <w:top w:val="single" w:sz="8" w:color="7B8FAA"/>
            </w:tcBorders>
            <w:vMerge w:val="restart"/>
            <w:shd w:val="clear" w:color="auto" w:fill="CCEEFF"/>
          </w:tcPr>
          <w:p>
            <w:pPr>
              <w:ind w:left="40"/>
              <w:spacing w:after="0"/>
              <w:rPr>
                <w:sz w:val="20"/>
                <w:szCs w:val="20"/>
                <w:color w:val="auto"/>
              </w:rPr>
            </w:pPr>
            <w:r>
              <w:rPr>
                <w:rFonts w:ascii="Arial" w:cs="Arial" w:eastAsia="Arial" w:hAnsi="Arial"/>
                <w:sz w:val="17"/>
                <w:szCs w:val="17"/>
                <w:color w:val="auto"/>
                <w:w w:val="97"/>
                <w:shd w:val="clear" w:color="auto" w:fill="CCEEFF"/>
              </w:rPr>
              <w:t>2,030,239</w:t>
            </w:r>
          </w:p>
        </w:tc>
        <w:tc>
          <w:tcPr>
            <w:tcW w:w="80" w:type="dxa"/>
            <w:vAlign w:val="bottom"/>
            <w:tcBorders>
              <w:top w:val="single" w:sz="8" w:color="7B8FAA"/>
            </w:tcBorders>
            <w:shd w:val="clear" w:color="auto" w:fill="CCEEFF"/>
          </w:tcPr>
          <w:p>
            <w:pPr>
              <w:jc w:val="right"/>
              <w:spacing w:after="0" w:line="136" w:lineRule="exact"/>
              <w:rPr>
                <w:sz w:val="20"/>
                <w:szCs w:val="20"/>
                <w:color w:val="auto"/>
              </w:rPr>
            </w:pPr>
            <w:r>
              <w:rPr>
                <w:rFonts w:ascii="Arial" w:cs="Arial" w:eastAsia="Arial" w:hAnsi="Arial"/>
                <w:sz w:val="15"/>
                <w:szCs w:val="15"/>
                <w:color w:val="auto"/>
                <w:shd w:val="clear" w:color="auto" w:fill="CCEEFF"/>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0" w:type="dxa"/>
            <w:vAlign w:val="bottom"/>
            <w:tcBorders>
              <w:bottom w:val="single" w:sz="8" w:color="CCEEFF"/>
            </w:tcBorders>
            <w:shd w:val="clear" w:color="auto" w:fill="CCEEFF"/>
          </w:tcPr>
          <w:p>
            <w:pPr>
              <w:spacing w:after="0"/>
              <w:rPr>
                <w:sz w:val="10"/>
                <w:szCs w:val="10"/>
                <w:color w:val="auto"/>
              </w:rPr>
            </w:pPr>
          </w:p>
        </w:tc>
        <w:tc>
          <w:tcPr>
            <w:tcW w:w="16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7B8FAA"/>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shd w:val="clear" w:color="auto" w:fill="CCEEFF"/>
              </w:rPr>
              <w:t>​2023</w:t>
            </w:r>
          </w:p>
        </w:tc>
        <w:tc>
          <w:tcPr>
            <w:tcW w:w="120" w:type="dxa"/>
            <w:vAlign w:val="bottom"/>
            <w:tcBorders>
              <w:bottom w:val="single" w:sz="8" w:color="7B8FAA"/>
            </w:tcBorders>
            <w:shd w:val="clear" w:color="auto" w:fill="CCEEFF"/>
          </w:tcPr>
          <w:p>
            <w:pPr>
              <w:spacing w:after="0"/>
              <w:rPr>
                <w:sz w:val="10"/>
                <w:szCs w:val="10"/>
                <w:color w:val="auto"/>
              </w:rPr>
            </w:pPr>
          </w:p>
        </w:tc>
        <w:tc>
          <w:tcPr>
            <w:tcW w:w="80" w:type="dxa"/>
            <w:vAlign w:val="bottom"/>
            <w:tcBorders>
              <w:bottom w:val="single" w:sz="8" w:color="7B8FAA"/>
            </w:tcBorders>
            <w:vMerge w:val="continue"/>
            <w:shd w:val="clear" w:color="auto" w:fill="CCEEFF"/>
          </w:tcPr>
          <w:p>
            <w:pPr>
              <w:spacing w:after="0"/>
              <w:rPr>
                <w:sz w:val="10"/>
                <w:szCs w:val="10"/>
                <w:color w:val="auto"/>
              </w:rPr>
            </w:pPr>
          </w:p>
        </w:tc>
        <w:tc>
          <w:tcPr>
            <w:tcW w:w="720" w:type="dxa"/>
            <w:vAlign w:val="bottom"/>
            <w:tcBorders>
              <w:bottom w:val="single" w:sz="8" w:color="7B8FAA"/>
            </w:tcBorders>
            <w:vMerge w:val="continue"/>
            <w:shd w:val="clear" w:color="auto" w:fill="CCEEFF"/>
          </w:tcPr>
          <w:p>
            <w:pPr>
              <w:spacing w:after="0"/>
              <w:rPr>
                <w:sz w:val="10"/>
                <w:szCs w:val="10"/>
                <w:color w:val="auto"/>
              </w:rPr>
            </w:pPr>
          </w:p>
        </w:tc>
        <w:tc>
          <w:tcPr>
            <w:tcW w:w="140" w:type="dxa"/>
            <w:vAlign w:val="bottom"/>
            <w:tcBorders>
              <w:bottom w:val="single" w:sz="8" w:color="7B8FAA"/>
            </w:tcBorders>
            <w:shd w:val="clear" w:color="auto" w:fill="CCEEFF"/>
          </w:tcPr>
          <w:p>
            <w:pPr>
              <w:spacing w:after="0"/>
              <w:rPr>
                <w:sz w:val="10"/>
                <w:szCs w:val="10"/>
                <w:color w:val="auto"/>
              </w:rPr>
            </w:pPr>
          </w:p>
        </w:tc>
        <w:tc>
          <w:tcPr>
            <w:tcW w:w="60" w:type="dxa"/>
            <w:vAlign w:val="bottom"/>
            <w:tcBorders>
              <w:bottom w:val="single" w:sz="8" w:color="7B8FAA"/>
            </w:tcBorders>
            <w:vMerge w:val="continue"/>
            <w:shd w:val="clear" w:color="auto" w:fill="CCEEFF"/>
          </w:tcPr>
          <w:p>
            <w:pPr>
              <w:spacing w:after="0"/>
              <w:rPr>
                <w:sz w:val="10"/>
                <w:szCs w:val="10"/>
                <w:color w:val="auto"/>
              </w:rPr>
            </w:pPr>
          </w:p>
        </w:tc>
        <w:tc>
          <w:tcPr>
            <w:tcW w:w="720" w:type="dxa"/>
            <w:vAlign w:val="bottom"/>
            <w:tcBorders>
              <w:bottom w:val="single" w:sz="8" w:color="7B8FAA"/>
            </w:tcBorders>
            <w:vMerge w:val="continue"/>
            <w:shd w:val="clear" w:color="auto" w:fill="CCEEFF"/>
          </w:tcPr>
          <w:p>
            <w:pPr>
              <w:spacing w:after="0"/>
              <w:rPr>
                <w:sz w:val="10"/>
                <w:szCs w:val="10"/>
                <w:color w:val="auto"/>
              </w:rPr>
            </w:pPr>
          </w:p>
        </w:tc>
        <w:tc>
          <w:tcPr>
            <w:tcW w:w="120" w:type="dxa"/>
            <w:vAlign w:val="bottom"/>
            <w:tcBorders>
              <w:bottom w:val="single" w:sz="8" w:color="7B8FAA"/>
            </w:tcBorders>
            <w:shd w:val="clear" w:color="auto" w:fill="CCEEFF"/>
          </w:tcPr>
          <w:p>
            <w:pPr>
              <w:spacing w:after="0"/>
              <w:rPr>
                <w:sz w:val="10"/>
                <w:szCs w:val="10"/>
                <w:color w:val="auto"/>
              </w:rPr>
            </w:pPr>
          </w:p>
        </w:tc>
        <w:tc>
          <w:tcPr>
            <w:tcW w:w="120" w:type="dxa"/>
            <w:vAlign w:val="bottom"/>
            <w:tcBorders>
              <w:bottom w:val="single" w:sz="8" w:color="7B8FAA"/>
            </w:tcBorders>
            <w:vMerge w:val="continue"/>
            <w:shd w:val="clear" w:color="auto" w:fill="CCEEFF"/>
          </w:tcPr>
          <w:p>
            <w:pPr>
              <w:spacing w:after="0"/>
              <w:rPr>
                <w:sz w:val="10"/>
                <w:szCs w:val="10"/>
                <w:color w:val="auto"/>
              </w:rPr>
            </w:pPr>
          </w:p>
        </w:tc>
        <w:tc>
          <w:tcPr>
            <w:tcW w:w="680" w:type="dxa"/>
            <w:vAlign w:val="bottom"/>
            <w:tcBorders>
              <w:bottom w:val="single" w:sz="8" w:color="7B8FAA"/>
            </w:tcBorders>
            <w:vMerge w:val="continue"/>
            <w:shd w:val="clear" w:color="auto" w:fill="CCEEFF"/>
          </w:tcPr>
          <w:p>
            <w:pPr>
              <w:spacing w:after="0"/>
              <w:rPr>
                <w:sz w:val="10"/>
                <w:szCs w:val="10"/>
                <w:color w:val="auto"/>
              </w:rPr>
            </w:pPr>
          </w:p>
        </w:tc>
        <w:tc>
          <w:tcPr>
            <w:tcW w:w="140" w:type="dxa"/>
            <w:vAlign w:val="bottom"/>
            <w:tcBorders>
              <w:bottom w:val="single" w:sz="8" w:color="7B8FAA"/>
            </w:tcBorders>
            <w:shd w:val="clear" w:color="auto" w:fill="CCEEFF"/>
          </w:tcPr>
          <w:p>
            <w:pPr>
              <w:spacing w:after="0"/>
              <w:rPr>
                <w:sz w:val="10"/>
                <w:szCs w:val="10"/>
                <w:color w:val="auto"/>
              </w:rPr>
            </w:pPr>
          </w:p>
        </w:tc>
        <w:tc>
          <w:tcPr>
            <w:tcW w:w="60" w:type="dxa"/>
            <w:vAlign w:val="bottom"/>
            <w:tcBorders>
              <w:bottom w:val="single" w:sz="8" w:color="7B8FAA"/>
            </w:tcBorders>
            <w:vMerge w:val="continue"/>
            <w:shd w:val="clear" w:color="auto" w:fill="CCEEFF"/>
          </w:tcPr>
          <w:p>
            <w:pPr>
              <w:spacing w:after="0"/>
              <w:rPr>
                <w:sz w:val="10"/>
                <w:szCs w:val="10"/>
                <w:color w:val="auto"/>
              </w:rPr>
            </w:pPr>
          </w:p>
        </w:tc>
        <w:tc>
          <w:tcPr>
            <w:tcW w:w="820" w:type="dxa"/>
            <w:vAlign w:val="bottom"/>
            <w:tcBorders>
              <w:bottom w:val="single" w:sz="8" w:color="7B8FAA"/>
            </w:tcBorders>
            <w:vMerge w:val="continue"/>
            <w:shd w:val="clear" w:color="auto" w:fill="CCEEFF"/>
          </w:tcPr>
          <w:p>
            <w:pPr>
              <w:spacing w:after="0"/>
              <w:rPr>
                <w:sz w:val="10"/>
                <w:szCs w:val="10"/>
                <w:color w:val="auto"/>
              </w:rPr>
            </w:pPr>
          </w:p>
        </w:tc>
        <w:tc>
          <w:tcPr>
            <w:tcW w:w="160" w:type="dxa"/>
            <w:vAlign w:val="bottom"/>
            <w:tcBorders>
              <w:bottom w:val="single" w:sz="8" w:color="7B8FAA"/>
            </w:tcBorders>
            <w:shd w:val="clear" w:color="auto" w:fill="CCEEFF"/>
          </w:tcPr>
          <w:p>
            <w:pPr>
              <w:spacing w:after="0"/>
              <w:rPr>
                <w:sz w:val="10"/>
                <w:szCs w:val="10"/>
                <w:color w:val="auto"/>
              </w:rPr>
            </w:pPr>
          </w:p>
        </w:tc>
        <w:tc>
          <w:tcPr>
            <w:tcW w:w="80" w:type="dxa"/>
            <w:vAlign w:val="bottom"/>
            <w:tcBorders>
              <w:bottom w:val="single" w:sz="8" w:color="7B8FAA"/>
            </w:tcBorders>
            <w:vMerge w:val="continue"/>
            <w:shd w:val="clear" w:color="auto" w:fill="CCEEFF"/>
          </w:tcPr>
          <w:p>
            <w:pPr>
              <w:spacing w:after="0"/>
              <w:rPr>
                <w:sz w:val="10"/>
                <w:szCs w:val="10"/>
                <w:color w:val="auto"/>
              </w:rPr>
            </w:pPr>
          </w:p>
        </w:tc>
        <w:tc>
          <w:tcPr>
            <w:tcW w:w="800" w:type="dxa"/>
            <w:vAlign w:val="bottom"/>
            <w:tcBorders>
              <w:bottom w:val="single" w:sz="8" w:color="7B8FAA"/>
            </w:tcBorders>
            <w:vMerge w:val="continue"/>
            <w:shd w:val="clear" w:color="auto" w:fill="CCEEFF"/>
          </w:tcPr>
          <w:p>
            <w:pPr>
              <w:spacing w:after="0"/>
              <w:rPr>
                <w:sz w:val="10"/>
                <w:szCs w:val="10"/>
                <w:color w:val="auto"/>
              </w:rPr>
            </w:pPr>
          </w:p>
        </w:tc>
        <w:tc>
          <w:tcPr>
            <w:tcW w:w="180" w:type="dxa"/>
            <w:vAlign w:val="bottom"/>
            <w:tcBorders>
              <w:bottom w:val="single" w:sz="8" w:color="7B8FAA"/>
            </w:tcBorders>
            <w:shd w:val="clear" w:color="auto" w:fill="CCEEFF"/>
          </w:tcPr>
          <w:p>
            <w:pPr>
              <w:spacing w:after="0"/>
              <w:rPr>
                <w:sz w:val="10"/>
                <w:szCs w:val="10"/>
                <w:color w:val="auto"/>
              </w:rPr>
            </w:pPr>
          </w:p>
        </w:tc>
        <w:tc>
          <w:tcPr>
            <w:tcW w:w="160" w:type="dxa"/>
            <w:vAlign w:val="bottom"/>
            <w:tcBorders>
              <w:bottom w:val="single" w:sz="8" w:color="7B8FAA"/>
            </w:tcBorders>
            <w:shd w:val="clear" w:color="auto" w:fill="CCEEFF"/>
          </w:tcPr>
          <w:p>
            <w:pPr>
              <w:spacing w:after="0"/>
              <w:rPr>
                <w:sz w:val="10"/>
                <w:szCs w:val="10"/>
                <w:color w:val="auto"/>
              </w:rPr>
            </w:pPr>
          </w:p>
        </w:tc>
        <w:tc>
          <w:tcPr>
            <w:tcW w:w="100" w:type="dxa"/>
            <w:vAlign w:val="bottom"/>
            <w:tcBorders>
              <w:bottom w:val="single" w:sz="8" w:color="7B8FAA"/>
            </w:tcBorders>
            <w:vMerge w:val="continue"/>
            <w:shd w:val="clear" w:color="auto" w:fill="CCEEFF"/>
          </w:tcPr>
          <w:p>
            <w:pPr>
              <w:spacing w:after="0"/>
              <w:rPr>
                <w:sz w:val="10"/>
                <w:szCs w:val="10"/>
                <w:color w:val="auto"/>
              </w:rPr>
            </w:pPr>
          </w:p>
        </w:tc>
        <w:tc>
          <w:tcPr>
            <w:tcW w:w="640" w:type="dxa"/>
            <w:vAlign w:val="bottom"/>
            <w:tcBorders>
              <w:bottom w:val="single" w:sz="8" w:color="7B8FAA"/>
            </w:tcBorders>
            <w:vMerge w:val="continue"/>
            <w:shd w:val="clear" w:color="auto" w:fill="CCEEFF"/>
          </w:tcPr>
          <w:p>
            <w:pPr>
              <w:spacing w:after="0"/>
              <w:rPr>
                <w:sz w:val="10"/>
                <w:szCs w:val="10"/>
                <w:color w:val="auto"/>
              </w:rPr>
            </w:pPr>
          </w:p>
        </w:tc>
        <w:tc>
          <w:tcPr>
            <w:tcW w:w="100" w:type="dxa"/>
            <w:vAlign w:val="bottom"/>
            <w:tcBorders>
              <w:bottom w:val="single" w:sz="8" w:color="7B8FAA"/>
            </w:tcBorders>
            <w:shd w:val="clear" w:color="auto" w:fill="CCEEFF"/>
          </w:tcPr>
          <w:p>
            <w:pPr>
              <w:spacing w:after="0"/>
              <w:rPr>
                <w:sz w:val="10"/>
                <w:szCs w:val="10"/>
                <w:color w:val="auto"/>
              </w:rPr>
            </w:pPr>
          </w:p>
        </w:tc>
        <w:tc>
          <w:tcPr>
            <w:tcW w:w="120" w:type="dxa"/>
            <w:vAlign w:val="bottom"/>
            <w:tcBorders>
              <w:bottom w:val="single" w:sz="8" w:color="7B8FAA"/>
            </w:tcBorders>
            <w:shd w:val="clear" w:color="auto" w:fill="CCEEFF"/>
          </w:tcPr>
          <w:p>
            <w:pPr>
              <w:spacing w:after="0"/>
              <w:rPr>
                <w:sz w:val="10"/>
                <w:szCs w:val="10"/>
                <w:color w:val="auto"/>
              </w:rPr>
            </w:pPr>
          </w:p>
        </w:tc>
        <w:tc>
          <w:tcPr>
            <w:tcW w:w="100" w:type="dxa"/>
            <w:vAlign w:val="bottom"/>
            <w:tcBorders>
              <w:bottom w:val="single" w:sz="8" w:color="7B8FAA"/>
            </w:tcBorders>
            <w:vMerge w:val="continue"/>
            <w:shd w:val="clear" w:color="auto" w:fill="CCEEFF"/>
          </w:tcPr>
          <w:p>
            <w:pPr>
              <w:spacing w:after="0"/>
              <w:rPr>
                <w:sz w:val="10"/>
                <w:szCs w:val="10"/>
                <w:color w:val="auto"/>
              </w:rPr>
            </w:pPr>
          </w:p>
        </w:tc>
        <w:tc>
          <w:tcPr>
            <w:tcW w:w="800" w:type="dxa"/>
            <w:vAlign w:val="bottom"/>
            <w:tcBorders>
              <w:bottom w:val="single" w:sz="8" w:color="7B8FAA"/>
            </w:tcBorders>
            <w:vMerge w:val="continue"/>
            <w:shd w:val="clear" w:color="auto" w:fill="CCEEFF"/>
          </w:tcPr>
          <w:p>
            <w:pPr>
              <w:spacing w:after="0"/>
              <w:rPr>
                <w:sz w:val="10"/>
                <w:szCs w:val="10"/>
                <w:color w:val="auto"/>
              </w:rPr>
            </w:pPr>
          </w:p>
        </w:tc>
        <w:tc>
          <w:tcPr>
            <w:tcW w:w="80" w:type="dxa"/>
            <w:vAlign w:val="bottom"/>
            <w:tcBorders>
              <w:bottom w:val="single" w:sz="8" w:color="7B8FAA"/>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00" w:type="dxa"/>
            <w:vAlign w:val="bottom"/>
            <w:tcBorders>
              <w:bottom w:val="single" w:sz="8" w:color="7B8FAA"/>
            </w:tcBorders>
            <w:shd w:val="clear" w:color="auto" w:fill="CCEEFF"/>
          </w:tcPr>
          <w:p>
            <w:pPr>
              <w:spacing w:after="0"/>
              <w:rPr>
                <w:sz w:val="21"/>
                <w:szCs w:val="21"/>
                <w:color w:val="auto"/>
              </w:rPr>
            </w:pPr>
          </w:p>
        </w:tc>
        <w:tc>
          <w:tcPr>
            <w:tcW w:w="1640" w:type="dxa"/>
            <w:vAlign w:val="bottom"/>
            <w:tcBorders>
              <w:bottom w:val="single" w:sz="8" w:color="7B8FAA"/>
            </w:tcBorders>
            <w:shd w:val="clear" w:color="auto" w:fill="CCEEFF"/>
          </w:tcPr>
          <w:p>
            <w:pPr>
              <w:spacing w:after="0"/>
              <w:rPr>
                <w:sz w:val="21"/>
                <w:szCs w:val="21"/>
                <w:color w:val="auto"/>
              </w:rPr>
            </w:pPr>
          </w:p>
        </w:tc>
        <w:tc>
          <w:tcPr>
            <w:tcW w:w="100" w:type="dxa"/>
            <w:vAlign w:val="bottom"/>
            <w:tcBorders>
              <w:bottom w:val="single" w:sz="8" w:color="7B8FAA"/>
            </w:tcBorders>
            <w:shd w:val="clear" w:color="auto" w:fill="CCEEFF"/>
          </w:tcPr>
          <w:p>
            <w:pPr>
              <w:spacing w:after="0"/>
              <w:rPr>
                <w:sz w:val="21"/>
                <w:szCs w:val="21"/>
                <w:color w:val="auto"/>
              </w:rPr>
            </w:pPr>
          </w:p>
        </w:tc>
        <w:tc>
          <w:tcPr>
            <w:tcW w:w="420" w:type="dxa"/>
            <w:vAlign w:val="bottom"/>
            <w:tcBorders>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​2022</w:t>
            </w:r>
          </w:p>
        </w:tc>
        <w:tc>
          <w:tcPr>
            <w:tcW w:w="200" w:type="dxa"/>
            <w:vAlign w:val="bottom"/>
            <w:tcBorders>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7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445,385</w:t>
            </w:r>
          </w:p>
        </w:tc>
        <w:tc>
          <w:tcPr>
            <w:tcW w:w="200" w:type="dxa"/>
            <w:vAlign w:val="bottom"/>
            <w:tcBorders>
              <w:bottom w:val="single" w:sz="8" w:color="7B8FAA"/>
            </w:tcBorders>
            <w:gridSpan w:val="2"/>
            <w:shd w:val="clear" w:color="auto" w:fill="CCEEFF"/>
          </w:tcPr>
          <w:p>
            <w:pPr>
              <w:ind w:left="2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960" w:type="dxa"/>
            <w:vAlign w:val="bottom"/>
            <w:tcBorders>
              <w:bottom w:val="single" w:sz="8" w:color="7B8FAA"/>
            </w:tcBorders>
            <w:gridSpan w:val="3"/>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6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499,989</w:t>
            </w:r>
          </w:p>
        </w:tc>
        <w:tc>
          <w:tcPr>
            <w:tcW w:w="200" w:type="dxa"/>
            <w:vAlign w:val="bottom"/>
            <w:tcBorders>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1060" w:type="dxa"/>
            <w:vAlign w:val="bottom"/>
            <w:tcBorders>
              <w:bottom w:val="single" w:sz="8" w:color="7B8FAA"/>
            </w:tcBorders>
            <w:gridSpan w:val="3"/>
            <w:shd w:val="clear" w:color="auto" w:fill="CCEEFF"/>
          </w:tcPr>
          <w:p>
            <w:pPr>
              <w:jc w:val="right"/>
              <w:spacing w:after="0" w:line="252" w:lineRule="exact"/>
              <w:rPr>
                <w:sz w:val="20"/>
                <w:szCs w:val="20"/>
                <w:color w:val="auto"/>
              </w:rPr>
            </w:pPr>
            <w:r>
              <w:rPr>
                <w:rFonts w:ascii="Arial" w:cs="Arial" w:eastAsia="Arial" w:hAnsi="Arial"/>
                <w:sz w:val="16"/>
                <w:szCs w:val="16"/>
                <w:color w:val="auto"/>
              </w:rPr>
              <w:t>497,220</w:t>
            </w: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p>
        </w:tc>
        <w:tc>
          <w:tcPr>
            <w:tcW w:w="8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253,201</w:t>
            </w:r>
          </w:p>
        </w:tc>
        <w:tc>
          <w:tcPr>
            <w:tcW w:w="1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gridSpan w:val="2"/>
            <w:shd w:val="clear" w:color="auto" w:fill="CCEEFF"/>
          </w:tcPr>
          <w:p>
            <w:pPr>
              <w:ind w:left="4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64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17,146</w:t>
            </w:r>
          </w:p>
        </w:tc>
        <w:tc>
          <w:tcPr>
            <w:tcW w:w="320" w:type="dxa"/>
            <w:vAlign w:val="bottom"/>
            <w:tcBorders>
              <w:bottom w:val="single" w:sz="8" w:color="7B8FAA"/>
            </w:tcBorders>
            <w:gridSpan w:val="3"/>
            <w:shd w:val="clear" w:color="auto" w:fill="CCEEFF"/>
          </w:tcPr>
          <w:p>
            <w:pPr>
              <w:ind w:left="60"/>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c>
          <w:tcPr>
            <w:tcW w:w="880" w:type="dxa"/>
            <w:vAlign w:val="bottom"/>
            <w:tcBorders>
              <w:bottom w:val="single" w:sz="8" w:color="7B8FAA"/>
            </w:tcBorders>
            <w:gridSpan w:val="2"/>
            <w:shd w:val="clear" w:color="auto" w:fill="CCEEFF"/>
          </w:tcPr>
          <w:p>
            <w:pPr>
              <w:ind w:left="40"/>
              <w:spacing w:after="0" w:line="252" w:lineRule="exact"/>
              <w:rPr>
                <w:sz w:val="20"/>
                <w:szCs w:val="20"/>
                <w:color w:val="auto"/>
              </w:rPr>
            </w:pPr>
            <w:r>
              <w:rPr>
                <w:rFonts w:ascii="Arial" w:cs="Arial" w:eastAsia="Arial" w:hAnsi="Arial"/>
                <w:sz w:val="16"/>
                <w:szCs w:val="16"/>
                <w:color w:val="auto"/>
              </w:rPr>
              <w:t>1,712,941</w:t>
            </w:r>
            <w:r>
              <w:rPr>
                <w:rFonts w:ascii="Arial" w:cs="Arial" w:eastAsia="Arial" w:hAnsi="Arial"/>
                <w:sz w:val="29"/>
                <w:szCs w:val="29"/>
                <w:color w:val="auto"/>
                <w:vertAlign w:val="superscript"/>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740" w:type="dxa"/>
            <w:vAlign w:val="bottom"/>
            <w:gridSpan w:val="2"/>
          </w:tcPr>
          <w:p>
            <w:pPr>
              <w:ind w:left="6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Alexander Dimitrief</w:t>
            </w:r>
          </w:p>
        </w:tc>
        <w:tc>
          <w:tcPr>
            <w:tcW w:w="100" w:type="dxa"/>
            <w:vAlign w:val="bottom"/>
          </w:tcPr>
          <w:p>
            <w:pPr>
              <w:spacing w:after="0"/>
              <w:rPr>
                <w:sz w:val="20"/>
                <w:szCs w:val="20"/>
                <w:color w:val="auto"/>
              </w:rPr>
            </w:pPr>
          </w:p>
        </w:tc>
        <w:tc>
          <w:tcPr>
            <w:tcW w:w="42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​2024</w:t>
            </w:r>
          </w:p>
        </w:tc>
        <w:tc>
          <w:tcPr>
            <w:tcW w:w="20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720" w:type="dxa"/>
            <w:vAlign w:val="bottom"/>
          </w:tcPr>
          <w:p>
            <w:pPr>
              <w:jc w:val="right"/>
              <w:spacing w:after="0"/>
              <w:rPr>
                <w:sz w:val="20"/>
                <w:szCs w:val="20"/>
                <w:color w:val="auto"/>
              </w:rPr>
            </w:pPr>
            <w:r>
              <w:rPr>
                <w:rFonts w:ascii="Arial" w:cs="Arial" w:eastAsia="Arial" w:hAnsi="Arial"/>
                <w:sz w:val="17"/>
                <w:szCs w:val="17"/>
                <w:color w:val="auto"/>
              </w:rPr>
              <w:t>600,000</w:t>
            </w:r>
          </w:p>
        </w:tc>
        <w:tc>
          <w:tcPr>
            <w:tcW w:w="200" w:type="dxa"/>
            <w:vAlign w:val="bottom"/>
            <w:gridSpan w:val="2"/>
          </w:tcPr>
          <w:p>
            <w:pPr>
              <w:ind w:left="2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96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680" w:type="dxa"/>
            <w:vAlign w:val="bottom"/>
          </w:tcPr>
          <w:p>
            <w:pPr>
              <w:jc w:val="right"/>
              <w:spacing w:after="0"/>
              <w:rPr>
                <w:sz w:val="20"/>
                <w:szCs w:val="20"/>
                <w:color w:val="auto"/>
              </w:rPr>
            </w:pPr>
            <w:r>
              <w:rPr>
                <w:rFonts w:ascii="Arial" w:cs="Arial" w:eastAsia="Arial" w:hAnsi="Arial"/>
                <w:sz w:val="17"/>
                <w:szCs w:val="17"/>
                <w:color w:val="auto"/>
              </w:rPr>
              <w:t>749,999</w:t>
            </w:r>
          </w:p>
        </w:tc>
        <w:tc>
          <w:tcPr>
            <w:tcW w:w="200" w:type="dxa"/>
            <w:vAlign w:val="bottom"/>
            <w:gridSpan w:val="2"/>
          </w:tcPr>
          <w:p>
            <w:pPr>
              <w:jc w:val="right"/>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1060" w:type="dxa"/>
            <w:vAlign w:val="bottom"/>
            <w:gridSpan w:val="3"/>
          </w:tcPr>
          <w:p>
            <w:pPr>
              <w:jc w:val="right"/>
              <w:spacing w:after="0" w:line="236" w:lineRule="exact"/>
              <w:rPr>
                <w:sz w:val="20"/>
                <w:szCs w:val="20"/>
                <w:color w:val="auto"/>
              </w:rPr>
            </w:pPr>
            <w:r>
              <w:rPr>
                <w:rFonts w:ascii="Arial" w:cs="Arial" w:eastAsia="Arial" w:hAnsi="Arial"/>
                <w:sz w:val="15"/>
                <w:szCs w:val="15"/>
                <w:color w:val="auto"/>
              </w:rPr>
              <w:t>751,361</w:t>
            </w: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800" w:type="dxa"/>
            <w:vAlign w:val="bottom"/>
          </w:tcPr>
          <w:p>
            <w:pPr>
              <w:jc w:val="right"/>
              <w:spacing w:after="0"/>
              <w:rPr>
                <w:sz w:val="20"/>
                <w:szCs w:val="20"/>
                <w:color w:val="auto"/>
              </w:rPr>
            </w:pPr>
            <w:r>
              <w:rPr>
                <w:rFonts w:ascii="Arial" w:cs="Arial" w:eastAsia="Arial" w:hAnsi="Arial"/>
                <w:sz w:val="17"/>
                <w:szCs w:val="17"/>
                <w:color w:val="auto"/>
              </w:rPr>
              <w:t>282,000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40"/>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w:t>
            </w:r>
          </w:p>
        </w:tc>
        <w:tc>
          <w:tcPr>
            <w:tcW w:w="640" w:type="dxa"/>
            <w:vAlign w:val="bottom"/>
          </w:tcPr>
          <w:p>
            <w:pPr>
              <w:jc w:val="right"/>
              <w:spacing w:after="0"/>
              <w:rPr>
                <w:sz w:val="20"/>
                <w:szCs w:val="20"/>
                <w:color w:val="auto"/>
              </w:rPr>
            </w:pPr>
            <w:r>
              <w:rPr>
                <w:rFonts w:ascii="Arial" w:cs="Arial" w:eastAsia="Arial" w:hAnsi="Arial"/>
                <w:sz w:val="17"/>
                <w:szCs w:val="17"/>
                <w:color w:val="auto"/>
              </w:rPr>
              <w:t>7,611</w:t>
            </w:r>
          </w:p>
        </w:tc>
        <w:tc>
          <w:tcPr>
            <w:tcW w:w="320" w:type="dxa"/>
            <w:vAlign w:val="bottom"/>
            <w:gridSpan w:val="3"/>
          </w:tcPr>
          <w:p>
            <w:pPr>
              <w:ind w:left="60"/>
              <w:spacing w:after="0" w:line="236"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bscript"/>
              </w:rPr>
              <w:t>​</w:t>
            </w:r>
          </w:p>
        </w:tc>
        <w:tc>
          <w:tcPr>
            <w:tcW w:w="880" w:type="dxa"/>
            <w:vAlign w:val="bottom"/>
            <w:gridSpan w:val="2"/>
          </w:tcPr>
          <w:p>
            <w:pPr>
              <w:ind w:left="40"/>
              <w:spacing w:after="0" w:line="236" w:lineRule="exact"/>
              <w:rPr>
                <w:sz w:val="20"/>
                <w:szCs w:val="20"/>
                <w:color w:val="auto"/>
              </w:rPr>
            </w:pPr>
            <w:r>
              <w:rPr>
                <w:rFonts w:ascii="Arial" w:cs="Arial" w:eastAsia="Arial" w:hAnsi="Arial"/>
                <w:sz w:val="15"/>
                <w:szCs w:val="15"/>
                <w:color w:val="auto"/>
              </w:rPr>
              <w:t>2,390,971</w:t>
            </w:r>
            <w:r>
              <w:rPr>
                <w:rFonts w:ascii="Arial" w:cs="Arial" w:eastAsia="Arial" w:hAnsi="Arial"/>
                <w:sz w:val="27"/>
                <w:szCs w:val="27"/>
                <w:color w:val="auto"/>
                <w:vertAlign w:val="superscript"/>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1640" w:type="dxa"/>
            <w:vAlign w:val="bottom"/>
            <w:vMerge w:val="restart"/>
          </w:tcPr>
          <w:p>
            <w:pPr>
              <w:spacing w:after="0"/>
              <w:rPr>
                <w:sz w:val="20"/>
                <w:szCs w:val="20"/>
                <w:color w:val="auto"/>
              </w:rPr>
            </w:pPr>
            <w:r>
              <w:rPr>
                <w:rFonts w:ascii="Arial" w:cs="Arial" w:eastAsia="Arial" w:hAnsi="Arial"/>
                <w:sz w:val="17"/>
                <w:szCs w:val="17"/>
                <w:i w:val="1"/>
                <w:iCs w:val="1"/>
                <w:color w:val="auto"/>
              </w:rPr>
              <w:t>SVP and General</w:t>
            </w:r>
          </w:p>
        </w:tc>
        <w:tc>
          <w:tcPr>
            <w:tcW w:w="100" w:type="dxa"/>
            <w:vAlign w:val="bottom"/>
          </w:tcPr>
          <w:p>
            <w:pPr>
              <w:spacing w:after="0"/>
              <w:rPr>
                <w:sz w:val="4"/>
                <w:szCs w:val="4"/>
                <w:color w:val="auto"/>
              </w:rPr>
            </w:pPr>
          </w:p>
        </w:tc>
        <w:tc>
          <w:tcPr>
            <w:tcW w:w="620" w:type="dxa"/>
            <w:vAlign w:val="bottom"/>
            <w:tcBorders>
              <w:bottom w:val="single" w:sz="8" w:color="7B8FAA"/>
            </w:tcBorders>
            <w:gridSpan w:val="4"/>
          </w:tcPr>
          <w:p>
            <w:pPr>
              <w:spacing w:after="0"/>
              <w:rPr>
                <w:sz w:val="4"/>
                <w:szCs w:val="4"/>
                <w:color w:val="auto"/>
              </w:rPr>
            </w:pPr>
          </w:p>
        </w:tc>
        <w:tc>
          <w:tcPr>
            <w:tcW w:w="720" w:type="dxa"/>
            <w:vAlign w:val="bottom"/>
            <w:tcBorders>
              <w:bottom w:val="single" w:sz="8" w:color="7B8FAA"/>
            </w:tcBorders>
          </w:tcPr>
          <w:p>
            <w:pPr>
              <w:spacing w:after="0"/>
              <w:rPr>
                <w:sz w:val="4"/>
                <w:szCs w:val="4"/>
                <w:color w:val="auto"/>
              </w:rPr>
            </w:pPr>
          </w:p>
        </w:tc>
        <w:tc>
          <w:tcPr>
            <w:tcW w:w="200" w:type="dxa"/>
            <w:vAlign w:val="bottom"/>
            <w:tcBorders>
              <w:bottom w:val="single" w:sz="8" w:color="7B8FAA"/>
            </w:tcBorders>
            <w:gridSpan w:val="2"/>
          </w:tcPr>
          <w:p>
            <w:pPr>
              <w:spacing w:after="0"/>
              <w:rPr>
                <w:sz w:val="4"/>
                <w:szCs w:val="4"/>
                <w:color w:val="auto"/>
              </w:rPr>
            </w:pPr>
          </w:p>
        </w:tc>
        <w:tc>
          <w:tcPr>
            <w:tcW w:w="960" w:type="dxa"/>
            <w:vAlign w:val="bottom"/>
            <w:tcBorders>
              <w:bottom w:val="single" w:sz="8" w:color="7B8FAA"/>
            </w:tcBorders>
            <w:gridSpan w:val="3"/>
          </w:tcPr>
          <w:p>
            <w:pPr>
              <w:spacing w:after="0"/>
              <w:rPr>
                <w:sz w:val="4"/>
                <w:szCs w:val="4"/>
                <w:color w:val="auto"/>
              </w:rPr>
            </w:pPr>
          </w:p>
        </w:tc>
        <w:tc>
          <w:tcPr>
            <w:tcW w:w="880" w:type="dxa"/>
            <w:vAlign w:val="bottom"/>
            <w:tcBorders>
              <w:bottom w:val="single" w:sz="8" w:color="7B8FAA"/>
            </w:tcBorders>
            <w:gridSpan w:val="3"/>
          </w:tcPr>
          <w:p>
            <w:pPr>
              <w:spacing w:after="0"/>
              <w:rPr>
                <w:sz w:val="4"/>
                <w:szCs w:val="4"/>
                <w:color w:val="auto"/>
              </w:rPr>
            </w:pPr>
          </w:p>
        </w:tc>
        <w:tc>
          <w:tcPr>
            <w:tcW w:w="1060" w:type="dxa"/>
            <w:vAlign w:val="bottom"/>
            <w:tcBorders>
              <w:bottom w:val="single" w:sz="8" w:color="7B8FAA"/>
            </w:tcBorders>
            <w:gridSpan w:val="3"/>
          </w:tcPr>
          <w:p>
            <w:pPr>
              <w:spacing w:after="0"/>
              <w:rPr>
                <w:sz w:val="4"/>
                <w:szCs w:val="4"/>
                <w:color w:val="auto"/>
              </w:rPr>
            </w:pPr>
          </w:p>
        </w:tc>
        <w:tc>
          <w:tcPr>
            <w:tcW w:w="800" w:type="dxa"/>
            <w:vAlign w:val="bottom"/>
            <w:tcBorders>
              <w:bottom w:val="single" w:sz="8" w:color="7B8FAA"/>
            </w:tcBorders>
          </w:tcPr>
          <w:p>
            <w:pPr>
              <w:spacing w:after="0"/>
              <w:rPr>
                <w:sz w:val="4"/>
                <w:szCs w:val="4"/>
                <w:color w:val="auto"/>
              </w:rPr>
            </w:pPr>
          </w:p>
        </w:tc>
        <w:tc>
          <w:tcPr>
            <w:tcW w:w="180" w:type="dxa"/>
            <w:vAlign w:val="bottom"/>
            <w:tcBorders>
              <w:bottom w:val="single" w:sz="8" w:color="7B8FAA"/>
            </w:tcBorders>
          </w:tcPr>
          <w:p>
            <w:pPr>
              <w:spacing w:after="0"/>
              <w:rPr>
                <w:sz w:val="4"/>
                <w:szCs w:val="4"/>
                <w:color w:val="auto"/>
              </w:rPr>
            </w:pPr>
          </w:p>
        </w:tc>
        <w:tc>
          <w:tcPr>
            <w:tcW w:w="260" w:type="dxa"/>
            <w:vAlign w:val="bottom"/>
            <w:tcBorders>
              <w:bottom w:val="single" w:sz="8" w:color="7B8FAA"/>
            </w:tcBorders>
            <w:gridSpan w:val="2"/>
          </w:tcPr>
          <w:p>
            <w:pPr>
              <w:spacing w:after="0"/>
              <w:rPr>
                <w:sz w:val="4"/>
                <w:szCs w:val="4"/>
                <w:color w:val="auto"/>
              </w:rPr>
            </w:pPr>
          </w:p>
        </w:tc>
        <w:tc>
          <w:tcPr>
            <w:tcW w:w="640" w:type="dxa"/>
            <w:vAlign w:val="bottom"/>
            <w:tcBorders>
              <w:bottom w:val="single" w:sz="8" w:color="7B8FAA"/>
            </w:tcBorders>
          </w:tcPr>
          <w:p>
            <w:pPr>
              <w:spacing w:after="0"/>
              <w:rPr>
                <w:sz w:val="4"/>
                <w:szCs w:val="4"/>
                <w:color w:val="auto"/>
              </w:rPr>
            </w:pPr>
          </w:p>
        </w:tc>
        <w:tc>
          <w:tcPr>
            <w:tcW w:w="320" w:type="dxa"/>
            <w:vAlign w:val="bottom"/>
            <w:tcBorders>
              <w:bottom w:val="single" w:sz="8" w:color="7B8FAA"/>
            </w:tcBorders>
            <w:gridSpan w:val="3"/>
          </w:tcPr>
          <w:p>
            <w:pPr>
              <w:spacing w:after="0"/>
              <w:rPr>
                <w:sz w:val="4"/>
                <w:szCs w:val="4"/>
                <w:color w:val="auto"/>
              </w:rPr>
            </w:pPr>
          </w:p>
        </w:tc>
        <w:tc>
          <w:tcPr>
            <w:tcW w:w="900" w:type="dxa"/>
            <w:vAlign w:val="bottom"/>
            <w:tcBorders>
              <w:bottom w:val="single" w:sz="8" w:color="7B8FAA"/>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tcPr>
          <w:p>
            <w:pPr>
              <w:jc w:val="right"/>
              <w:spacing w:after="0" w:line="188"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3"/>
                <w:szCs w:val="13"/>
                <w:color w:val="auto"/>
              </w:rPr>
              <w:t xml:space="preserve">​2023 </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t>
            </w:r>
          </w:p>
        </w:tc>
        <w:tc>
          <w:tcPr>
            <w:tcW w:w="720" w:type="dxa"/>
            <w:vAlign w:val="bottom"/>
          </w:tcPr>
          <w:p>
            <w:pPr>
              <w:jc w:val="right"/>
              <w:spacing w:after="0" w:line="188" w:lineRule="exact"/>
              <w:rPr>
                <w:sz w:val="20"/>
                <w:szCs w:val="20"/>
                <w:color w:val="auto"/>
              </w:rPr>
            </w:pPr>
            <w:r>
              <w:rPr>
                <w:rFonts w:ascii="Arial" w:cs="Arial" w:eastAsia="Arial" w:hAnsi="Arial"/>
                <w:sz w:val="17"/>
                <w:szCs w:val="17"/>
                <w:color w:val="auto"/>
              </w:rPr>
              <w:t>600,000</w:t>
            </w:r>
          </w:p>
        </w:tc>
        <w:tc>
          <w:tcPr>
            <w:tcW w:w="200" w:type="dxa"/>
            <w:vAlign w:val="bottom"/>
            <w:gridSpan w:val="2"/>
          </w:tcPr>
          <w:p>
            <w:pPr>
              <w:ind w:left="20"/>
              <w:spacing w:after="0" w:line="188"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bscript"/>
              </w:rPr>
              <w:t>​</w:t>
            </w:r>
          </w:p>
        </w:tc>
        <w:tc>
          <w:tcPr>
            <w:tcW w:w="960" w:type="dxa"/>
            <w:vAlign w:val="bottom"/>
            <w:gridSpan w:val="3"/>
          </w:tcPr>
          <w:p>
            <w:pPr>
              <w:jc w:val="right"/>
              <w:spacing w:after="0" w:line="188"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t>
            </w:r>
          </w:p>
        </w:tc>
        <w:tc>
          <w:tcPr>
            <w:tcW w:w="880" w:type="dxa"/>
            <w:vAlign w:val="bottom"/>
            <w:gridSpan w:val="3"/>
          </w:tcPr>
          <w:p>
            <w:pPr>
              <w:jc w:val="right"/>
              <w:spacing w:after="0" w:line="188"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t>
            </w:r>
          </w:p>
        </w:tc>
        <w:tc>
          <w:tcPr>
            <w:tcW w:w="1060" w:type="dxa"/>
            <w:vAlign w:val="bottom"/>
            <w:gridSpan w:val="3"/>
          </w:tcPr>
          <w:p>
            <w:pPr>
              <w:jc w:val="right"/>
              <w:spacing w:after="0" w:line="188" w:lineRule="exact"/>
              <w:rPr>
                <w:sz w:val="20"/>
                <w:szCs w:val="20"/>
                <w:color w:val="auto"/>
              </w:rPr>
            </w:pPr>
            <w:r>
              <w:rPr>
                <w:rFonts w:ascii="Arial" w:cs="Arial" w:eastAsia="Arial" w:hAnsi="Arial"/>
                <w:sz w:val="13"/>
                <w:szCs w:val="13"/>
                <w:color w:val="auto"/>
              </w:rPr>
              <w:t>—</w:t>
            </w:r>
            <w:r>
              <w:rPr>
                <w:rFonts w:ascii="Arial" w:cs="Arial" w:eastAsia="Arial" w:hAnsi="Arial"/>
                <w:sz w:val="21"/>
                <w:szCs w:val="21"/>
                <w:color w:val="auto"/>
                <w:vertAlign w:val="superscript"/>
              </w:rPr>
              <w:t>​​</w:t>
            </w:r>
            <w:r>
              <w:rPr>
                <w:rFonts w:ascii="Arial" w:cs="Arial" w:eastAsia="Arial" w:hAnsi="Arial"/>
                <w:sz w:val="13"/>
                <w:szCs w:val="13"/>
                <w:color w:val="auto"/>
              </w:rPr>
              <w:t xml:space="preserve"> ​</w:t>
            </w:r>
          </w:p>
        </w:tc>
        <w:tc>
          <w:tcPr>
            <w:tcW w:w="800" w:type="dxa"/>
            <w:vAlign w:val="bottom"/>
          </w:tcPr>
          <w:p>
            <w:pPr>
              <w:jc w:val="right"/>
              <w:spacing w:after="0" w:line="188" w:lineRule="exact"/>
              <w:rPr>
                <w:sz w:val="20"/>
                <w:szCs w:val="20"/>
                <w:color w:val="auto"/>
              </w:rPr>
            </w:pPr>
            <w:r>
              <w:rPr>
                <w:rFonts w:ascii="Arial" w:cs="Arial" w:eastAsia="Arial" w:hAnsi="Arial"/>
                <w:sz w:val="17"/>
                <w:szCs w:val="17"/>
                <w:color w:val="auto"/>
              </w:rPr>
              <w:t>260,100</w:t>
            </w:r>
          </w:p>
        </w:tc>
        <w:tc>
          <w:tcPr>
            <w:tcW w:w="180" w:type="dxa"/>
            <w:vAlign w:val="bottom"/>
          </w:tcPr>
          <w:p>
            <w:pPr>
              <w:jc w:val="right"/>
              <w:spacing w:after="0" w:line="188" w:lineRule="exact"/>
              <w:rPr>
                <w:sz w:val="20"/>
                <w:szCs w:val="20"/>
                <w:color w:val="auto"/>
              </w:rPr>
            </w:pPr>
            <w:r>
              <w:rPr>
                <w:rFonts w:ascii="Arial" w:cs="Arial" w:eastAsia="Arial" w:hAnsi="Arial"/>
                <w:sz w:val="17"/>
                <w:szCs w:val="17"/>
                <w:color w:val="auto"/>
              </w:rPr>
              <w:t>​​​</w:t>
            </w:r>
          </w:p>
        </w:tc>
        <w:tc>
          <w:tcPr>
            <w:tcW w:w="260" w:type="dxa"/>
            <w:vAlign w:val="bottom"/>
            <w:gridSpan w:val="2"/>
          </w:tcPr>
          <w:p>
            <w:pPr>
              <w:ind w:left="40"/>
              <w:spacing w:after="0" w:line="188"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bscript"/>
              </w:rPr>
              <w:t>​</w:t>
            </w:r>
          </w:p>
        </w:tc>
        <w:tc>
          <w:tcPr>
            <w:tcW w:w="640" w:type="dxa"/>
            <w:vAlign w:val="bottom"/>
          </w:tcPr>
          <w:p>
            <w:pPr>
              <w:jc w:val="right"/>
              <w:spacing w:after="0" w:line="188" w:lineRule="exact"/>
              <w:rPr>
                <w:sz w:val="20"/>
                <w:szCs w:val="20"/>
                <w:color w:val="auto"/>
              </w:rPr>
            </w:pPr>
            <w:r>
              <w:rPr>
                <w:rFonts w:ascii="Arial" w:cs="Arial" w:eastAsia="Arial" w:hAnsi="Arial"/>
                <w:sz w:val="17"/>
                <w:szCs w:val="17"/>
                <w:color w:val="auto"/>
              </w:rPr>
              <w:t>2,077</w:t>
            </w:r>
          </w:p>
        </w:tc>
        <w:tc>
          <w:tcPr>
            <w:tcW w:w="320" w:type="dxa"/>
            <w:vAlign w:val="bottom"/>
            <w:gridSpan w:val="3"/>
          </w:tcPr>
          <w:p>
            <w:pPr>
              <w:ind w:left="60"/>
              <w:spacing w:after="0" w:line="188"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bscript"/>
              </w:rPr>
              <w:t>​</w:t>
            </w:r>
          </w:p>
        </w:tc>
        <w:tc>
          <w:tcPr>
            <w:tcW w:w="900" w:type="dxa"/>
            <w:vAlign w:val="bottom"/>
            <w:gridSpan w:val="3"/>
          </w:tcPr>
          <w:p>
            <w:pPr>
              <w:ind w:left="180"/>
              <w:spacing w:after="0" w:line="188" w:lineRule="exact"/>
              <w:rPr>
                <w:sz w:val="20"/>
                <w:szCs w:val="20"/>
                <w:color w:val="auto"/>
              </w:rPr>
            </w:pPr>
            <w:r>
              <w:rPr>
                <w:rFonts w:ascii="Arial" w:cs="Arial" w:eastAsia="Arial" w:hAnsi="Arial"/>
                <w:sz w:val="13"/>
                <w:szCs w:val="13"/>
                <w:color w:val="auto"/>
              </w:rPr>
              <w:t>862,177</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640" w:type="dxa"/>
            <w:vAlign w:val="bottom"/>
            <w:vMerge w:val="restart"/>
          </w:tcPr>
          <w:p>
            <w:pPr>
              <w:spacing w:after="0"/>
              <w:rPr>
                <w:sz w:val="20"/>
                <w:szCs w:val="20"/>
                <w:color w:val="auto"/>
              </w:rPr>
            </w:pPr>
            <w:r>
              <w:rPr>
                <w:rFonts w:ascii="Arial" w:cs="Arial" w:eastAsia="Arial" w:hAnsi="Arial"/>
                <w:sz w:val="17"/>
                <w:szCs w:val="17"/>
                <w:i w:val="1"/>
                <w:iCs w:val="1"/>
                <w:color w:val="auto"/>
              </w:rPr>
              <w:t>Counsel</w:t>
            </w:r>
          </w:p>
        </w:tc>
        <w:tc>
          <w:tcPr>
            <w:tcW w:w="100" w:type="dxa"/>
            <w:vAlign w:val="bottom"/>
          </w:tcPr>
          <w:p>
            <w:pPr>
              <w:spacing w:after="0"/>
              <w:rPr>
                <w:sz w:val="5"/>
                <w:szCs w:val="5"/>
                <w:color w:val="auto"/>
              </w:rPr>
            </w:pPr>
          </w:p>
        </w:tc>
        <w:tc>
          <w:tcPr>
            <w:tcW w:w="80" w:type="dxa"/>
            <w:vAlign w:val="bottom"/>
            <w:tcBorders>
              <w:bottom w:val="single" w:sz="8" w:color="7B8FAA"/>
            </w:tcBorders>
          </w:tcPr>
          <w:p>
            <w:pPr>
              <w:spacing w:after="0"/>
              <w:rPr>
                <w:sz w:val="5"/>
                <w:szCs w:val="5"/>
                <w:color w:val="auto"/>
              </w:rPr>
            </w:pPr>
          </w:p>
        </w:tc>
        <w:tc>
          <w:tcPr>
            <w:tcW w:w="340" w:type="dxa"/>
            <w:vAlign w:val="bottom"/>
            <w:tcBorders>
              <w:bottom w:val="single" w:sz="8" w:color="7B8FAA"/>
            </w:tcBorders>
          </w:tcPr>
          <w:p>
            <w:pPr>
              <w:spacing w:after="0"/>
              <w:rPr>
                <w:sz w:val="5"/>
                <w:szCs w:val="5"/>
                <w:color w:val="auto"/>
              </w:rPr>
            </w:pPr>
          </w:p>
        </w:tc>
        <w:tc>
          <w:tcPr>
            <w:tcW w:w="120" w:type="dxa"/>
            <w:vAlign w:val="bottom"/>
            <w:tcBorders>
              <w:bottom w:val="single" w:sz="8" w:color="7B8FAA"/>
            </w:tcBorders>
          </w:tcPr>
          <w:p>
            <w:pPr>
              <w:spacing w:after="0"/>
              <w:rPr>
                <w:sz w:val="5"/>
                <w:szCs w:val="5"/>
                <w:color w:val="auto"/>
              </w:rPr>
            </w:pPr>
          </w:p>
        </w:tc>
        <w:tc>
          <w:tcPr>
            <w:tcW w:w="80" w:type="dxa"/>
            <w:vAlign w:val="bottom"/>
            <w:tcBorders>
              <w:bottom w:val="single" w:sz="8" w:color="7B8FAA"/>
            </w:tcBorders>
          </w:tcPr>
          <w:p>
            <w:pPr>
              <w:spacing w:after="0"/>
              <w:rPr>
                <w:sz w:val="5"/>
                <w:szCs w:val="5"/>
                <w:color w:val="auto"/>
              </w:rPr>
            </w:pPr>
          </w:p>
        </w:tc>
        <w:tc>
          <w:tcPr>
            <w:tcW w:w="720" w:type="dxa"/>
            <w:vAlign w:val="bottom"/>
            <w:tcBorders>
              <w:bottom w:val="single" w:sz="8" w:color="7B8FAA"/>
            </w:tcBorders>
          </w:tcPr>
          <w:p>
            <w:pPr>
              <w:spacing w:after="0"/>
              <w:rPr>
                <w:sz w:val="5"/>
                <w:szCs w:val="5"/>
                <w:color w:val="auto"/>
              </w:rPr>
            </w:pPr>
          </w:p>
        </w:tc>
        <w:tc>
          <w:tcPr>
            <w:tcW w:w="140" w:type="dxa"/>
            <w:vAlign w:val="bottom"/>
            <w:tcBorders>
              <w:bottom w:val="single" w:sz="8" w:color="7B8FAA"/>
            </w:tcBorders>
          </w:tcPr>
          <w:p>
            <w:pPr>
              <w:spacing w:after="0"/>
              <w:rPr>
                <w:sz w:val="5"/>
                <w:szCs w:val="5"/>
                <w:color w:val="auto"/>
              </w:rPr>
            </w:pPr>
          </w:p>
        </w:tc>
        <w:tc>
          <w:tcPr>
            <w:tcW w:w="60" w:type="dxa"/>
            <w:vAlign w:val="bottom"/>
            <w:tcBorders>
              <w:bottom w:val="single" w:sz="8" w:color="7B8FAA"/>
            </w:tcBorders>
          </w:tcPr>
          <w:p>
            <w:pPr>
              <w:spacing w:after="0"/>
              <w:rPr>
                <w:sz w:val="5"/>
                <w:szCs w:val="5"/>
                <w:color w:val="auto"/>
              </w:rPr>
            </w:pPr>
          </w:p>
        </w:tc>
        <w:tc>
          <w:tcPr>
            <w:tcW w:w="720" w:type="dxa"/>
            <w:vAlign w:val="bottom"/>
            <w:tcBorders>
              <w:bottom w:val="single" w:sz="8" w:color="7B8FAA"/>
            </w:tcBorders>
          </w:tcPr>
          <w:p>
            <w:pPr>
              <w:spacing w:after="0"/>
              <w:rPr>
                <w:sz w:val="5"/>
                <w:szCs w:val="5"/>
                <w:color w:val="auto"/>
              </w:rPr>
            </w:pPr>
          </w:p>
        </w:tc>
        <w:tc>
          <w:tcPr>
            <w:tcW w:w="120" w:type="dxa"/>
            <w:vAlign w:val="bottom"/>
            <w:tcBorders>
              <w:bottom w:val="single" w:sz="8" w:color="7B8FAA"/>
            </w:tcBorders>
          </w:tcPr>
          <w:p>
            <w:pPr>
              <w:spacing w:after="0"/>
              <w:rPr>
                <w:sz w:val="5"/>
                <w:szCs w:val="5"/>
                <w:color w:val="auto"/>
              </w:rPr>
            </w:pPr>
          </w:p>
        </w:tc>
        <w:tc>
          <w:tcPr>
            <w:tcW w:w="120" w:type="dxa"/>
            <w:vAlign w:val="bottom"/>
            <w:tcBorders>
              <w:bottom w:val="single" w:sz="8" w:color="7B8FAA"/>
            </w:tcBorders>
          </w:tcPr>
          <w:p>
            <w:pPr>
              <w:spacing w:after="0"/>
              <w:rPr>
                <w:sz w:val="5"/>
                <w:szCs w:val="5"/>
                <w:color w:val="auto"/>
              </w:rPr>
            </w:pPr>
          </w:p>
        </w:tc>
        <w:tc>
          <w:tcPr>
            <w:tcW w:w="680" w:type="dxa"/>
            <w:vAlign w:val="bottom"/>
            <w:tcBorders>
              <w:bottom w:val="single" w:sz="8" w:color="7B8FAA"/>
            </w:tcBorders>
          </w:tcPr>
          <w:p>
            <w:pPr>
              <w:spacing w:after="0"/>
              <w:rPr>
                <w:sz w:val="5"/>
                <w:szCs w:val="5"/>
                <w:color w:val="auto"/>
              </w:rPr>
            </w:pPr>
          </w:p>
        </w:tc>
        <w:tc>
          <w:tcPr>
            <w:tcW w:w="140" w:type="dxa"/>
            <w:vAlign w:val="bottom"/>
            <w:tcBorders>
              <w:bottom w:val="single" w:sz="8" w:color="7B8FAA"/>
            </w:tcBorders>
          </w:tcPr>
          <w:p>
            <w:pPr>
              <w:spacing w:after="0"/>
              <w:rPr>
                <w:sz w:val="5"/>
                <w:szCs w:val="5"/>
                <w:color w:val="auto"/>
              </w:rPr>
            </w:pPr>
          </w:p>
        </w:tc>
        <w:tc>
          <w:tcPr>
            <w:tcW w:w="60" w:type="dxa"/>
            <w:vAlign w:val="bottom"/>
            <w:tcBorders>
              <w:bottom w:val="single" w:sz="8" w:color="7B8FAA"/>
            </w:tcBorders>
          </w:tcPr>
          <w:p>
            <w:pPr>
              <w:spacing w:after="0"/>
              <w:rPr>
                <w:sz w:val="5"/>
                <w:szCs w:val="5"/>
                <w:color w:val="auto"/>
              </w:rPr>
            </w:pPr>
          </w:p>
        </w:tc>
        <w:tc>
          <w:tcPr>
            <w:tcW w:w="820" w:type="dxa"/>
            <w:vAlign w:val="bottom"/>
            <w:tcBorders>
              <w:bottom w:val="single" w:sz="8" w:color="7B8FAA"/>
            </w:tcBorders>
          </w:tcPr>
          <w:p>
            <w:pPr>
              <w:spacing w:after="0"/>
              <w:rPr>
                <w:sz w:val="5"/>
                <w:szCs w:val="5"/>
                <w:color w:val="auto"/>
              </w:rPr>
            </w:pPr>
          </w:p>
        </w:tc>
        <w:tc>
          <w:tcPr>
            <w:tcW w:w="160" w:type="dxa"/>
            <w:vAlign w:val="bottom"/>
            <w:tcBorders>
              <w:bottom w:val="single" w:sz="8" w:color="7B8FAA"/>
            </w:tcBorders>
          </w:tcPr>
          <w:p>
            <w:pPr>
              <w:spacing w:after="0"/>
              <w:rPr>
                <w:sz w:val="5"/>
                <w:szCs w:val="5"/>
                <w:color w:val="auto"/>
              </w:rPr>
            </w:pPr>
          </w:p>
        </w:tc>
        <w:tc>
          <w:tcPr>
            <w:tcW w:w="80" w:type="dxa"/>
            <w:vAlign w:val="bottom"/>
            <w:tcBorders>
              <w:bottom w:val="single" w:sz="8" w:color="7B8FAA"/>
            </w:tcBorders>
          </w:tcPr>
          <w:p>
            <w:pPr>
              <w:spacing w:after="0"/>
              <w:rPr>
                <w:sz w:val="5"/>
                <w:szCs w:val="5"/>
                <w:color w:val="auto"/>
              </w:rPr>
            </w:pPr>
          </w:p>
        </w:tc>
        <w:tc>
          <w:tcPr>
            <w:tcW w:w="800" w:type="dxa"/>
            <w:vAlign w:val="bottom"/>
            <w:tcBorders>
              <w:bottom w:val="single" w:sz="8" w:color="7B8FAA"/>
            </w:tcBorders>
          </w:tcPr>
          <w:p>
            <w:pPr>
              <w:spacing w:after="0"/>
              <w:rPr>
                <w:sz w:val="5"/>
                <w:szCs w:val="5"/>
                <w:color w:val="auto"/>
              </w:rPr>
            </w:pPr>
          </w:p>
        </w:tc>
        <w:tc>
          <w:tcPr>
            <w:tcW w:w="180" w:type="dxa"/>
            <w:vAlign w:val="bottom"/>
            <w:tcBorders>
              <w:bottom w:val="single" w:sz="8" w:color="7B8FAA"/>
            </w:tcBorders>
          </w:tcPr>
          <w:p>
            <w:pPr>
              <w:spacing w:after="0"/>
              <w:rPr>
                <w:sz w:val="5"/>
                <w:szCs w:val="5"/>
                <w:color w:val="auto"/>
              </w:rPr>
            </w:pPr>
          </w:p>
        </w:tc>
        <w:tc>
          <w:tcPr>
            <w:tcW w:w="160" w:type="dxa"/>
            <w:vAlign w:val="bottom"/>
            <w:tcBorders>
              <w:bottom w:val="single" w:sz="8" w:color="7B8FAA"/>
            </w:tcBorders>
          </w:tcPr>
          <w:p>
            <w:pPr>
              <w:spacing w:after="0"/>
              <w:rPr>
                <w:sz w:val="5"/>
                <w:szCs w:val="5"/>
                <w:color w:val="auto"/>
              </w:rPr>
            </w:pPr>
          </w:p>
        </w:tc>
        <w:tc>
          <w:tcPr>
            <w:tcW w:w="100" w:type="dxa"/>
            <w:vAlign w:val="bottom"/>
            <w:tcBorders>
              <w:bottom w:val="single" w:sz="8" w:color="7B8FAA"/>
            </w:tcBorders>
          </w:tcPr>
          <w:p>
            <w:pPr>
              <w:spacing w:after="0"/>
              <w:rPr>
                <w:sz w:val="5"/>
                <w:szCs w:val="5"/>
                <w:color w:val="auto"/>
              </w:rPr>
            </w:pPr>
          </w:p>
        </w:tc>
        <w:tc>
          <w:tcPr>
            <w:tcW w:w="640" w:type="dxa"/>
            <w:vAlign w:val="bottom"/>
            <w:tcBorders>
              <w:bottom w:val="single" w:sz="8" w:color="7B8FAA"/>
            </w:tcBorders>
          </w:tcPr>
          <w:p>
            <w:pPr>
              <w:spacing w:after="0"/>
              <w:rPr>
                <w:sz w:val="5"/>
                <w:szCs w:val="5"/>
                <w:color w:val="auto"/>
              </w:rPr>
            </w:pPr>
          </w:p>
        </w:tc>
        <w:tc>
          <w:tcPr>
            <w:tcW w:w="100" w:type="dxa"/>
            <w:vAlign w:val="bottom"/>
            <w:tcBorders>
              <w:bottom w:val="single" w:sz="8" w:color="7B8FAA"/>
            </w:tcBorders>
          </w:tcPr>
          <w:p>
            <w:pPr>
              <w:spacing w:after="0"/>
              <w:rPr>
                <w:sz w:val="5"/>
                <w:szCs w:val="5"/>
                <w:color w:val="auto"/>
              </w:rPr>
            </w:pPr>
          </w:p>
        </w:tc>
        <w:tc>
          <w:tcPr>
            <w:tcW w:w="120" w:type="dxa"/>
            <w:vAlign w:val="bottom"/>
            <w:tcBorders>
              <w:bottom w:val="single" w:sz="8" w:color="7B8FAA"/>
            </w:tcBorders>
          </w:tcPr>
          <w:p>
            <w:pPr>
              <w:spacing w:after="0"/>
              <w:rPr>
                <w:sz w:val="5"/>
                <w:szCs w:val="5"/>
                <w:color w:val="auto"/>
              </w:rPr>
            </w:pPr>
          </w:p>
        </w:tc>
        <w:tc>
          <w:tcPr>
            <w:tcW w:w="100" w:type="dxa"/>
            <w:vAlign w:val="bottom"/>
            <w:tcBorders>
              <w:bottom w:val="single" w:sz="8" w:color="7B8FAA"/>
            </w:tcBorders>
          </w:tcPr>
          <w:p>
            <w:pPr>
              <w:spacing w:after="0"/>
              <w:rPr>
                <w:sz w:val="5"/>
                <w:szCs w:val="5"/>
                <w:color w:val="auto"/>
              </w:rPr>
            </w:pPr>
          </w:p>
        </w:tc>
        <w:tc>
          <w:tcPr>
            <w:tcW w:w="800" w:type="dxa"/>
            <w:vAlign w:val="bottom"/>
            <w:tcBorders>
              <w:bottom w:val="single" w:sz="8" w:color="7B8FAA"/>
            </w:tcBorders>
          </w:tcPr>
          <w:p>
            <w:pPr>
              <w:spacing w:after="0"/>
              <w:rPr>
                <w:sz w:val="5"/>
                <w:szCs w:val="5"/>
                <w:color w:val="auto"/>
              </w:rPr>
            </w:pPr>
          </w:p>
        </w:tc>
        <w:tc>
          <w:tcPr>
            <w:tcW w:w="80" w:type="dxa"/>
            <w:vAlign w:val="bottom"/>
            <w:tcBorders>
              <w:bottom w:val="single" w:sz="8" w:color="7B8FAA"/>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vMerge w:val="restart"/>
          </w:tcPr>
          <w:p>
            <w:pPr>
              <w:jc w:val="right"/>
              <w:spacing w:after="0" w:line="265"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​2022</w:t>
            </w:r>
          </w:p>
        </w:tc>
        <w:tc>
          <w:tcPr>
            <w:tcW w:w="200" w:type="dxa"/>
            <w:vAlign w:val="bottom"/>
            <w:gridSpan w:val="2"/>
            <w:vMerge w:val="restart"/>
          </w:tcPr>
          <w:p>
            <w:pPr>
              <w:jc w:val="right"/>
              <w:spacing w:after="0" w:line="265"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90,000</w:t>
            </w:r>
          </w:p>
        </w:tc>
        <w:tc>
          <w:tcPr>
            <w:tcW w:w="2040" w:type="dxa"/>
            <w:vAlign w:val="bottom"/>
            <w:gridSpan w:val="8"/>
            <w:vMerge w:val="restart"/>
          </w:tcPr>
          <w:p>
            <w:pPr>
              <w:ind w:left="20"/>
              <w:spacing w:after="0" w:line="265"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​1,500,000</w:t>
            </w:r>
            <w:r>
              <w:rPr>
                <w:rFonts w:ascii="Arial" w:cs="Arial" w:eastAsia="Arial" w:hAnsi="Arial"/>
                <w:sz w:val="30"/>
                <w:szCs w:val="30"/>
                <w:color w:val="auto"/>
                <w:vertAlign w:val="superscript"/>
              </w:rPr>
              <w:t>​</w:t>
            </w:r>
            <w:r>
              <w:rPr>
                <w:rFonts w:ascii="Arial" w:cs="Arial" w:eastAsia="Arial" w:hAnsi="Arial"/>
                <w:sz w:val="16"/>
                <w:szCs w:val="16"/>
                <w:color w:val="auto"/>
              </w:rPr>
              <w:t xml:space="preserve"> ​1,499,995 </w:t>
            </w: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1060" w:type="dxa"/>
            <w:vAlign w:val="bottom"/>
            <w:gridSpan w:val="3"/>
            <w:vMerge w:val="restart"/>
          </w:tcPr>
          <w:p>
            <w:pPr>
              <w:jc w:val="right"/>
              <w:spacing w:after="0" w:line="265" w:lineRule="exact"/>
              <w:rPr>
                <w:sz w:val="20"/>
                <w:szCs w:val="20"/>
                <w:color w:val="auto"/>
              </w:rPr>
            </w:pPr>
            <w:r>
              <w:rPr>
                <w:rFonts w:ascii="Arial" w:cs="Arial" w:eastAsia="Arial" w:hAnsi="Arial"/>
                <w:sz w:val="16"/>
                <w:szCs w:val="16"/>
                <w:color w:val="auto"/>
              </w:rPr>
              <w:t>1,991,351</w:t>
            </w: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39,600</w:t>
            </w: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vMerge w:val="restart"/>
          </w:tcPr>
          <w:p>
            <w:pPr>
              <w:ind w:left="40"/>
              <w:spacing w:after="0" w:line="265"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1,038</w:t>
            </w:r>
          </w:p>
        </w:tc>
        <w:tc>
          <w:tcPr>
            <w:tcW w:w="320" w:type="dxa"/>
            <w:vAlign w:val="bottom"/>
            <w:gridSpan w:val="3"/>
            <w:vMerge w:val="restart"/>
          </w:tcPr>
          <w:p>
            <w:pPr>
              <w:ind w:left="6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900" w:type="dxa"/>
            <w:vAlign w:val="bottom"/>
            <w:gridSpan w:val="3"/>
            <w:vMerge w:val="restart"/>
          </w:tcPr>
          <w:p>
            <w:pPr>
              <w:ind w:left="40"/>
              <w:spacing w:after="0" w:line="265" w:lineRule="exact"/>
              <w:rPr>
                <w:sz w:val="20"/>
                <w:szCs w:val="20"/>
                <w:color w:val="auto"/>
              </w:rPr>
            </w:pPr>
            <w:r>
              <w:rPr>
                <w:rFonts w:ascii="Arial" w:cs="Arial" w:eastAsia="Arial" w:hAnsi="Arial"/>
                <w:sz w:val="16"/>
                <w:szCs w:val="16"/>
                <w:color w:val="auto"/>
              </w:rPr>
              <w:t>5,121,984</w:t>
            </w:r>
            <w:r>
              <w:rPr>
                <w:rFonts w:ascii="Arial" w:cs="Arial" w:eastAsia="Arial" w:hAnsi="Arial"/>
                <w:sz w:val="30"/>
                <w:szCs w:val="30"/>
                <w:color w:val="auto"/>
                <w:vertAlign w:val="superscript"/>
              </w:rPr>
              <w:t>​​</w:t>
            </w:r>
          </w:p>
        </w:tc>
        <w:tc>
          <w:tcPr>
            <w:tcW w:w="0" w:type="dxa"/>
            <w:vAlign w:val="bottom"/>
          </w:tcPr>
          <w:p>
            <w:pPr>
              <w:spacing w:after="0"/>
              <w:rPr>
                <w:sz w:val="1"/>
                <w:szCs w:val="1"/>
                <w:color w:val="auto"/>
              </w:rPr>
            </w:pPr>
          </w:p>
        </w:tc>
      </w:tr>
      <w:tr>
        <w:trPr>
          <w:trHeight w:val="122"/>
        </w:trPr>
        <w:tc>
          <w:tcPr>
            <w:tcW w:w="100" w:type="dxa"/>
            <w:vAlign w:val="bottom"/>
            <w:tcBorders>
              <w:bottom w:val="single" w:sz="8" w:color="435F86"/>
            </w:tcBorders>
          </w:tcPr>
          <w:p>
            <w:pPr>
              <w:spacing w:after="0"/>
              <w:rPr>
                <w:sz w:val="10"/>
                <w:szCs w:val="10"/>
                <w:color w:val="auto"/>
              </w:rPr>
            </w:pPr>
          </w:p>
        </w:tc>
        <w:tc>
          <w:tcPr>
            <w:tcW w:w="1640" w:type="dxa"/>
            <w:vAlign w:val="bottom"/>
            <w:tcBorders>
              <w:bottom w:val="single" w:sz="8" w:color="435F86"/>
            </w:tcBorders>
          </w:tcPr>
          <w:p>
            <w:pPr>
              <w:spacing w:after="0"/>
              <w:rPr>
                <w:sz w:val="10"/>
                <w:szCs w:val="10"/>
                <w:color w:val="auto"/>
              </w:rPr>
            </w:pPr>
          </w:p>
        </w:tc>
        <w:tc>
          <w:tcPr>
            <w:tcW w:w="100" w:type="dxa"/>
            <w:vAlign w:val="bottom"/>
            <w:tcBorders>
              <w:bottom w:val="single" w:sz="8" w:color="435F86"/>
            </w:tcBorders>
          </w:tcPr>
          <w:p>
            <w:pPr>
              <w:spacing w:after="0"/>
              <w:rPr>
                <w:sz w:val="10"/>
                <w:szCs w:val="10"/>
                <w:color w:val="auto"/>
              </w:rPr>
            </w:pPr>
          </w:p>
        </w:tc>
        <w:tc>
          <w:tcPr>
            <w:tcW w:w="420" w:type="dxa"/>
            <w:vAlign w:val="bottom"/>
            <w:tcBorders>
              <w:bottom w:val="single" w:sz="8" w:color="435F86"/>
            </w:tcBorders>
            <w:gridSpan w:val="2"/>
            <w:vMerge w:val="continue"/>
          </w:tcPr>
          <w:p>
            <w:pPr>
              <w:spacing w:after="0"/>
              <w:rPr>
                <w:sz w:val="10"/>
                <w:szCs w:val="10"/>
                <w:color w:val="auto"/>
              </w:rPr>
            </w:pPr>
          </w:p>
        </w:tc>
        <w:tc>
          <w:tcPr>
            <w:tcW w:w="200" w:type="dxa"/>
            <w:vAlign w:val="bottom"/>
            <w:tcBorders>
              <w:bottom w:val="single" w:sz="8" w:color="435F86"/>
            </w:tcBorders>
            <w:gridSpan w:val="2"/>
            <w:vMerge w:val="continue"/>
          </w:tcPr>
          <w:p>
            <w:pPr>
              <w:spacing w:after="0"/>
              <w:rPr>
                <w:sz w:val="10"/>
                <w:szCs w:val="10"/>
                <w:color w:val="auto"/>
              </w:rPr>
            </w:pPr>
          </w:p>
        </w:tc>
        <w:tc>
          <w:tcPr>
            <w:tcW w:w="720" w:type="dxa"/>
            <w:vAlign w:val="bottom"/>
            <w:tcBorders>
              <w:bottom w:val="single" w:sz="8" w:color="435F86"/>
            </w:tcBorders>
            <w:vMerge w:val="continue"/>
          </w:tcPr>
          <w:p>
            <w:pPr>
              <w:spacing w:after="0"/>
              <w:rPr>
                <w:sz w:val="10"/>
                <w:szCs w:val="10"/>
                <w:color w:val="auto"/>
              </w:rPr>
            </w:pPr>
          </w:p>
        </w:tc>
        <w:tc>
          <w:tcPr>
            <w:tcW w:w="2040" w:type="dxa"/>
            <w:vAlign w:val="bottom"/>
            <w:tcBorders>
              <w:bottom w:val="single" w:sz="8" w:color="435F86"/>
            </w:tcBorders>
            <w:gridSpan w:val="8"/>
            <w:vMerge w:val="continue"/>
          </w:tcPr>
          <w:p>
            <w:pPr>
              <w:spacing w:after="0"/>
              <w:rPr>
                <w:sz w:val="10"/>
                <w:szCs w:val="10"/>
                <w:color w:val="auto"/>
              </w:rPr>
            </w:pPr>
          </w:p>
        </w:tc>
        <w:tc>
          <w:tcPr>
            <w:tcW w:w="1060" w:type="dxa"/>
            <w:vAlign w:val="bottom"/>
            <w:tcBorders>
              <w:bottom w:val="single" w:sz="8" w:color="435F86"/>
            </w:tcBorders>
            <w:gridSpan w:val="3"/>
            <w:vMerge w:val="continue"/>
          </w:tcPr>
          <w:p>
            <w:pPr>
              <w:spacing w:after="0"/>
              <w:rPr>
                <w:sz w:val="10"/>
                <w:szCs w:val="10"/>
                <w:color w:val="auto"/>
              </w:rPr>
            </w:pPr>
          </w:p>
        </w:tc>
        <w:tc>
          <w:tcPr>
            <w:tcW w:w="800" w:type="dxa"/>
            <w:vAlign w:val="bottom"/>
            <w:tcBorders>
              <w:bottom w:val="single" w:sz="8" w:color="435F86"/>
            </w:tcBorders>
            <w:vMerge w:val="continue"/>
          </w:tcPr>
          <w:p>
            <w:pPr>
              <w:spacing w:after="0"/>
              <w:rPr>
                <w:sz w:val="10"/>
                <w:szCs w:val="10"/>
                <w:color w:val="auto"/>
              </w:rPr>
            </w:pPr>
          </w:p>
        </w:tc>
        <w:tc>
          <w:tcPr>
            <w:tcW w:w="180" w:type="dxa"/>
            <w:vAlign w:val="bottom"/>
            <w:tcBorders>
              <w:bottom w:val="single" w:sz="8" w:color="435F86"/>
            </w:tcBorders>
            <w:vMerge w:val="continue"/>
          </w:tcPr>
          <w:p>
            <w:pPr>
              <w:spacing w:after="0"/>
              <w:rPr>
                <w:sz w:val="10"/>
                <w:szCs w:val="10"/>
                <w:color w:val="auto"/>
              </w:rPr>
            </w:pPr>
          </w:p>
        </w:tc>
        <w:tc>
          <w:tcPr>
            <w:tcW w:w="260" w:type="dxa"/>
            <w:vAlign w:val="bottom"/>
            <w:tcBorders>
              <w:bottom w:val="single" w:sz="8" w:color="435F86"/>
            </w:tcBorders>
            <w:gridSpan w:val="2"/>
            <w:vMerge w:val="continue"/>
          </w:tcPr>
          <w:p>
            <w:pPr>
              <w:spacing w:after="0"/>
              <w:rPr>
                <w:sz w:val="10"/>
                <w:szCs w:val="10"/>
                <w:color w:val="auto"/>
              </w:rPr>
            </w:pPr>
          </w:p>
        </w:tc>
        <w:tc>
          <w:tcPr>
            <w:tcW w:w="640" w:type="dxa"/>
            <w:vAlign w:val="bottom"/>
            <w:tcBorders>
              <w:bottom w:val="single" w:sz="8" w:color="435F86"/>
            </w:tcBorders>
            <w:vMerge w:val="continue"/>
          </w:tcPr>
          <w:p>
            <w:pPr>
              <w:spacing w:after="0"/>
              <w:rPr>
                <w:sz w:val="10"/>
                <w:szCs w:val="10"/>
                <w:color w:val="auto"/>
              </w:rPr>
            </w:pPr>
          </w:p>
        </w:tc>
        <w:tc>
          <w:tcPr>
            <w:tcW w:w="320" w:type="dxa"/>
            <w:vAlign w:val="bottom"/>
            <w:tcBorders>
              <w:bottom w:val="single" w:sz="8" w:color="435F86"/>
            </w:tcBorders>
            <w:gridSpan w:val="3"/>
            <w:vMerge w:val="continue"/>
          </w:tcPr>
          <w:p>
            <w:pPr>
              <w:spacing w:after="0"/>
              <w:rPr>
                <w:sz w:val="10"/>
                <w:szCs w:val="10"/>
                <w:color w:val="auto"/>
              </w:rPr>
            </w:pPr>
          </w:p>
        </w:tc>
        <w:tc>
          <w:tcPr>
            <w:tcW w:w="900" w:type="dxa"/>
            <w:vAlign w:val="bottom"/>
            <w:tcBorders>
              <w:bottom w:val="single" w:sz="8" w:color="435F86"/>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120" w:hanging="337"/>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reported in this column for 2024 represent annual base salary paid to our NEOs for 2024.</w:t>
      </w:r>
    </w:p>
    <w:p>
      <w:pPr>
        <w:spacing w:after="0" w:line="90" w:lineRule="exact"/>
        <w:rPr>
          <w:rFonts w:ascii="Arial" w:cs="Arial" w:eastAsia="Arial" w:hAnsi="Arial"/>
          <w:sz w:val="17"/>
          <w:szCs w:val="17"/>
          <w:color w:val="auto"/>
        </w:rPr>
      </w:pPr>
    </w:p>
    <w:p>
      <w:pPr>
        <w:ind w:left="1120" w:right="360" w:hanging="337"/>
        <w:spacing w:after="0" w:line="290" w:lineRule="auto"/>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reported in this column for 2024 represent bonuses paid to our NEOs for 2024. The amount shown for Mr. Rutz represents the vesting of the remaining portion of the $1,000,000 cash incentive bonus agreement he was granted in November 2022, 10% of which vested in May 2023, 20% which vested in November 2023, 30% which vested in May 2024 and 40% which vested in November 2024. See “Incentive Agreement with Mr. Michael P. Rutz.”</w:t>
      </w:r>
    </w:p>
    <w:p>
      <w:pPr>
        <w:spacing w:after="0" w:line="6" w:lineRule="exact"/>
        <w:rPr>
          <w:rFonts w:ascii="Arial" w:cs="Arial" w:eastAsia="Arial" w:hAnsi="Arial"/>
          <w:sz w:val="16"/>
          <w:szCs w:val="16"/>
          <w:color w:val="auto"/>
        </w:rPr>
      </w:pPr>
    </w:p>
    <w:p>
      <w:pPr>
        <w:ind w:left="1120" w:right="460" w:hanging="337"/>
        <w:spacing w:after="0" w:line="263"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in this column for 2024 reflect the aggregate grant date fair value of share-based compensation awarded during the year in connection with our annual award cycle.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2024.</w:t>
      </w:r>
    </w:p>
    <w:p>
      <w:pPr>
        <w:spacing w:after="0" w:line="25" w:lineRule="exact"/>
        <w:rPr>
          <w:rFonts w:ascii="Arial" w:cs="Arial" w:eastAsia="Arial" w:hAnsi="Arial"/>
          <w:sz w:val="17"/>
          <w:szCs w:val="17"/>
          <w:color w:val="auto"/>
        </w:rPr>
      </w:pPr>
    </w:p>
    <w:p>
      <w:pPr>
        <w:ind w:left="1120" w:right="360" w:hanging="337"/>
        <w:spacing w:after="0" w:line="263"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in this column for 2024 reflect the aggregate grant date fair value of stock options awarded during the year in connection with our annual award cycle. The grant date fair value of this compensation was computed in accordance with the provisions of FASB ASC 718. The assumptions that we used to calculate these amounts are discussed in Note 16, “Share-Based Compensation” and Note 1, “Significant Accounting Policies” to our consolidated financial statements included in our Annual Report on Form 10-K for the fiscal year ended December 31, 2024.</w:t>
      </w:r>
    </w:p>
    <w:p>
      <w:pPr>
        <w:spacing w:after="0" w:line="38" w:lineRule="exact"/>
        <w:rPr>
          <w:rFonts w:ascii="Arial" w:cs="Arial" w:eastAsia="Arial" w:hAnsi="Arial"/>
          <w:sz w:val="17"/>
          <w:szCs w:val="17"/>
          <w:color w:val="auto"/>
        </w:rPr>
      </w:pPr>
    </w:p>
    <w:p>
      <w:pPr>
        <w:ind w:left="1120" w:right="480" w:hanging="337"/>
        <w:spacing w:after="0" w:line="294"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in this column for 2024 reflect the value of annual cash incentive awards earned by each NEO under our AIP for 2024. See “Annual Incentive Plan (AIP).”</w:t>
      </w:r>
    </w:p>
    <w:p>
      <w:pPr>
        <w:spacing w:after="0" w:line="1" w:lineRule="exact"/>
        <w:rPr>
          <w:rFonts w:ascii="Arial" w:cs="Arial" w:eastAsia="Arial" w:hAnsi="Arial"/>
          <w:sz w:val="17"/>
          <w:szCs w:val="17"/>
          <w:color w:val="auto"/>
        </w:rPr>
      </w:pPr>
    </w:p>
    <w:p>
      <w:pPr>
        <w:ind w:left="1120" w:right="340" w:hanging="337"/>
        <w:spacing w:after="0" w:line="261" w:lineRule="auto"/>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for fiscal year 2024 include the following: the value of Company contributions made on behalf of our NEOs under our 401(k) Plan, in which all U.S. employees, including our NEOs, are eligible to participate (for Mr. Petras $15,525, Mr Lyons $15,525, Mr. Rutz $15,525, and Mr. Dimitrief $3,115), the value of Company paid executive physical examinations (for Mr. Petras $2,197, Mr. Lyons $3,937,Mr. Rutz $2,071, and Mr. Dimitrief $4,270) and Company-paid life insurance. For Mr. Lyons, amounts include a one-time payment of $100,000 to defray costs associated with his commuting to Cleveland, Ohio as set forth in his offer letter of employment. See “Offer Letter and Restrictive Covenants Agreement with Mr. Jonathan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310515</wp:posOffset>
            </wp:positionV>
            <wp:extent cx="494665" cy="165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178435</wp:posOffset>
            </wp:positionV>
            <wp:extent cx="5538470"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840"/>
          </w:cols>
          <w:pgMar w:left="800" w:top="93"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840"/>
          </w:cols>
          <w:pgMar w:left="800" w:top="93" w:right="1259"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Tables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2024 Grants of Plan-Based Awards</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Grants of Plan-Based Awards</w:t>
      </w:r>
    </w:p>
    <w:p>
      <w:pPr>
        <w:spacing w:after="0" w:line="215" w:lineRule="exact"/>
        <w:rPr>
          <w:sz w:val="20"/>
          <w:szCs w:val="20"/>
          <w:color w:val="auto"/>
        </w:rPr>
      </w:pPr>
    </w:p>
    <w:p>
      <w:pPr>
        <w:ind w:left="780" w:right="840"/>
        <w:spacing w:after="0" w:line="254" w:lineRule="auto"/>
        <w:rPr>
          <w:sz w:val="20"/>
          <w:szCs w:val="20"/>
          <w:color w:val="auto"/>
        </w:rPr>
      </w:pPr>
      <w:r>
        <w:rPr>
          <w:rFonts w:ascii="Arial" w:cs="Arial" w:eastAsia="Arial" w:hAnsi="Arial"/>
          <w:sz w:val="21"/>
          <w:szCs w:val="21"/>
          <w:color w:val="auto"/>
        </w:rPr>
        <w:t>The following table sets forth information regarding plan-based awards granted to each of our NEOs during the fiscal year ended December 31, 2024. Each RSU and stock option award was granted under our 2020 Incentive Plan.</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center"/>
              <w:ind w:right="4"/>
              <w:spacing w:after="0"/>
              <w:rPr>
                <w:sz w:val="20"/>
                <w:szCs w:val="20"/>
                <w:color w:val="auto"/>
              </w:rPr>
            </w:pPr>
            <w:r>
              <w:rPr>
                <w:rFonts w:ascii="Arial" w:cs="Arial" w:eastAsia="Arial" w:hAnsi="Arial"/>
                <w:sz w:val="12"/>
                <w:szCs w:val="12"/>
                <w:b w:val="1"/>
                <w:bCs w:val="1"/>
                <w:color w:val="435F86"/>
                <w:w w:val="94"/>
              </w:rPr>
              <w:t>All other</w:t>
            </w: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435F86"/>
                <w:w w:val="98"/>
              </w:rPr>
              <w:t>All other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124"/>
              <w:spacing w:after="0"/>
              <w:rPr>
                <w:sz w:val="20"/>
                <w:szCs w:val="20"/>
                <w:color w:val="auto"/>
              </w:rPr>
            </w:pPr>
            <w:r>
              <w:rPr>
                <w:rFonts w:ascii="Arial" w:cs="Arial" w:eastAsia="Arial" w:hAnsi="Arial"/>
                <w:sz w:val="12"/>
                <w:szCs w:val="12"/>
                <w:b w:val="1"/>
                <w:bCs w:val="1"/>
                <w:color w:val="435F86"/>
                <w:w w:val="95"/>
              </w:rPr>
              <w:t>stock</w:t>
            </w:r>
          </w:p>
        </w:tc>
        <w:tc>
          <w:tcPr>
            <w:tcW w:w="80" w:type="dxa"/>
            <w:vAlign w:val="bottom"/>
          </w:tcPr>
          <w:p>
            <w:pPr>
              <w:spacing w:after="0"/>
              <w:rPr>
                <w:sz w:val="12"/>
                <w:szCs w:val="12"/>
                <w:color w:val="auto"/>
              </w:rPr>
            </w:pPr>
          </w:p>
        </w:tc>
        <w:tc>
          <w:tcPr>
            <w:tcW w:w="560" w:type="dxa"/>
            <w:vAlign w:val="bottom"/>
          </w:tcPr>
          <w:p>
            <w:pPr>
              <w:jc w:val="center"/>
              <w:ind w:right="59"/>
              <w:spacing w:after="0"/>
              <w:rPr>
                <w:sz w:val="20"/>
                <w:szCs w:val="20"/>
                <w:color w:val="auto"/>
              </w:rPr>
            </w:pPr>
            <w:r>
              <w:rPr>
                <w:rFonts w:ascii="Arial" w:cs="Arial" w:eastAsia="Arial" w:hAnsi="Arial"/>
                <w:sz w:val="12"/>
                <w:szCs w:val="12"/>
                <w:b w:val="1"/>
                <w:bCs w:val="1"/>
                <w:color w:val="435F86"/>
                <w:w w:val="98"/>
              </w:rPr>
              <w:t>option</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jc w:val="center"/>
              <w:ind w:right="24"/>
              <w:spacing w:after="0" w:line="130" w:lineRule="exact"/>
              <w:rPr>
                <w:sz w:val="20"/>
                <w:szCs w:val="20"/>
                <w:color w:val="auto"/>
              </w:rPr>
            </w:pPr>
            <w:r>
              <w:rPr>
                <w:rFonts w:ascii="Arial" w:cs="Arial" w:eastAsia="Arial" w:hAnsi="Arial"/>
                <w:sz w:val="12"/>
                <w:szCs w:val="12"/>
                <w:b w:val="1"/>
                <w:bCs w:val="1"/>
                <w:color w:val="435F86"/>
                <w:w w:val="96"/>
              </w:rPr>
              <w:t>awards:</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435F86"/>
                <w:w w:val="96"/>
              </w:rPr>
              <w:t>awards:</w:t>
            </w:r>
          </w:p>
        </w:tc>
        <w:tc>
          <w:tcPr>
            <w:tcW w:w="5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435F86"/>
                <w:w w:val="97"/>
              </w:rPr>
              <w:t>Exercise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tcPr>
          <w:p>
            <w:pPr>
              <w:jc w:val="center"/>
              <w:ind w:right="59"/>
              <w:spacing w:after="0"/>
              <w:rPr>
                <w:sz w:val="20"/>
                <w:szCs w:val="20"/>
                <w:color w:val="auto"/>
              </w:rPr>
            </w:pPr>
            <w:r>
              <w:rPr>
                <w:rFonts w:ascii="Arial" w:cs="Arial" w:eastAsia="Arial" w:hAnsi="Arial"/>
                <w:sz w:val="12"/>
                <w:szCs w:val="12"/>
                <w:b w:val="1"/>
                <w:bCs w:val="1"/>
                <w:color w:val="435F86"/>
                <w:w w:val="97"/>
              </w:rPr>
              <w:t>Estimated possible payouts under</w:t>
            </w:r>
          </w:p>
        </w:tc>
        <w:tc>
          <w:tcPr>
            <w:tcW w:w="680" w:type="dxa"/>
            <w:vAlign w:val="bottom"/>
            <w:gridSpan w:val="2"/>
          </w:tcPr>
          <w:p>
            <w:pPr>
              <w:jc w:val="center"/>
              <w:ind w:right="4"/>
              <w:spacing w:after="0"/>
              <w:rPr>
                <w:sz w:val="20"/>
                <w:szCs w:val="20"/>
                <w:color w:val="auto"/>
              </w:rPr>
            </w:pPr>
            <w:r>
              <w:rPr>
                <w:rFonts w:ascii="Arial" w:cs="Arial" w:eastAsia="Arial" w:hAnsi="Arial"/>
                <w:sz w:val="12"/>
                <w:szCs w:val="12"/>
                <w:b w:val="1"/>
                <w:bCs w:val="1"/>
                <w:color w:val="435F86"/>
                <w:w w:val="98"/>
              </w:rPr>
              <w:t>number of</w:t>
            </w:r>
          </w:p>
        </w:tc>
        <w:tc>
          <w:tcPr>
            <w:tcW w:w="640" w:type="dxa"/>
            <w:vAlign w:val="bottom"/>
            <w:gridSpan w:val="2"/>
          </w:tcPr>
          <w:p>
            <w:pPr>
              <w:jc w:val="center"/>
              <w:spacing w:after="0"/>
              <w:rPr>
                <w:sz w:val="20"/>
                <w:szCs w:val="20"/>
                <w:color w:val="auto"/>
              </w:rPr>
            </w:pPr>
            <w:r>
              <w:rPr>
                <w:rFonts w:ascii="Arial" w:cs="Arial" w:eastAsia="Arial" w:hAnsi="Arial"/>
                <w:sz w:val="12"/>
                <w:szCs w:val="12"/>
                <w:b w:val="1"/>
                <w:bCs w:val="1"/>
                <w:color w:val="435F86"/>
                <w:w w:val="95"/>
              </w:rPr>
              <w:t>number of</w:t>
            </w:r>
          </w:p>
        </w:tc>
        <w:tc>
          <w:tcPr>
            <w:tcW w:w="580" w:type="dxa"/>
            <w:vAlign w:val="bottom"/>
            <w:gridSpan w:val="2"/>
          </w:tcPr>
          <w:p>
            <w:pPr>
              <w:jc w:val="center"/>
              <w:spacing w:after="0"/>
              <w:rPr>
                <w:sz w:val="20"/>
                <w:szCs w:val="20"/>
                <w:color w:val="auto"/>
              </w:rPr>
            </w:pPr>
            <w:r>
              <w:rPr>
                <w:rFonts w:ascii="Arial" w:cs="Arial" w:eastAsia="Arial" w:hAnsi="Arial"/>
                <w:sz w:val="12"/>
                <w:szCs w:val="12"/>
                <w:b w:val="1"/>
                <w:bCs w:val="1"/>
                <w:color w:val="435F86"/>
                <w:w w:val="98"/>
              </w:rPr>
              <w:t>or base</w:t>
            </w: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435F86"/>
                <w:w w:val="96"/>
              </w:rPr>
              <w:t>Grant date</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180" w:type="dxa"/>
            <w:vAlign w:val="bottom"/>
            <w:gridSpan w:val="2"/>
            <w:vMerge w:val="restart"/>
          </w:tcPr>
          <w:p>
            <w:pPr>
              <w:jc w:val="right"/>
              <w:ind w:right="19"/>
              <w:spacing w:after="0"/>
              <w:rPr>
                <w:sz w:val="20"/>
                <w:szCs w:val="20"/>
                <w:color w:val="auto"/>
              </w:rPr>
            </w:pPr>
            <w:r>
              <w:rPr>
                <w:rFonts w:ascii="Arial" w:cs="Arial" w:eastAsia="Arial" w:hAnsi="Arial"/>
                <w:sz w:val="12"/>
                <w:szCs w:val="12"/>
                <w:b w:val="1"/>
                <w:bCs w:val="1"/>
                <w:color w:val="435F86"/>
              </w:rPr>
              <w:t>​​</w:t>
            </w:r>
          </w:p>
        </w:tc>
        <w:tc>
          <w:tcPr>
            <w:tcW w:w="1640" w:type="dxa"/>
            <w:vAlign w:val="bottom"/>
            <w:vMerge w:val="restart"/>
          </w:tcPr>
          <w:p>
            <w:pPr>
              <w:jc w:val="center"/>
              <w:ind w:right="19"/>
              <w:spacing w:after="0"/>
              <w:rPr>
                <w:sz w:val="20"/>
                <w:szCs w:val="20"/>
                <w:color w:val="auto"/>
              </w:rPr>
            </w:pPr>
            <w:r>
              <w:rPr>
                <w:rFonts w:ascii="Arial" w:cs="Arial" w:eastAsia="Arial" w:hAnsi="Arial"/>
                <w:sz w:val="12"/>
                <w:szCs w:val="12"/>
                <w:b w:val="1"/>
                <w:bCs w:val="1"/>
                <w:color w:val="435F86"/>
              </w:rPr>
              <w:t>​</w:t>
            </w:r>
          </w:p>
        </w:tc>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435F86"/>
              </w:rPr>
              <w:t>​​​</w:t>
            </w:r>
          </w:p>
        </w:tc>
        <w:tc>
          <w:tcPr>
            <w:tcW w:w="1100" w:type="dxa"/>
            <w:vAlign w:val="bottom"/>
            <w:vMerge w:val="restart"/>
          </w:tcPr>
          <w:p>
            <w:pPr>
              <w:ind w:left="520"/>
              <w:spacing w:after="0"/>
              <w:rPr>
                <w:sz w:val="20"/>
                <w:szCs w:val="20"/>
                <w:color w:val="auto"/>
              </w:rPr>
            </w:pPr>
            <w:r>
              <w:rPr>
                <w:rFonts w:ascii="Arial" w:cs="Arial" w:eastAsia="Arial" w:hAnsi="Arial"/>
                <w:sz w:val="12"/>
                <w:szCs w:val="12"/>
                <w:b w:val="1"/>
                <w:bCs w:val="1"/>
                <w:color w:val="435F86"/>
              </w:rPr>
              <w:t>​​​</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435F86"/>
              </w:rPr>
              <w:t>​</w:t>
            </w:r>
          </w:p>
        </w:tc>
        <w:tc>
          <w:tcPr>
            <w:tcW w:w="2060" w:type="dxa"/>
            <w:vAlign w:val="bottom"/>
            <w:gridSpan w:val="5"/>
          </w:tcPr>
          <w:p>
            <w:pPr>
              <w:jc w:val="center"/>
              <w:ind w:right="39"/>
              <w:spacing w:after="0" w:line="130" w:lineRule="exact"/>
              <w:rPr>
                <w:sz w:val="20"/>
                <w:szCs w:val="20"/>
                <w:color w:val="auto"/>
              </w:rPr>
            </w:pPr>
            <w:r>
              <w:rPr>
                <w:rFonts w:ascii="Arial" w:cs="Arial" w:eastAsia="Arial" w:hAnsi="Arial"/>
                <w:sz w:val="12"/>
                <w:szCs w:val="12"/>
                <w:b w:val="1"/>
                <w:bCs w:val="1"/>
                <w:color w:val="435F86"/>
                <w:w w:val="95"/>
              </w:rPr>
              <w:t xml:space="preserve">non-equity incentive plan awards </w:t>
            </w:r>
            <w:r>
              <w:rPr>
                <w:rFonts w:ascii="Arial" w:cs="Arial" w:eastAsia="Arial" w:hAnsi="Arial"/>
                <w:sz w:val="15"/>
                <w:szCs w:val="15"/>
                <w:b w:val="1"/>
                <w:bCs w:val="1"/>
                <w:color w:val="435F86"/>
                <w:w w:val="95"/>
                <w:vertAlign w:val="superscript"/>
              </w:rPr>
              <w:t>(1)</w:t>
            </w:r>
          </w:p>
        </w:tc>
        <w:tc>
          <w:tcPr>
            <w:tcW w:w="680" w:type="dxa"/>
            <w:vAlign w:val="bottom"/>
            <w:gridSpan w:val="2"/>
          </w:tcPr>
          <w:p>
            <w:pPr>
              <w:jc w:val="center"/>
              <w:ind w:right="24"/>
              <w:spacing w:after="0" w:line="130" w:lineRule="exact"/>
              <w:rPr>
                <w:sz w:val="20"/>
                <w:szCs w:val="20"/>
                <w:color w:val="auto"/>
              </w:rPr>
            </w:pPr>
            <w:r>
              <w:rPr>
                <w:rFonts w:ascii="Arial" w:cs="Arial" w:eastAsia="Arial" w:hAnsi="Arial"/>
                <w:sz w:val="12"/>
                <w:szCs w:val="12"/>
                <w:b w:val="1"/>
                <w:bCs w:val="1"/>
                <w:color w:val="435F86"/>
                <w:w w:val="97"/>
              </w:rPr>
              <w:t>shares of</w:t>
            </w:r>
          </w:p>
        </w:tc>
        <w:tc>
          <w:tcPr>
            <w:tcW w:w="6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435F86"/>
                <w:w w:val="96"/>
              </w:rPr>
              <w:t>securities</w:t>
            </w:r>
          </w:p>
        </w:tc>
        <w:tc>
          <w:tcPr>
            <w:tcW w:w="5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435F86"/>
                <w:w w:val="96"/>
              </w:rPr>
              <w:t>price of</w:t>
            </w: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435F86"/>
                <w:w w:val="97"/>
              </w:rPr>
              <w:t>fair value of</w:t>
            </w: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80" w:type="dxa"/>
            <w:vAlign w:val="bottom"/>
            <w:tcBorders>
              <w:bottom w:val="single" w:sz="8" w:color="435F86"/>
            </w:tcBorders>
            <w:vMerge w:val="continue"/>
          </w:tcPr>
          <w:p>
            <w:pPr>
              <w:spacing w:after="0"/>
              <w:rPr>
                <w:sz w:val="6"/>
                <w:szCs w:val="6"/>
                <w:color w:val="auto"/>
              </w:rPr>
            </w:pPr>
          </w:p>
        </w:tc>
        <w:tc>
          <w:tcPr>
            <w:tcW w:w="600" w:type="dxa"/>
            <w:vAlign w:val="bottom"/>
            <w:tcBorders>
              <w:bottom w:val="single" w:sz="8" w:color="435F86"/>
            </w:tcBorders>
          </w:tcPr>
          <w:p>
            <w:pPr>
              <w:spacing w:after="0"/>
              <w:rPr>
                <w:sz w:val="6"/>
                <w:szCs w:val="6"/>
                <w:color w:val="auto"/>
              </w:rPr>
            </w:pPr>
          </w:p>
        </w:tc>
        <w:tc>
          <w:tcPr>
            <w:tcW w:w="140" w:type="dxa"/>
            <w:vAlign w:val="bottom"/>
            <w:tcBorders>
              <w:bottom w:val="single" w:sz="8" w:color="435F86"/>
            </w:tcBorders>
          </w:tcPr>
          <w:p>
            <w:pPr>
              <w:spacing w:after="0"/>
              <w:rPr>
                <w:sz w:val="6"/>
                <w:szCs w:val="6"/>
                <w:color w:val="auto"/>
              </w:rPr>
            </w:pPr>
          </w:p>
        </w:tc>
        <w:tc>
          <w:tcPr>
            <w:tcW w:w="600" w:type="dxa"/>
            <w:vAlign w:val="bottom"/>
            <w:tcBorders>
              <w:bottom w:val="single" w:sz="8" w:color="435F86"/>
            </w:tcBorders>
          </w:tcPr>
          <w:p>
            <w:pPr>
              <w:spacing w:after="0"/>
              <w:rPr>
                <w:sz w:val="6"/>
                <w:szCs w:val="6"/>
                <w:color w:val="auto"/>
              </w:rPr>
            </w:pPr>
          </w:p>
        </w:tc>
        <w:tc>
          <w:tcPr>
            <w:tcW w:w="160" w:type="dxa"/>
            <w:vAlign w:val="bottom"/>
            <w:tcBorders>
              <w:bottom w:val="single" w:sz="8" w:color="435F86"/>
            </w:tcBorders>
          </w:tcPr>
          <w:p>
            <w:pPr>
              <w:spacing w:after="0"/>
              <w:rPr>
                <w:sz w:val="6"/>
                <w:szCs w:val="6"/>
                <w:color w:val="auto"/>
              </w:rPr>
            </w:pPr>
          </w:p>
        </w:tc>
        <w:tc>
          <w:tcPr>
            <w:tcW w:w="560" w:type="dxa"/>
            <w:vAlign w:val="bottom"/>
            <w:tcBorders>
              <w:bottom w:val="single" w:sz="8" w:color="435F86"/>
            </w:tcBorders>
          </w:tcPr>
          <w:p>
            <w:pPr>
              <w:spacing w:after="0"/>
              <w:rPr>
                <w:sz w:val="6"/>
                <w:szCs w:val="6"/>
                <w:color w:val="auto"/>
              </w:rPr>
            </w:pPr>
          </w:p>
        </w:tc>
        <w:tc>
          <w:tcPr>
            <w:tcW w:w="680" w:type="dxa"/>
            <w:vAlign w:val="bottom"/>
            <w:gridSpan w:val="2"/>
            <w:vMerge w:val="restart"/>
          </w:tcPr>
          <w:p>
            <w:pPr>
              <w:jc w:val="center"/>
              <w:ind w:right="4"/>
              <w:spacing w:after="0" w:line="125" w:lineRule="exact"/>
              <w:rPr>
                <w:sz w:val="20"/>
                <w:szCs w:val="20"/>
                <w:color w:val="auto"/>
              </w:rPr>
            </w:pPr>
            <w:r>
              <w:rPr>
                <w:rFonts w:ascii="Arial" w:cs="Arial" w:eastAsia="Arial" w:hAnsi="Arial"/>
                <w:sz w:val="12"/>
                <w:szCs w:val="12"/>
                <w:b w:val="1"/>
                <w:bCs w:val="1"/>
                <w:color w:val="435F86"/>
                <w:w w:val="98"/>
              </w:rPr>
              <w:t>stock or</w:t>
            </w:r>
          </w:p>
        </w:tc>
        <w:tc>
          <w:tcPr>
            <w:tcW w:w="640" w:type="dxa"/>
            <w:vAlign w:val="bottom"/>
            <w:gridSpan w:val="2"/>
            <w:vMerge w:val="restart"/>
          </w:tcPr>
          <w:p>
            <w:pPr>
              <w:jc w:val="center"/>
              <w:spacing w:after="0" w:line="125" w:lineRule="exact"/>
              <w:rPr>
                <w:sz w:val="20"/>
                <w:szCs w:val="20"/>
                <w:color w:val="auto"/>
              </w:rPr>
            </w:pPr>
            <w:r>
              <w:rPr>
                <w:rFonts w:ascii="Arial" w:cs="Arial" w:eastAsia="Arial" w:hAnsi="Arial"/>
                <w:sz w:val="12"/>
                <w:szCs w:val="12"/>
                <w:b w:val="1"/>
                <w:bCs w:val="1"/>
                <w:color w:val="435F86"/>
                <w:w w:val="97"/>
              </w:rPr>
              <w:t>underlying</w:t>
            </w:r>
          </w:p>
        </w:tc>
        <w:tc>
          <w:tcPr>
            <w:tcW w:w="100" w:type="dxa"/>
            <w:vAlign w:val="bottom"/>
          </w:tcPr>
          <w:p>
            <w:pPr>
              <w:spacing w:after="0"/>
              <w:rPr>
                <w:sz w:val="6"/>
                <w:szCs w:val="6"/>
                <w:color w:val="auto"/>
              </w:rPr>
            </w:pPr>
          </w:p>
        </w:tc>
        <w:tc>
          <w:tcPr>
            <w:tcW w:w="480" w:type="dxa"/>
            <w:vAlign w:val="bottom"/>
            <w:vMerge w:val="restart"/>
          </w:tcPr>
          <w:p>
            <w:pPr>
              <w:jc w:val="center"/>
              <w:ind w:right="19"/>
              <w:spacing w:after="0" w:line="125" w:lineRule="exact"/>
              <w:rPr>
                <w:sz w:val="20"/>
                <w:szCs w:val="20"/>
                <w:color w:val="auto"/>
              </w:rPr>
            </w:pPr>
            <w:r>
              <w:rPr>
                <w:rFonts w:ascii="Arial" w:cs="Arial" w:eastAsia="Arial" w:hAnsi="Arial"/>
                <w:sz w:val="12"/>
                <w:szCs w:val="12"/>
                <w:b w:val="1"/>
                <w:bCs w:val="1"/>
                <w:color w:val="435F86"/>
                <w:w w:val="98"/>
              </w:rPr>
              <w:t>option</w:t>
            </w:r>
          </w:p>
        </w:tc>
        <w:tc>
          <w:tcPr>
            <w:tcW w:w="80" w:type="dxa"/>
            <w:vAlign w:val="bottom"/>
          </w:tcPr>
          <w:p>
            <w:pPr>
              <w:spacing w:after="0"/>
              <w:rPr>
                <w:sz w:val="6"/>
                <w:szCs w:val="6"/>
                <w:color w:val="auto"/>
              </w:rPr>
            </w:pPr>
          </w:p>
        </w:tc>
        <w:tc>
          <w:tcPr>
            <w:tcW w:w="700" w:type="dxa"/>
            <w:vAlign w:val="bottom"/>
            <w:vMerge w:val="restart"/>
          </w:tcPr>
          <w:p>
            <w:pPr>
              <w:jc w:val="center"/>
              <w:ind w:right="59"/>
              <w:spacing w:after="0" w:line="125" w:lineRule="exact"/>
              <w:rPr>
                <w:sz w:val="20"/>
                <w:szCs w:val="20"/>
                <w:color w:val="auto"/>
              </w:rPr>
            </w:pPr>
            <w:r>
              <w:rPr>
                <w:rFonts w:ascii="Arial" w:cs="Arial" w:eastAsia="Arial" w:hAnsi="Arial"/>
                <w:sz w:val="12"/>
                <w:szCs w:val="12"/>
                <w:b w:val="1"/>
                <w:bCs w:val="1"/>
                <w:color w:val="435F86"/>
                <w:w w:val="96"/>
              </w:rPr>
              <w:t>stock and</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ind w:left="540"/>
              <w:spacing w:after="0"/>
              <w:rPr>
                <w:sz w:val="20"/>
                <w:szCs w:val="20"/>
                <w:color w:val="auto"/>
              </w:rPr>
            </w:pPr>
            <w:r>
              <w:rPr>
                <w:rFonts w:ascii="Arial" w:cs="Arial" w:eastAsia="Arial" w:hAnsi="Arial"/>
                <w:sz w:val="12"/>
                <w:szCs w:val="12"/>
                <w:b w:val="1"/>
                <w:bCs w:val="1"/>
                <w:color w:val="435F86"/>
              </w:rPr>
              <w:t>Approval</w:t>
            </w:r>
          </w:p>
        </w:tc>
        <w:tc>
          <w:tcPr>
            <w:tcW w:w="680" w:type="dxa"/>
            <w:vAlign w:val="bottom"/>
            <w:gridSpan w:val="2"/>
          </w:tcPr>
          <w:p>
            <w:pPr>
              <w:jc w:val="right"/>
              <w:ind w:right="19"/>
              <w:spacing w:after="0"/>
              <w:rPr>
                <w:sz w:val="20"/>
                <w:szCs w:val="20"/>
                <w:color w:val="auto"/>
              </w:rPr>
            </w:pPr>
            <w:r>
              <w:rPr>
                <w:rFonts w:ascii="Arial" w:cs="Arial" w:eastAsia="Arial" w:hAnsi="Arial"/>
                <w:sz w:val="12"/>
                <w:szCs w:val="12"/>
                <w:b w:val="1"/>
                <w:bCs w:val="1"/>
                <w:color w:val="435F86"/>
                <w:w w:val="99"/>
              </w:rPr>
              <w:t>Threshold</w:t>
            </w:r>
          </w:p>
        </w:tc>
        <w:tc>
          <w:tcPr>
            <w:tcW w:w="140" w:type="dxa"/>
            <w:vAlign w:val="bottom"/>
          </w:tcPr>
          <w:p>
            <w:pPr>
              <w:spacing w:after="0"/>
              <w:rPr>
                <w:sz w:val="12"/>
                <w:szCs w:val="12"/>
                <w:color w:val="auto"/>
              </w:rPr>
            </w:pPr>
          </w:p>
        </w:tc>
        <w:tc>
          <w:tcPr>
            <w:tcW w:w="600" w:type="dxa"/>
            <w:vAlign w:val="bottom"/>
          </w:tcPr>
          <w:p>
            <w:pPr>
              <w:jc w:val="right"/>
              <w:ind w:right="159"/>
              <w:spacing w:after="0"/>
              <w:rPr>
                <w:sz w:val="20"/>
                <w:szCs w:val="20"/>
                <w:color w:val="auto"/>
              </w:rPr>
            </w:pPr>
            <w:r>
              <w:rPr>
                <w:rFonts w:ascii="Arial" w:cs="Arial" w:eastAsia="Arial" w:hAnsi="Arial"/>
                <w:sz w:val="12"/>
                <w:szCs w:val="12"/>
                <w:b w:val="1"/>
                <w:bCs w:val="1"/>
                <w:color w:val="435F86"/>
                <w:w w:val="98"/>
              </w:rPr>
              <w:t>Target</w:t>
            </w:r>
          </w:p>
        </w:tc>
        <w:tc>
          <w:tcPr>
            <w:tcW w:w="720" w:type="dxa"/>
            <w:vAlign w:val="bottom"/>
            <w:gridSpan w:val="2"/>
          </w:tcPr>
          <w:p>
            <w:pPr>
              <w:jc w:val="right"/>
              <w:ind w:right="39"/>
              <w:spacing w:after="0"/>
              <w:rPr>
                <w:sz w:val="20"/>
                <w:szCs w:val="20"/>
                <w:color w:val="auto"/>
              </w:rPr>
            </w:pPr>
            <w:r>
              <w:rPr>
                <w:rFonts w:ascii="Arial" w:cs="Arial" w:eastAsia="Arial" w:hAnsi="Arial"/>
                <w:sz w:val="12"/>
                <w:szCs w:val="12"/>
                <w:b w:val="1"/>
                <w:bCs w:val="1"/>
                <w:color w:val="435F86"/>
              </w:rPr>
              <w:t>Maximum</w:t>
            </w:r>
          </w:p>
        </w:tc>
        <w:tc>
          <w:tcPr>
            <w:tcW w:w="120" w:type="dxa"/>
            <w:vAlign w:val="bottom"/>
          </w:tcPr>
          <w:p>
            <w:pPr>
              <w:spacing w:after="0"/>
              <w:rPr>
                <w:sz w:val="12"/>
                <w:szCs w:val="12"/>
                <w:color w:val="auto"/>
              </w:rPr>
            </w:pPr>
          </w:p>
        </w:tc>
        <w:tc>
          <w:tcPr>
            <w:tcW w:w="560" w:type="dxa"/>
            <w:vAlign w:val="bottom"/>
          </w:tcPr>
          <w:p>
            <w:pPr>
              <w:jc w:val="center"/>
              <w:ind w:right="144"/>
              <w:spacing w:after="0"/>
              <w:rPr>
                <w:sz w:val="20"/>
                <w:szCs w:val="20"/>
                <w:color w:val="auto"/>
              </w:rPr>
            </w:pPr>
            <w:r>
              <w:rPr>
                <w:rFonts w:ascii="Arial" w:cs="Arial" w:eastAsia="Arial" w:hAnsi="Arial"/>
                <w:sz w:val="12"/>
                <w:szCs w:val="12"/>
                <w:b w:val="1"/>
                <w:bCs w:val="1"/>
                <w:color w:val="435F86"/>
                <w:w w:val="97"/>
              </w:rPr>
              <w:t>units</w:t>
            </w:r>
          </w:p>
        </w:tc>
        <w:tc>
          <w:tcPr>
            <w:tcW w:w="80" w:type="dxa"/>
            <w:vAlign w:val="bottom"/>
          </w:tcPr>
          <w:p>
            <w:pPr>
              <w:spacing w:after="0"/>
              <w:rPr>
                <w:sz w:val="12"/>
                <w:szCs w:val="12"/>
                <w:color w:val="auto"/>
              </w:rPr>
            </w:pPr>
          </w:p>
        </w:tc>
        <w:tc>
          <w:tcPr>
            <w:tcW w:w="560" w:type="dxa"/>
            <w:vAlign w:val="bottom"/>
          </w:tcPr>
          <w:p>
            <w:pPr>
              <w:jc w:val="center"/>
              <w:ind w:right="39"/>
              <w:spacing w:after="0"/>
              <w:rPr>
                <w:sz w:val="20"/>
                <w:szCs w:val="20"/>
                <w:color w:val="auto"/>
              </w:rPr>
            </w:pPr>
            <w:r>
              <w:rPr>
                <w:rFonts w:ascii="Arial" w:cs="Arial" w:eastAsia="Arial" w:hAnsi="Arial"/>
                <w:sz w:val="12"/>
                <w:szCs w:val="12"/>
                <w:b w:val="1"/>
                <w:bCs w:val="1"/>
                <w:color w:val="435F86"/>
                <w:w w:val="96"/>
              </w:rPr>
              <w:t>options</w:t>
            </w:r>
          </w:p>
        </w:tc>
        <w:tc>
          <w:tcPr>
            <w:tcW w:w="580" w:type="dxa"/>
            <w:vAlign w:val="bottom"/>
            <w:gridSpan w:val="2"/>
          </w:tcPr>
          <w:p>
            <w:pPr>
              <w:jc w:val="center"/>
              <w:spacing w:after="0"/>
              <w:rPr>
                <w:sz w:val="20"/>
                <w:szCs w:val="20"/>
                <w:color w:val="auto"/>
              </w:rPr>
            </w:pPr>
            <w:r>
              <w:rPr>
                <w:rFonts w:ascii="Arial" w:cs="Arial" w:eastAsia="Arial" w:hAnsi="Arial"/>
                <w:sz w:val="12"/>
                <w:szCs w:val="12"/>
                <w:b w:val="1"/>
                <w:bCs w:val="1"/>
                <w:color w:val="435F86"/>
              </w:rPr>
              <w:t>awards</w:t>
            </w:r>
          </w:p>
        </w:tc>
        <w:tc>
          <w:tcPr>
            <w:tcW w:w="80" w:type="dxa"/>
            <w:vAlign w:val="bottom"/>
          </w:tcPr>
          <w:p>
            <w:pPr>
              <w:spacing w:after="0"/>
              <w:rPr>
                <w:sz w:val="12"/>
                <w:szCs w:val="12"/>
                <w:color w:val="auto"/>
              </w:rPr>
            </w:pPr>
          </w:p>
        </w:tc>
        <w:tc>
          <w:tcPr>
            <w:tcW w:w="700" w:type="dxa"/>
            <w:vAlign w:val="bottom"/>
          </w:tcPr>
          <w:p>
            <w:pPr>
              <w:jc w:val="center"/>
              <w:ind w:right="79"/>
              <w:spacing w:after="0"/>
              <w:rPr>
                <w:sz w:val="20"/>
                <w:szCs w:val="20"/>
                <w:color w:val="auto"/>
              </w:rPr>
            </w:pPr>
            <w:r>
              <w:rPr>
                <w:rFonts w:ascii="Arial" w:cs="Arial" w:eastAsia="Arial" w:hAnsi="Arial"/>
                <w:sz w:val="12"/>
                <w:szCs w:val="12"/>
                <w:b w:val="1"/>
                <w:bCs w:val="1"/>
                <w:color w:val="435F86"/>
                <w:w w:val="98"/>
              </w:rPr>
              <w:t>option</w:t>
            </w:r>
          </w:p>
        </w:tc>
        <w:tc>
          <w:tcPr>
            <w:tcW w:w="0" w:type="dxa"/>
            <w:vAlign w:val="bottom"/>
          </w:tcPr>
          <w:p>
            <w:pPr>
              <w:spacing w:after="0"/>
              <w:rPr>
                <w:sz w:val="1"/>
                <w:szCs w:val="1"/>
                <w:color w:val="auto"/>
              </w:rPr>
            </w:pPr>
          </w:p>
        </w:tc>
      </w:tr>
      <w:tr>
        <w:trPr>
          <w:trHeight w:val="199"/>
        </w:trPr>
        <w:tc>
          <w:tcPr>
            <w:tcW w:w="1140" w:type="dxa"/>
            <w:vAlign w:val="bottom"/>
            <w:tcBorders>
              <w:bottom w:val="single" w:sz="8" w:color="435F86"/>
            </w:tcBorders>
          </w:tcPr>
          <w:p>
            <w:pPr>
              <w:ind w:left="100"/>
              <w:spacing w:after="0"/>
              <w:rPr>
                <w:sz w:val="20"/>
                <w:szCs w:val="20"/>
                <w:color w:val="auto"/>
              </w:rPr>
            </w:pPr>
            <w:r>
              <w:rPr>
                <w:rFonts w:ascii="Arial" w:cs="Arial" w:eastAsia="Arial" w:hAnsi="Arial"/>
                <w:sz w:val="12"/>
                <w:szCs w:val="12"/>
                <w:b w:val="1"/>
                <w:bCs w:val="1"/>
                <w:color w:val="435F86"/>
              </w:rPr>
              <w:t>Name</w:t>
            </w:r>
          </w:p>
        </w:tc>
        <w:tc>
          <w:tcPr>
            <w:tcW w:w="180" w:type="dxa"/>
            <w:vAlign w:val="bottom"/>
            <w:tcBorders>
              <w:bottom w:val="single" w:sz="8" w:color="435F86"/>
            </w:tcBorders>
            <w:gridSpan w:val="2"/>
          </w:tcPr>
          <w:p>
            <w:pPr>
              <w:jc w:val="right"/>
              <w:ind w:right="19"/>
              <w:spacing w:after="0"/>
              <w:rPr>
                <w:sz w:val="20"/>
                <w:szCs w:val="20"/>
                <w:color w:val="auto"/>
              </w:rPr>
            </w:pPr>
            <w:r>
              <w:rPr>
                <w:rFonts w:ascii="Arial" w:cs="Arial" w:eastAsia="Arial" w:hAnsi="Arial"/>
                <w:sz w:val="12"/>
                <w:szCs w:val="12"/>
                <w:b w:val="1"/>
                <w:bCs w:val="1"/>
                <w:color w:val="435F86"/>
              </w:rPr>
              <w:t>​​</w:t>
            </w:r>
          </w:p>
        </w:tc>
        <w:tc>
          <w:tcPr>
            <w:tcW w:w="1640" w:type="dxa"/>
            <w:vAlign w:val="bottom"/>
            <w:tcBorders>
              <w:bottom w:val="single" w:sz="8" w:color="435F86"/>
            </w:tcBorders>
          </w:tcPr>
          <w:p>
            <w:pPr>
              <w:jc w:val="center"/>
              <w:ind w:right="39"/>
              <w:spacing w:after="0"/>
              <w:rPr>
                <w:sz w:val="20"/>
                <w:szCs w:val="20"/>
                <w:color w:val="auto"/>
              </w:rPr>
            </w:pPr>
            <w:r>
              <w:rPr>
                <w:rFonts w:ascii="Arial" w:cs="Arial" w:eastAsia="Arial" w:hAnsi="Arial"/>
                <w:sz w:val="12"/>
                <w:szCs w:val="12"/>
                <w:b w:val="1"/>
                <w:bCs w:val="1"/>
                <w:color w:val="435F86"/>
                <w:w w:val="96"/>
              </w:rPr>
              <w:t>Award Type</w:t>
            </w:r>
          </w:p>
        </w:tc>
        <w:tc>
          <w:tcPr>
            <w:tcW w:w="1220" w:type="dxa"/>
            <w:vAlign w:val="bottom"/>
            <w:tcBorders>
              <w:bottom w:val="single" w:sz="8" w:color="435F86"/>
            </w:tcBorders>
            <w:gridSpan w:val="2"/>
          </w:tcPr>
          <w:p>
            <w:pPr>
              <w:spacing w:after="0" w:line="200" w:lineRule="exact"/>
              <w:rPr>
                <w:sz w:val="20"/>
                <w:szCs w:val="20"/>
                <w:color w:val="auto"/>
              </w:rPr>
            </w:pPr>
            <w:r>
              <w:rPr>
                <w:rFonts w:ascii="Arial" w:cs="Arial" w:eastAsia="Arial" w:hAnsi="Arial"/>
                <w:sz w:val="23"/>
                <w:szCs w:val="23"/>
                <w:b w:val="1"/>
                <w:bCs w:val="1"/>
                <w:color w:val="435F86"/>
                <w:vertAlign w:val="subscript"/>
              </w:rPr>
              <w:t>​​</w:t>
            </w:r>
            <w:r>
              <w:rPr>
                <w:rFonts w:ascii="Arial" w:cs="Arial" w:eastAsia="Arial" w:hAnsi="Arial"/>
                <w:sz w:val="12"/>
                <w:szCs w:val="12"/>
                <w:b w:val="1"/>
                <w:bCs w:val="1"/>
                <w:color w:val="435F86"/>
              </w:rPr>
              <w:t>Grant Date</w:t>
            </w:r>
            <w:r>
              <w:rPr>
                <w:rFonts w:ascii="Arial" w:cs="Arial" w:eastAsia="Arial" w:hAnsi="Arial"/>
                <w:sz w:val="23"/>
                <w:szCs w:val="23"/>
                <w:b w:val="1"/>
                <w:bCs w:val="1"/>
                <w:color w:val="435F86"/>
                <w:vertAlign w:val="subscript"/>
              </w:rPr>
              <w:t>​​</w:t>
            </w:r>
            <w:r>
              <w:rPr>
                <w:rFonts w:ascii="Arial" w:cs="Arial" w:eastAsia="Arial" w:hAnsi="Arial"/>
                <w:sz w:val="12"/>
                <w:szCs w:val="12"/>
                <w:b w:val="1"/>
                <w:bCs w:val="1"/>
                <w:color w:val="435F86"/>
              </w:rPr>
              <w:t xml:space="preserve">  Date</w:t>
            </w:r>
          </w:p>
        </w:tc>
        <w:tc>
          <w:tcPr>
            <w:tcW w:w="80" w:type="dxa"/>
            <w:vAlign w:val="bottom"/>
            <w:tcBorders>
              <w:bottom w:val="single" w:sz="8" w:color="435F86"/>
            </w:tcBorders>
          </w:tcPr>
          <w:p>
            <w:pPr>
              <w:spacing w:after="0"/>
              <w:rPr>
                <w:sz w:val="20"/>
                <w:szCs w:val="20"/>
                <w:color w:val="auto"/>
              </w:rPr>
            </w:pPr>
            <w:r>
              <w:rPr>
                <w:rFonts w:ascii="Arial" w:cs="Arial" w:eastAsia="Arial" w:hAnsi="Arial"/>
                <w:sz w:val="12"/>
                <w:szCs w:val="12"/>
                <w:b w:val="1"/>
                <w:bCs w:val="1"/>
                <w:color w:val="435F86"/>
              </w:rPr>
              <w:t>​</w:t>
            </w:r>
          </w:p>
        </w:tc>
        <w:tc>
          <w:tcPr>
            <w:tcW w:w="600" w:type="dxa"/>
            <w:vAlign w:val="bottom"/>
            <w:tcBorders>
              <w:bottom w:val="single" w:sz="8" w:color="435F86"/>
            </w:tcBorders>
          </w:tcPr>
          <w:p>
            <w:pPr>
              <w:jc w:val="right"/>
              <w:ind w:right="219"/>
              <w:spacing w:after="0"/>
              <w:rPr>
                <w:sz w:val="20"/>
                <w:szCs w:val="20"/>
                <w:color w:val="auto"/>
              </w:rPr>
            </w:pPr>
            <w:r>
              <w:rPr>
                <w:rFonts w:ascii="Arial" w:cs="Arial" w:eastAsia="Arial" w:hAnsi="Arial"/>
                <w:sz w:val="12"/>
                <w:szCs w:val="12"/>
                <w:b w:val="1"/>
                <w:bCs w:val="1"/>
                <w:color w:val="435F86"/>
              </w:rPr>
              <w:t>($)</w:t>
            </w:r>
          </w:p>
        </w:tc>
        <w:tc>
          <w:tcPr>
            <w:tcW w:w="140" w:type="dxa"/>
            <w:vAlign w:val="bottom"/>
            <w:tcBorders>
              <w:bottom w:val="single" w:sz="8" w:color="435F86"/>
            </w:tcBorders>
          </w:tcPr>
          <w:p>
            <w:pPr>
              <w:spacing w:after="0"/>
              <w:rPr>
                <w:sz w:val="17"/>
                <w:szCs w:val="17"/>
                <w:color w:val="auto"/>
              </w:rPr>
            </w:pPr>
          </w:p>
        </w:tc>
        <w:tc>
          <w:tcPr>
            <w:tcW w:w="600" w:type="dxa"/>
            <w:vAlign w:val="bottom"/>
            <w:tcBorders>
              <w:bottom w:val="single" w:sz="8" w:color="435F86"/>
            </w:tcBorders>
          </w:tcPr>
          <w:p>
            <w:pPr>
              <w:jc w:val="center"/>
              <w:ind w:right="79"/>
              <w:spacing w:after="0"/>
              <w:rPr>
                <w:sz w:val="20"/>
                <w:szCs w:val="20"/>
                <w:color w:val="auto"/>
              </w:rPr>
            </w:pPr>
            <w:r>
              <w:rPr>
                <w:rFonts w:ascii="Arial" w:cs="Arial" w:eastAsia="Arial" w:hAnsi="Arial"/>
                <w:sz w:val="12"/>
                <w:szCs w:val="12"/>
                <w:b w:val="1"/>
                <w:bCs w:val="1"/>
                <w:color w:val="435F86"/>
                <w:w w:val="95"/>
              </w:rPr>
              <w:t>($)</w:t>
            </w:r>
          </w:p>
        </w:tc>
        <w:tc>
          <w:tcPr>
            <w:tcW w:w="160" w:type="dxa"/>
            <w:vAlign w:val="bottom"/>
            <w:tcBorders>
              <w:bottom w:val="single" w:sz="8" w:color="435F86"/>
            </w:tcBorders>
          </w:tcPr>
          <w:p>
            <w:pPr>
              <w:spacing w:after="0"/>
              <w:rPr>
                <w:sz w:val="17"/>
                <w:szCs w:val="17"/>
                <w:color w:val="auto"/>
              </w:rPr>
            </w:pPr>
          </w:p>
        </w:tc>
        <w:tc>
          <w:tcPr>
            <w:tcW w:w="560" w:type="dxa"/>
            <w:vAlign w:val="bottom"/>
            <w:tcBorders>
              <w:bottom w:val="single" w:sz="8" w:color="435F86"/>
            </w:tcBorders>
          </w:tcPr>
          <w:p>
            <w:pPr>
              <w:jc w:val="right"/>
              <w:ind w:right="219"/>
              <w:spacing w:after="0"/>
              <w:rPr>
                <w:sz w:val="20"/>
                <w:szCs w:val="20"/>
                <w:color w:val="auto"/>
              </w:rPr>
            </w:pPr>
            <w:r>
              <w:rPr>
                <w:rFonts w:ascii="Arial" w:cs="Arial" w:eastAsia="Arial" w:hAnsi="Arial"/>
                <w:sz w:val="12"/>
                <w:szCs w:val="12"/>
                <w:b w:val="1"/>
                <w:bCs w:val="1"/>
                <w:color w:val="435F86"/>
              </w:rPr>
              <w:t>($)</w:t>
            </w:r>
          </w:p>
        </w:tc>
        <w:tc>
          <w:tcPr>
            <w:tcW w:w="120" w:type="dxa"/>
            <w:vAlign w:val="bottom"/>
            <w:tcBorders>
              <w:bottom w:val="single" w:sz="8" w:color="435F86"/>
            </w:tcBorders>
          </w:tcPr>
          <w:p>
            <w:pPr>
              <w:spacing w:after="0"/>
              <w:rPr>
                <w:sz w:val="17"/>
                <w:szCs w:val="17"/>
                <w:color w:val="auto"/>
              </w:rPr>
            </w:pPr>
          </w:p>
        </w:tc>
        <w:tc>
          <w:tcPr>
            <w:tcW w:w="560" w:type="dxa"/>
            <w:vAlign w:val="bottom"/>
            <w:tcBorders>
              <w:bottom w:val="single" w:sz="8" w:color="435F86"/>
            </w:tcBorders>
          </w:tcPr>
          <w:p>
            <w:pPr>
              <w:jc w:val="center"/>
              <w:ind w:right="84"/>
              <w:spacing w:after="0"/>
              <w:rPr>
                <w:sz w:val="20"/>
                <w:szCs w:val="20"/>
                <w:color w:val="auto"/>
              </w:rPr>
            </w:pPr>
            <w:r>
              <w:rPr>
                <w:rFonts w:ascii="Arial" w:cs="Arial" w:eastAsia="Arial" w:hAnsi="Arial"/>
                <w:sz w:val="12"/>
                <w:szCs w:val="12"/>
                <w:b w:val="1"/>
                <w:bCs w:val="1"/>
                <w:color w:val="435F86"/>
                <w:w w:val="95"/>
              </w:rPr>
              <w:t>(#)</w:t>
            </w:r>
          </w:p>
        </w:tc>
        <w:tc>
          <w:tcPr>
            <w:tcW w:w="80" w:type="dxa"/>
            <w:vAlign w:val="bottom"/>
            <w:tcBorders>
              <w:bottom w:val="single" w:sz="8" w:color="435F86"/>
            </w:tcBorders>
          </w:tcPr>
          <w:p>
            <w:pPr>
              <w:spacing w:after="0"/>
              <w:rPr>
                <w:sz w:val="17"/>
                <w:szCs w:val="17"/>
                <w:color w:val="auto"/>
              </w:rPr>
            </w:pPr>
          </w:p>
        </w:tc>
        <w:tc>
          <w:tcPr>
            <w:tcW w:w="560" w:type="dxa"/>
            <w:vAlign w:val="bottom"/>
            <w:tcBorders>
              <w:bottom w:val="single" w:sz="8" w:color="435F86"/>
            </w:tcBorders>
          </w:tcPr>
          <w:p>
            <w:pPr>
              <w:jc w:val="center"/>
              <w:ind w:right="39"/>
              <w:spacing w:after="0"/>
              <w:rPr>
                <w:sz w:val="20"/>
                <w:szCs w:val="20"/>
                <w:color w:val="auto"/>
              </w:rPr>
            </w:pPr>
            <w:r>
              <w:rPr>
                <w:rFonts w:ascii="Arial" w:cs="Arial" w:eastAsia="Arial" w:hAnsi="Arial"/>
                <w:sz w:val="12"/>
                <w:szCs w:val="12"/>
                <w:b w:val="1"/>
                <w:bCs w:val="1"/>
                <w:color w:val="435F86"/>
                <w:w w:val="95"/>
              </w:rPr>
              <w:t>(#)</w:t>
            </w:r>
          </w:p>
        </w:tc>
        <w:tc>
          <w:tcPr>
            <w:tcW w:w="100" w:type="dxa"/>
            <w:vAlign w:val="bottom"/>
            <w:tcBorders>
              <w:bottom w:val="single" w:sz="8" w:color="435F86"/>
            </w:tcBorders>
          </w:tcPr>
          <w:p>
            <w:pPr>
              <w:spacing w:after="0"/>
              <w:rPr>
                <w:sz w:val="17"/>
                <w:szCs w:val="17"/>
                <w:color w:val="auto"/>
              </w:rPr>
            </w:pPr>
          </w:p>
        </w:tc>
        <w:tc>
          <w:tcPr>
            <w:tcW w:w="480" w:type="dxa"/>
            <w:vAlign w:val="bottom"/>
            <w:tcBorders>
              <w:bottom w:val="single" w:sz="8" w:color="435F86"/>
            </w:tcBorders>
          </w:tcPr>
          <w:p>
            <w:pPr>
              <w:jc w:val="center"/>
              <w:ind w:right="19"/>
              <w:spacing w:after="0"/>
              <w:rPr>
                <w:sz w:val="20"/>
                <w:szCs w:val="20"/>
                <w:color w:val="auto"/>
              </w:rPr>
            </w:pPr>
            <w:r>
              <w:rPr>
                <w:rFonts w:ascii="Arial" w:cs="Arial" w:eastAsia="Arial" w:hAnsi="Arial"/>
                <w:sz w:val="12"/>
                <w:szCs w:val="12"/>
                <w:b w:val="1"/>
                <w:bCs w:val="1"/>
                <w:color w:val="435F86"/>
                <w:w w:val="95"/>
              </w:rPr>
              <w:t>($/Sh)</w:t>
            </w:r>
          </w:p>
        </w:tc>
        <w:tc>
          <w:tcPr>
            <w:tcW w:w="80" w:type="dxa"/>
            <w:vAlign w:val="bottom"/>
            <w:tcBorders>
              <w:bottom w:val="single" w:sz="8" w:color="435F86"/>
            </w:tcBorders>
          </w:tcPr>
          <w:p>
            <w:pPr>
              <w:spacing w:after="0"/>
              <w:rPr>
                <w:sz w:val="17"/>
                <w:szCs w:val="17"/>
                <w:color w:val="auto"/>
              </w:rPr>
            </w:pPr>
          </w:p>
        </w:tc>
        <w:tc>
          <w:tcPr>
            <w:tcW w:w="700" w:type="dxa"/>
            <w:vAlign w:val="bottom"/>
            <w:tcBorders>
              <w:bottom w:val="single" w:sz="8" w:color="435F86"/>
            </w:tcBorders>
          </w:tcPr>
          <w:p>
            <w:pPr>
              <w:jc w:val="center"/>
              <w:ind w:right="19"/>
              <w:spacing w:after="0"/>
              <w:rPr>
                <w:sz w:val="20"/>
                <w:szCs w:val="20"/>
                <w:color w:val="auto"/>
              </w:rPr>
            </w:pPr>
            <w:r>
              <w:rPr>
                <w:rFonts w:ascii="Arial" w:cs="Arial" w:eastAsia="Arial" w:hAnsi="Arial"/>
                <w:sz w:val="12"/>
                <w:szCs w:val="12"/>
                <w:b w:val="1"/>
                <w:bCs w:val="1"/>
                <w:color w:val="435F86"/>
                <w:w w:val="97"/>
              </w:rPr>
              <w:t>awards ($)</w:t>
            </w:r>
          </w:p>
        </w:tc>
        <w:tc>
          <w:tcPr>
            <w:tcW w:w="0" w:type="dxa"/>
            <w:vAlign w:val="bottom"/>
          </w:tcPr>
          <w:p>
            <w:pPr>
              <w:spacing w:after="0"/>
              <w:rPr>
                <w:sz w:val="1"/>
                <w:szCs w:val="1"/>
                <w:color w:val="auto"/>
              </w:rPr>
            </w:pPr>
          </w:p>
        </w:tc>
      </w:tr>
      <w:tr>
        <w:trPr>
          <w:trHeight w:val="227"/>
        </w:trPr>
        <w:tc>
          <w:tcPr>
            <w:tcW w:w="1200" w:type="dxa"/>
            <w:vAlign w:val="bottom"/>
            <w:gridSpan w:val="2"/>
          </w:tcPr>
          <w:p>
            <w:pPr>
              <w:ind w:left="100"/>
              <w:spacing w:after="0"/>
              <w:rPr>
                <w:sz w:val="20"/>
                <w:szCs w:val="20"/>
                <w:color w:val="auto"/>
              </w:rPr>
            </w:pPr>
            <w:r>
              <w:rPr>
                <w:rFonts w:ascii="Arial" w:cs="Arial" w:eastAsia="Arial" w:hAnsi="Arial"/>
                <w:sz w:val="12"/>
                <w:szCs w:val="12"/>
                <w:color w:val="auto"/>
                <w:w w:val="94"/>
              </w:rPr>
              <w:t>Michael B. Petras, Jr.</w:t>
            </w:r>
          </w:p>
        </w:tc>
        <w:tc>
          <w:tcPr>
            <w:tcW w:w="120" w:type="dxa"/>
            <w:vAlign w:val="bottom"/>
            <w:tcBorders>
              <w:bottom w:val="single" w:sz="8" w:color="7B8FAA"/>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7B8FAA"/>
            </w:tcBorders>
            <w:shd w:val="clear" w:color="auto" w:fill="CCEEFF"/>
          </w:tcPr>
          <w:p>
            <w:pPr>
              <w:jc w:val="center"/>
              <w:ind w:right="39"/>
              <w:spacing w:after="0"/>
              <w:rPr>
                <w:sz w:val="20"/>
                <w:szCs w:val="20"/>
                <w:color w:val="auto"/>
              </w:rPr>
            </w:pPr>
            <w:r>
              <w:rPr>
                <w:rFonts w:ascii="Arial" w:cs="Arial" w:eastAsia="Arial" w:hAnsi="Arial"/>
                <w:sz w:val="12"/>
                <w:szCs w:val="12"/>
                <w:color w:val="auto"/>
                <w:w w:val="94"/>
              </w:rPr>
              <w:t>Annual Incentive Plan</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7B8FAA"/>
            </w:tcBorders>
            <w:shd w:val="clear" w:color="auto" w:fill="CCEEFF"/>
          </w:tcPr>
          <w:p>
            <w:pPr>
              <w:ind w:left="40"/>
              <w:spacing w:after="0" w:line="227"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2/20/2024</w:t>
            </w:r>
          </w:p>
        </w:tc>
        <w:tc>
          <w:tcPr>
            <w:tcW w:w="68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$ 952,320</w:t>
            </w:r>
          </w:p>
        </w:tc>
        <w:tc>
          <w:tcPr>
            <w:tcW w:w="74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$1,360,457</w:t>
            </w:r>
          </w:p>
        </w:tc>
        <w:tc>
          <w:tcPr>
            <w:tcW w:w="72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$2,720,914</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line="22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w:t>
            </w:r>
          </w:p>
        </w:tc>
        <w:tc>
          <w:tcPr>
            <w:tcW w:w="8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7B8FAA"/>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7B8FAA"/>
            </w:tcBorders>
            <w:shd w:val="clear" w:color="auto" w:fill="CCEEFF"/>
          </w:tcPr>
          <w:p>
            <w:pPr>
              <w:jc w:val="center"/>
              <w:ind w:right="39"/>
              <w:spacing w:after="0"/>
              <w:rPr>
                <w:sz w:val="20"/>
                <w:szCs w:val="20"/>
                <w:color w:val="auto"/>
              </w:rPr>
            </w:pPr>
            <w:r>
              <w:rPr>
                <w:rFonts w:ascii="Arial" w:cs="Arial" w:eastAsia="Arial" w:hAnsi="Arial"/>
                <w:sz w:val="12"/>
                <w:szCs w:val="12"/>
                <w:color w:val="auto"/>
                <w:w w:val="95"/>
              </w:rPr>
              <w:t>2020 Incentive Plan RSUs</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7B8FAA"/>
            </w:tcBorders>
            <w:shd w:val="clear" w:color="auto" w:fill="CCEEFF"/>
          </w:tcPr>
          <w:p>
            <w:pPr>
              <w:ind w:left="40"/>
              <w:spacing w:after="0" w:line="213"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7B8FAA"/>
            </w:tcBorders>
            <w:gridSpan w:val="2"/>
            <w:shd w:val="clear" w:color="auto" w:fill="CCEEFF"/>
          </w:tcPr>
          <w:p>
            <w:pPr>
              <w:ind w:left="60"/>
              <w:spacing w:after="0" w:line="213"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 274,160</w:t>
            </w:r>
            <w:r>
              <w:rPr>
                <w:rFonts w:ascii="Arial" w:cs="Arial" w:eastAsia="Arial" w:hAnsi="Arial"/>
                <w:sz w:val="15"/>
                <w:szCs w:val="15"/>
                <w:color w:val="auto"/>
                <w:vertAlign w:val="superscript"/>
              </w:rPr>
              <w:t>(2)</w:t>
            </w:r>
            <w:r>
              <w:rPr>
                <w:rFonts w:ascii="Arial" w:cs="Arial" w:eastAsia="Arial" w:hAnsi="Arial"/>
                <w:sz w:val="24"/>
                <w:szCs w:val="24"/>
                <w:color w:val="auto"/>
                <w:vertAlign w:val="superscript"/>
              </w:rPr>
              <w:t>​</w:t>
            </w:r>
          </w:p>
        </w:tc>
        <w:tc>
          <w:tcPr>
            <w:tcW w:w="8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7B8FAA"/>
            </w:tcBorders>
            <w:gridSpan w:val="2"/>
            <w:shd w:val="clear" w:color="auto" w:fill="CCEEFF"/>
          </w:tcPr>
          <w:p>
            <w:pPr>
              <w:jc w:val="right"/>
              <w:spacing w:after="0" w:line="213"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1260" w:type="dxa"/>
            <w:vAlign w:val="bottom"/>
            <w:tcBorders>
              <w:bottom w:val="single" w:sz="8" w:color="7B8FAA"/>
            </w:tcBorders>
            <w:gridSpan w:val="3"/>
            <w:shd w:val="clear" w:color="auto" w:fill="CCEEFF"/>
          </w:tcPr>
          <w:p>
            <w:pPr>
              <w:jc w:val="right"/>
              <w:spacing w:after="0" w:line="21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 ​</w:t>
            </w:r>
            <w:r>
              <w:rPr>
                <w:rFonts w:ascii="Arial" w:cs="Arial" w:eastAsia="Arial" w:hAnsi="Arial"/>
                <w:sz w:val="12"/>
                <w:szCs w:val="12"/>
                <w:color w:val="auto"/>
              </w:rPr>
              <w:t>$ 3,999,994</w:t>
            </w:r>
          </w:p>
        </w:tc>
        <w:tc>
          <w:tcPr>
            <w:tcW w:w="0" w:type="dxa"/>
            <w:vAlign w:val="bottom"/>
          </w:tcPr>
          <w:p>
            <w:pPr>
              <w:spacing w:after="0"/>
              <w:rPr>
                <w:sz w:val="1"/>
                <w:szCs w:val="1"/>
                <w:color w:val="auto"/>
              </w:rPr>
            </w:pPr>
          </w:p>
        </w:tc>
      </w:tr>
      <w:tr>
        <w:trPr>
          <w:trHeight w:val="214"/>
        </w:trPr>
        <w:tc>
          <w:tcPr>
            <w:tcW w:w="1140" w:type="dxa"/>
            <w:vAlign w:val="bottom"/>
            <w:tcBorders>
              <w:bottom w:val="single" w:sz="8" w:color="7B8FAA"/>
            </w:tcBorders>
          </w:tcPr>
          <w:p>
            <w:pPr>
              <w:spacing w:after="0"/>
              <w:rPr>
                <w:sz w:val="18"/>
                <w:szCs w:val="18"/>
                <w:color w:val="auto"/>
              </w:rPr>
            </w:pPr>
          </w:p>
        </w:tc>
        <w:tc>
          <w:tcPr>
            <w:tcW w:w="60" w:type="dxa"/>
            <w:vAlign w:val="bottom"/>
            <w:tcBorders>
              <w:bottom w:val="single" w:sz="8" w:color="7B8FAA"/>
            </w:tcBorders>
          </w:tcPr>
          <w:p>
            <w:pPr>
              <w:spacing w:after="0"/>
              <w:rPr>
                <w:sz w:val="18"/>
                <w:szCs w:val="18"/>
                <w:color w:val="auto"/>
              </w:rPr>
            </w:pPr>
          </w:p>
        </w:tc>
        <w:tc>
          <w:tcPr>
            <w:tcW w:w="1760" w:type="dxa"/>
            <w:vAlign w:val="bottom"/>
            <w:tcBorders>
              <w:bottom w:val="single" w:sz="8" w:color="7B8FAA"/>
            </w:tcBorders>
            <w:gridSpan w:val="2"/>
            <w:shd w:val="clear" w:color="auto" w:fill="CCEEFF"/>
          </w:tcPr>
          <w:p>
            <w:pPr>
              <w:spacing w:after="0" w:line="213" w:lineRule="exact"/>
              <w:rPr>
                <w:sz w:val="20"/>
                <w:szCs w:val="20"/>
                <w:color w:val="auto"/>
              </w:rPr>
            </w:pPr>
            <w:r>
              <w:rPr>
                <w:rFonts w:ascii="Arial" w:cs="Arial" w:eastAsia="Arial" w:hAnsi="Arial"/>
                <w:sz w:val="24"/>
                <w:szCs w:val="24"/>
                <w:color w:val="auto"/>
                <w:w w:val="98"/>
                <w:vertAlign w:val="superscript"/>
              </w:rPr>
              <w:t>​</w:t>
            </w:r>
            <w:r>
              <w:rPr>
                <w:rFonts w:ascii="Arial" w:cs="Arial" w:eastAsia="Arial" w:hAnsi="Arial"/>
                <w:sz w:val="12"/>
                <w:szCs w:val="12"/>
                <w:color w:val="auto"/>
                <w:w w:val="98"/>
              </w:rPr>
              <w:t>2020 Incentive Plan Stock Option</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7B8FAA"/>
            </w:tcBorders>
            <w:shd w:val="clear" w:color="auto" w:fill="CCEEFF"/>
          </w:tcPr>
          <w:p>
            <w:pPr>
              <w:ind w:left="40"/>
              <w:spacing w:after="0" w:line="213"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line="21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w:t>
            </w:r>
          </w:p>
        </w:tc>
        <w:tc>
          <w:tcPr>
            <w:tcW w:w="1300" w:type="dxa"/>
            <w:vAlign w:val="bottom"/>
            <w:tcBorders>
              <w:bottom w:val="single" w:sz="8" w:color="7B8FAA"/>
            </w:tcBorders>
            <w:gridSpan w:val="5"/>
            <w:shd w:val="clear" w:color="auto" w:fill="CCEEFF"/>
          </w:tcPr>
          <w:p>
            <w:pPr>
              <w:ind w:left="40"/>
              <w:spacing w:after="0" w:line="213"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 544,509</w:t>
            </w:r>
            <w:r>
              <w:rPr>
                <w:rFonts w:ascii="Arial" w:cs="Arial" w:eastAsia="Arial" w:hAnsi="Arial"/>
                <w:sz w:val="15"/>
                <w:szCs w:val="15"/>
                <w:color w:val="auto"/>
                <w:vertAlign w:val="superscript"/>
              </w:rPr>
              <w:t>(3)</w:t>
            </w:r>
            <w:r>
              <w:rPr>
                <w:rFonts w:ascii="Arial" w:cs="Arial" w:eastAsia="Arial" w:hAnsi="Arial"/>
                <w:sz w:val="24"/>
                <w:szCs w:val="24"/>
                <w:color w:val="auto"/>
                <w:vertAlign w:val="superscript"/>
              </w:rPr>
              <w:t>​ ​</w:t>
            </w:r>
            <w:r>
              <w:rPr>
                <w:rFonts w:ascii="Arial" w:cs="Arial" w:eastAsia="Arial" w:hAnsi="Arial"/>
                <w:sz w:val="12"/>
                <w:szCs w:val="12"/>
                <w:color w:val="auto"/>
              </w:rPr>
              <w:t xml:space="preserve">$ 14.59 </w:t>
            </w:r>
            <w:r>
              <w:rPr>
                <w:rFonts w:ascii="Arial" w:cs="Arial" w:eastAsia="Arial" w:hAnsi="Arial"/>
                <w:sz w:val="24"/>
                <w:szCs w:val="24"/>
                <w:color w:val="auto"/>
                <w:vertAlign w:val="superscript"/>
              </w:rPr>
              <w:t>​ ​</w:t>
            </w:r>
          </w:p>
        </w:tc>
        <w:tc>
          <w:tcPr>
            <w:tcW w:w="7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4,007,275</w:t>
            </w:r>
          </w:p>
        </w:tc>
        <w:tc>
          <w:tcPr>
            <w:tcW w:w="0" w:type="dxa"/>
            <w:vAlign w:val="bottom"/>
          </w:tcPr>
          <w:p>
            <w:pPr>
              <w:spacing w:after="0"/>
              <w:rPr>
                <w:sz w:val="1"/>
                <w:szCs w:val="1"/>
                <w:color w:val="auto"/>
              </w:rPr>
            </w:pPr>
          </w:p>
        </w:tc>
      </w:tr>
      <w:tr>
        <w:trPr>
          <w:trHeight w:val="227"/>
        </w:trPr>
        <w:tc>
          <w:tcPr>
            <w:tcW w:w="1140" w:type="dxa"/>
            <w:vAlign w:val="bottom"/>
          </w:tcPr>
          <w:p>
            <w:pPr>
              <w:ind w:left="100"/>
              <w:spacing w:after="0"/>
              <w:rPr>
                <w:sz w:val="20"/>
                <w:szCs w:val="20"/>
                <w:color w:val="auto"/>
              </w:rPr>
            </w:pPr>
            <w:r>
              <w:rPr>
                <w:rFonts w:ascii="Arial" w:cs="Arial" w:eastAsia="Arial" w:hAnsi="Arial"/>
                <w:sz w:val="12"/>
                <w:szCs w:val="12"/>
                <w:color w:val="auto"/>
              </w:rPr>
              <w:t>Jonathan Lyons</w:t>
            </w:r>
          </w:p>
        </w:tc>
        <w:tc>
          <w:tcPr>
            <w:tcW w:w="1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Pr>
          <w:p>
            <w:pPr>
              <w:jc w:val="center"/>
              <w:ind w:right="39"/>
              <w:spacing w:after="0"/>
              <w:rPr>
                <w:sz w:val="20"/>
                <w:szCs w:val="20"/>
                <w:color w:val="auto"/>
              </w:rPr>
            </w:pPr>
            <w:r>
              <w:rPr>
                <w:rFonts w:ascii="Arial" w:cs="Arial" w:eastAsia="Arial" w:hAnsi="Arial"/>
                <w:sz w:val="12"/>
                <w:szCs w:val="12"/>
                <w:color w:val="auto"/>
                <w:w w:val="94"/>
              </w:rPr>
              <w:t>Annual Incentive Plan</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ind w:left="40"/>
              <w:spacing w:after="0" w:line="227"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2/20/2024</w:t>
            </w:r>
            <w:r>
              <w:rPr>
                <w:rFonts w:ascii="Arial" w:cs="Arial" w:eastAsia="Arial" w:hAnsi="Arial"/>
                <w:sz w:val="24"/>
                <w:szCs w:val="24"/>
                <w:color w:val="auto"/>
                <w:vertAlign w:val="superscript"/>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241,702</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345,288</w:t>
            </w: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690,577</w:t>
            </w:r>
          </w:p>
        </w:tc>
        <w:tc>
          <w:tcPr>
            <w:tcW w:w="120" w:type="dxa"/>
            <w:vAlign w:val="bottom"/>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line="22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w:t>
            </w:r>
          </w:p>
        </w:tc>
        <w:tc>
          <w:tcPr>
            <w:tcW w:w="80" w:type="dxa"/>
            <w:vAlign w:val="bottom"/>
          </w:tcPr>
          <w:p>
            <w:pPr>
              <w:ind w:lef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gridSpan w:val="2"/>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7B8FAA"/>
            </w:tcBorders>
            <w:vMerge w:val="restart"/>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Borders>
              <w:top w:val="single" w:sz="8" w:color="7B8FAA"/>
            </w:tcBorders>
            <w:vMerge w:val="restart"/>
          </w:tcPr>
          <w:p>
            <w:pPr>
              <w:jc w:val="center"/>
              <w:ind w:right="39"/>
              <w:spacing w:after="0"/>
              <w:rPr>
                <w:sz w:val="20"/>
                <w:szCs w:val="20"/>
                <w:color w:val="auto"/>
              </w:rPr>
            </w:pPr>
            <w:r>
              <w:rPr>
                <w:rFonts w:ascii="Arial" w:cs="Arial" w:eastAsia="Arial" w:hAnsi="Arial"/>
                <w:sz w:val="12"/>
                <w:szCs w:val="12"/>
                <w:color w:val="auto"/>
                <w:w w:val="95"/>
              </w:rPr>
              <w:t>2020 Incentive Plan RSUs</w:t>
            </w:r>
          </w:p>
        </w:tc>
        <w:tc>
          <w:tcPr>
            <w:tcW w:w="120" w:type="dxa"/>
            <w:vAlign w:val="bottom"/>
            <w:tcBorders>
              <w:top w:val="single" w:sz="8" w:color="7B8FAA"/>
            </w:tcBorders>
            <w:vMerge w:val="restart"/>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7B8FAA"/>
            </w:tcBorders>
            <w:gridSpan w:val="2"/>
            <w:vMerge w:val="restart"/>
          </w:tcPr>
          <w:p>
            <w:pPr>
              <w:ind w:left="40"/>
              <w:spacing w:after="0" w:line="252"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r>
              <w:rPr>
                <w:rFonts w:ascii="Arial" w:cs="Arial" w:eastAsia="Arial" w:hAnsi="Arial"/>
                <w:sz w:val="24"/>
                <w:szCs w:val="24"/>
                <w:color w:val="auto"/>
                <w:vertAlign w:val="superscript"/>
              </w:rPr>
              <w:t>​​</w:t>
            </w:r>
          </w:p>
        </w:tc>
        <w:tc>
          <w:tcPr>
            <w:tcW w:w="600" w:type="dxa"/>
            <w:vAlign w:val="bottom"/>
            <w:tcBorders>
              <w:top w:val="single" w:sz="8" w:color="7B8FAA"/>
            </w:tcBorders>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7B8FAA"/>
            </w:tcBorders>
            <w:vMerge w:val="restart"/>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B8FAA"/>
            </w:tcBorders>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7B8FAA"/>
            </w:tcBorders>
            <w:vMerge w:val="restart"/>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B8FAA"/>
            </w:tcBorders>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7B8FAA"/>
            </w:tcBorders>
            <w:vMerge w:val="restart"/>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B8FAA"/>
            </w:tcBorders>
          </w:tcPr>
          <w:p>
            <w:pPr>
              <w:jc w:val="right"/>
              <w:spacing w:after="0"/>
              <w:rPr>
                <w:sz w:val="20"/>
                <w:szCs w:val="20"/>
                <w:color w:val="auto"/>
              </w:rPr>
            </w:pPr>
            <w:r>
              <w:rPr>
                <w:rFonts w:ascii="Arial" w:cs="Arial" w:eastAsia="Arial" w:hAnsi="Arial"/>
                <w:sz w:val="8"/>
                <w:szCs w:val="8"/>
                <w:color w:val="auto"/>
              </w:rPr>
              <w:t>(2)</w:t>
            </w:r>
          </w:p>
        </w:tc>
        <w:tc>
          <w:tcPr>
            <w:tcW w:w="80" w:type="dxa"/>
            <w:vAlign w:val="bottom"/>
            <w:tcBorders>
              <w:top w:val="single" w:sz="8" w:color="7B8FAA"/>
            </w:tcBorders>
            <w:vMerge w:val="restart"/>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7B8FAA"/>
            </w:tcBorders>
            <w:gridSpan w:val="2"/>
            <w:vMerge w:val="restart"/>
          </w:tcPr>
          <w:p>
            <w:pPr>
              <w:jc w:val="right"/>
              <w:spacing w:after="0" w:line="25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tcBorders>
              <w:top w:val="single" w:sz="8" w:color="7B8FAA"/>
            </w:tcBorders>
            <w:gridSpan w:val="2"/>
            <w:vMerge w:val="restart"/>
          </w:tcPr>
          <w:p>
            <w:pPr>
              <w:jc w:val="right"/>
              <w:spacing w:after="0" w:line="25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tcBorders>
              <w:top w:val="single" w:sz="8" w:color="7B8FAA"/>
            </w:tcBorders>
            <w:vMerge w:val="restart"/>
          </w:tcPr>
          <w:p>
            <w:pPr>
              <w:jc w:val="right"/>
              <w:spacing w:after="0"/>
              <w:rPr>
                <w:sz w:val="20"/>
                <w:szCs w:val="20"/>
                <w:color w:val="auto"/>
              </w:rPr>
            </w:pPr>
            <w:r>
              <w:rPr>
                <w:rFonts w:ascii="Arial" w:cs="Arial" w:eastAsia="Arial" w:hAnsi="Arial"/>
                <w:sz w:val="12"/>
                <w:szCs w:val="12"/>
                <w:color w:val="auto"/>
              </w:rPr>
              <w:t>599,999</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7B8FAA"/>
            </w:tcBorders>
            <w:vMerge w:val="continue"/>
          </w:tcPr>
          <w:p>
            <w:pPr>
              <w:spacing w:after="0"/>
              <w:rPr>
                <w:sz w:val="11"/>
                <w:szCs w:val="11"/>
                <w:color w:val="auto"/>
              </w:rPr>
            </w:pPr>
          </w:p>
        </w:tc>
        <w:tc>
          <w:tcPr>
            <w:tcW w:w="1640" w:type="dxa"/>
            <w:vAlign w:val="bottom"/>
            <w:tcBorders>
              <w:bottom w:val="single" w:sz="8" w:color="7B8FAA"/>
            </w:tcBorders>
            <w:vMerge w:val="continue"/>
          </w:tcPr>
          <w:p>
            <w:pPr>
              <w:spacing w:after="0"/>
              <w:rPr>
                <w:sz w:val="11"/>
                <w:szCs w:val="11"/>
                <w:color w:val="auto"/>
              </w:rPr>
            </w:pPr>
          </w:p>
        </w:tc>
        <w:tc>
          <w:tcPr>
            <w:tcW w:w="120" w:type="dxa"/>
            <w:vAlign w:val="bottom"/>
            <w:tcBorders>
              <w:bottom w:val="single" w:sz="8" w:color="7B8FAA"/>
            </w:tcBorders>
            <w:vMerge w:val="continue"/>
          </w:tcPr>
          <w:p>
            <w:pPr>
              <w:spacing w:after="0"/>
              <w:rPr>
                <w:sz w:val="11"/>
                <w:szCs w:val="11"/>
                <w:color w:val="auto"/>
              </w:rPr>
            </w:pPr>
          </w:p>
        </w:tc>
        <w:tc>
          <w:tcPr>
            <w:tcW w:w="1180" w:type="dxa"/>
            <w:vAlign w:val="bottom"/>
            <w:tcBorders>
              <w:bottom w:val="single" w:sz="8" w:color="7B8FAA"/>
            </w:tcBorders>
            <w:gridSpan w:val="2"/>
            <w:vMerge w:val="continue"/>
          </w:tcPr>
          <w:p>
            <w:pPr>
              <w:spacing w:after="0"/>
              <w:rPr>
                <w:sz w:val="11"/>
                <w:szCs w:val="11"/>
                <w:color w:val="auto"/>
              </w:rPr>
            </w:pPr>
          </w:p>
        </w:tc>
        <w:tc>
          <w:tcPr>
            <w:tcW w:w="600" w:type="dxa"/>
            <w:vAlign w:val="bottom"/>
            <w:tcBorders>
              <w:bottom w:val="single" w:sz="8" w:color="7B8FAA"/>
            </w:tcBorders>
            <w:vMerge w:val="continue"/>
          </w:tcPr>
          <w:p>
            <w:pPr>
              <w:spacing w:after="0"/>
              <w:rPr>
                <w:sz w:val="11"/>
                <w:szCs w:val="11"/>
                <w:color w:val="auto"/>
              </w:rPr>
            </w:pPr>
          </w:p>
        </w:tc>
        <w:tc>
          <w:tcPr>
            <w:tcW w:w="140" w:type="dxa"/>
            <w:vAlign w:val="bottom"/>
            <w:tcBorders>
              <w:bottom w:val="single" w:sz="8" w:color="7B8FAA"/>
            </w:tcBorders>
            <w:vMerge w:val="continue"/>
          </w:tcPr>
          <w:p>
            <w:pPr>
              <w:spacing w:after="0"/>
              <w:rPr>
                <w:sz w:val="11"/>
                <w:szCs w:val="11"/>
                <w:color w:val="auto"/>
              </w:rPr>
            </w:pPr>
          </w:p>
        </w:tc>
        <w:tc>
          <w:tcPr>
            <w:tcW w:w="600" w:type="dxa"/>
            <w:vAlign w:val="bottom"/>
            <w:tcBorders>
              <w:bottom w:val="single" w:sz="8" w:color="7B8FAA"/>
            </w:tcBorders>
            <w:vMerge w:val="continue"/>
          </w:tcPr>
          <w:p>
            <w:pPr>
              <w:spacing w:after="0"/>
              <w:rPr>
                <w:sz w:val="11"/>
                <w:szCs w:val="11"/>
                <w:color w:val="auto"/>
              </w:rPr>
            </w:pPr>
          </w:p>
        </w:tc>
        <w:tc>
          <w:tcPr>
            <w:tcW w:w="160" w:type="dxa"/>
            <w:vAlign w:val="bottom"/>
            <w:tcBorders>
              <w:bottom w:val="single" w:sz="8" w:color="7B8FAA"/>
            </w:tcBorders>
            <w:vMerge w:val="continue"/>
          </w:tcPr>
          <w:p>
            <w:pPr>
              <w:spacing w:after="0"/>
              <w:rPr>
                <w:sz w:val="11"/>
                <w:szCs w:val="11"/>
                <w:color w:val="auto"/>
              </w:rPr>
            </w:pPr>
          </w:p>
        </w:tc>
        <w:tc>
          <w:tcPr>
            <w:tcW w:w="560" w:type="dxa"/>
            <w:vAlign w:val="bottom"/>
            <w:tcBorders>
              <w:bottom w:val="single" w:sz="8" w:color="7B8FAA"/>
            </w:tcBorders>
            <w:vMerge w:val="continue"/>
          </w:tcPr>
          <w:p>
            <w:pPr>
              <w:spacing w:after="0"/>
              <w:rPr>
                <w:sz w:val="11"/>
                <w:szCs w:val="11"/>
                <w:color w:val="auto"/>
              </w:rPr>
            </w:pPr>
          </w:p>
        </w:tc>
        <w:tc>
          <w:tcPr>
            <w:tcW w:w="120" w:type="dxa"/>
            <w:vAlign w:val="bottom"/>
            <w:tcBorders>
              <w:bottom w:val="single" w:sz="8" w:color="7B8FAA"/>
            </w:tcBorders>
            <w:vMerge w:val="continue"/>
          </w:tcPr>
          <w:p>
            <w:pPr>
              <w:spacing w:after="0"/>
              <w:rPr>
                <w:sz w:val="11"/>
                <w:szCs w:val="11"/>
                <w:color w:val="auto"/>
              </w:rPr>
            </w:pPr>
          </w:p>
        </w:tc>
        <w:tc>
          <w:tcPr>
            <w:tcW w:w="560" w:type="dxa"/>
            <w:vAlign w:val="bottom"/>
            <w:tcBorders>
              <w:bottom w:val="single" w:sz="8" w:color="7B8FAA"/>
            </w:tcBorders>
          </w:tcPr>
          <w:p>
            <w:pPr>
              <w:jc w:val="right"/>
              <w:spacing w:after="0" w:line="130" w:lineRule="exact"/>
              <w:rPr>
                <w:sz w:val="20"/>
                <w:szCs w:val="20"/>
                <w:color w:val="auto"/>
              </w:rPr>
            </w:pPr>
            <w:r>
              <w:rPr>
                <w:rFonts w:ascii="Arial" w:cs="Arial" w:eastAsia="Arial" w:hAnsi="Arial"/>
                <w:sz w:val="9"/>
                <w:szCs w:val="9"/>
                <w:color w:val="auto"/>
              </w:rPr>
              <w:t xml:space="preserve">41,124 </w:t>
            </w:r>
            <w:r>
              <w:rPr>
                <w:rFonts w:ascii="Arial" w:cs="Arial" w:eastAsia="Arial" w:hAnsi="Arial"/>
                <w:sz w:val="15"/>
                <w:szCs w:val="15"/>
                <w:color w:val="auto"/>
                <w:vertAlign w:val="superscript"/>
              </w:rPr>
              <w:t>​</w:t>
            </w:r>
          </w:p>
        </w:tc>
        <w:tc>
          <w:tcPr>
            <w:tcW w:w="80" w:type="dxa"/>
            <w:vAlign w:val="bottom"/>
            <w:tcBorders>
              <w:bottom w:val="single" w:sz="8" w:color="7B8FAA"/>
            </w:tcBorders>
            <w:vMerge w:val="continue"/>
          </w:tcPr>
          <w:p>
            <w:pPr>
              <w:spacing w:after="0"/>
              <w:rPr>
                <w:sz w:val="11"/>
                <w:szCs w:val="11"/>
                <w:color w:val="auto"/>
              </w:rPr>
            </w:pPr>
          </w:p>
        </w:tc>
        <w:tc>
          <w:tcPr>
            <w:tcW w:w="660" w:type="dxa"/>
            <w:vAlign w:val="bottom"/>
            <w:tcBorders>
              <w:bottom w:val="single" w:sz="8" w:color="7B8FAA"/>
            </w:tcBorders>
            <w:gridSpan w:val="2"/>
            <w:vMerge w:val="continue"/>
          </w:tcPr>
          <w:p>
            <w:pPr>
              <w:spacing w:after="0"/>
              <w:rPr>
                <w:sz w:val="11"/>
                <w:szCs w:val="11"/>
                <w:color w:val="auto"/>
              </w:rPr>
            </w:pPr>
          </w:p>
        </w:tc>
        <w:tc>
          <w:tcPr>
            <w:tcW w:w="560" w:type="dxa"/>
            <w:vAlign w:val="bottom"/>
            <w:tcBorders>
              <w:bottom w:val="single" w:sz="8" w:color="7B8FAA"/>
            </w:tcBorders>
            <w:gridSpan w:val="2"/>
            <w:vMerge w:val="continue"/>
          </w:tcPr>
          <w:p>
            <w:pPr>
              <w:spacing w:after="0"/>
              <w:rPr>
                <w:sz w:val="11"/>
                <w:szCs w:val="11"/>
                <w:color w:val="auto"/>
              </w:rPr>
            </w:pPr>
          </w:p>
        </w:tc>
        <w:tc>
          <w:tcPr>
            <w:tcW w:w="700" w:type="dxa"/>
            <w:vAlign w:val="bottom"/>
            <w:tcBorders>
              <w:bottom w:val="single" w:sz="8" w:color="7B8FAA"/>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140" w:type="dxa"/>
            <w:vAlign w:val="bottom"/>
            <w:tcBorders>
              <w:bottom w:val="single" w:sz="8" w:color="7B8FAA"/>
            </w:tcBorders>
          </w:tcPr>
          <w:p>
            <w:pPr>
              <w:spacing w:after="0"/>
              <w:rPr>
                <w:sz w:val="18"/>
                <w:szCs w:val="18"/>
                <w:color w:val="auto"/>
              </w:rPr>
            </w:pPr>
          </w:p>
        </w:tc>
        <w:tc>
          <w:tcPr>
            <w:tcW w:w="60" w:type="dxa"/>
            <w:vAlign w:val="bottom"/>
            <w:tcBorders>
              <w:bottom w:val="single" w:sz="8" w:color="7B8FAA"/>
            </w:tcBorders>
          </w:tcPr>
          <w:p>
            <w:pPr>
              <w:spacing w:after="0"/>
              <w:rPr>
                <w:sz w:val="18"/>
                <w:szCs w:val="18"/>
                <w:color w:val="auto"/>
              </w:rPr>
            </w:pPr>
          </w:p>
        </w:tc>
        <w:tc>
          <w:tcPr>
            <w:tcW w:w="1880" w:type="dxa"/>
            <w:vAlign w:val="bottom"/>
            <w:tcBorders>
              <w:bottom w:val="single" w:sz="8" w:color="7B8FAA"/>
            </w:tcBorders>
            <w:gridSpan w:val="3"/>
          </w:tcPr>
          <w:p>
            <w:pPr>
              <w:jc w:val="right"/>
              <w:spacing w:after="0" w:line="213" w:lineRule="exact"/>
              <w:rPr>
                <w:sz w:val="20"/>
                <w:szCs w:val="20"/>
                <w:color w:val="auto"/>
              </w:rPr>
            </w:pPr>
            <w:r>
              <w:rPr>
                <w:rFonts w:ascii="Arial" w:cs="Arial" w:eastAsia="Arial" w:hAnsi="Arial"/>
                <w:sz w:val="24"/>
                <w:szCs w:val="24"/>
                <w:color w:val="auto"/>
                <w:w w:val="98"/>
                <w:vertAlign w:val="superscript"/>
              </w:rPr>
              <w:t>​</w:t>
            </w:r>
            <w:r>
              <w:rPr>
                <w:rFonts w:ascii="Arial" w:cs="Arial" w:eastAsia="Arial" w:hAnsi="Arial"/>
                <w:sz w:val="12"/>
                <w:szCs w:val="12"/>
                <w:color w:val="auto"/>
                <w:w w:val="98"/>
              </w:rPr>
              <w:t>2020 Incentive Plan Stock Options</w:t>
            </w:r>
            <w:r>
              <w:rPr>
                <w:rFonts w:ascii="Arial" w:cs="Arial" w:eastAsia="Arial" w:hAnsi="Arial"/>
                <w:sz w:val="24"/>
                <w:szCs w:val="24"/>
                <w:color w:val="auto"/>
                <w:w w:val="98"/>
                <w:vertAlign w:val="superscript"/>
              </w:rPr>
              <w:t>​​​</w:t>
            </w:r>
          </w:p>
        </w:tc>
        <w:tc>
          <w:tcPr>
            <w:tcW w:w="1180" w:type="dxa"/>
            <w:vAlign w:val="bottom"/>
            <w:tcBorders>
              <w:bottom w:val="single" w:sz="8" w:color="7B8FAA"/>
            </w:tcBorders>
            <w:gridSpan w:val="2"/>
          </w:tcPr>
          <w:p>
            <w:pPr>
              <w:ind w:left="40"/>
              <w:spacing w:after="0" w:line="213"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r>
              <w:rPr>
                <w:rFonts w:ascii="Arial" w:cs="Arial" w:eastAsia="Arial" w:hAnsi="Arial"/>
                <w:sz w:val="24"/>
                <w:szCs w:val="24"/>
                <w:color w:val="auto"/>
                <w:vertAlign w:val="superscript"/>
              </w:rPr>
              <w:t>​​</w:t>
            </w:r>
          </w:p>
        </w:tc>
        <w:tc>
          <w:tcPr>
            <w:tcW w:w="600" w:type="dxa"/>
            <w:vAlign w:val="bottom"/>
            <w:tcBorders>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B8FAA"/>
            </w:tcBorders>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tcPr>
          <w:p>
            <w:pPr>
              <w:jc w:val="right"/>
              <w:spacing w:after="0" w:line="213"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w:t>
            </w:r>
          </w:p>
        </w:tc>
        <w:tc>
          <w:tcPr>
            <w:tcW w:w="80" w:type="dxa"/>
            <w:vAlign w:val="bottom"/>
            <w:tcBorders>
              <w:bottom w:val="single" w:sz="8" w:color="7B8FAA"/>
            </w:tcBorders>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7B8FAA"/>
            </w:tcBorders>
            <w:gridSpan w:val="2"/>
          </w:tcPr>
          <w:p>
            <w:pPr>
              <w:jc w:val="right"/>
              <w:spacing w:after="0" w:line="213" w:lineRule="exact"/>
              <w:rPr>
                <w:sz w:val="20"/>
                <w:szCs w:val="20"/>
                <w:color w:val="auto"/>
              </w:rPr>
            </w:pPr>
            <w:r>
              <w:rPr>
                <w:rFonts w:ascii="Arial" w:cs="Arial" w:eastAsia="Arial" w:hAnsi="Arial"/>
                <w:sz w:val="12"/>
                <w:szCs w:val="12"/>
                <w:color w:val="auto"/>
              </w:rPr>
              <w:t>81,676</w:t>
            </w:r>
            <w:r>
              <w:rPr>
                <w:rFonts w:ascii="Arial" w:cs="Arial" w:eastAsia="Arial" w:hAnsi="Arial"/>
                <w:sz w:val="15"/>
                <w:szCs w:val="15"/>
                <w:color w:val="auto"/>
                <w:vertAlign w:val="superscript"/>
              </w:rPr>
              <w:t>(3)</w:t>
            </w:r>
            <w:r>
              <w:rPr>
                <w:rFonts w:ascii="Arial" w:cs="Arial" w:eastAsia="Arial" w:hAnsi="Arial"/>
                <w:sz w:val="24"/>
                <w:szCs w:val="24"/>
                <w:color w:val="auto"/>
                <w:vertAlign w:val="superscript"/>
              </w:rPr>
              <w:t>​ ​</w:t>
            </w:r>
          </w:p>
        </w:tc>
        <w:tc>
          <w:tcPr>
            <w:tcW w:w="560" w:type="dxa"/>
            <w:vAlign w:val="bottom"/>
            <w:tcBorders>
              <w:bottom w:val="single" w:sz="8" w:color="7B8FAA"/>
            </w:tcBorders>
            <w:gridSpan w:val="2"/>
          </w:tcPr>
          <w:p>
            <w:pPr>
              <w:jc w:val="right"/>
              <w:spacing w:after="0" w:line="213" w:lineRule="exact"/>
              <w:rPr>
                <w:sz w:val="20"/>
                <w:szCs w:val="20"/>
                <w:color w:val="auto"/>
              </w:rPr>
            </w:pPr>
            <w:r>
              <w:rPr>
                <w:rFonts w:ascii="Arial" w:cs="Arial" w:eastAsia="Arial" w:hAnsi="Arial"/>
                <w:sz w:val="12"/>
                <w:szCs w:val="12"/>
                <w:color w:val="auto"/>
              </w:rPr>
              <w:t xml:space="preserve">14.59 </w:t>
            </w:r>
            <w:r>
              <w:rPr>
                <w:rFonts w:ascii="Arial" w:cs="Arial" w:eastAsia="Arial" w:hAnsi="Arial"/>
                <w:sz w:val="24"/>
                <w:szCs w:val="24"/>
                <w:color w:val="auto"/>
                <w:vertAlign w:val="superscript"/>
              </w:rPr>
              <w:t>​ ​</w:t>
            </w:r>
          </w:p>
        </w:tc>
        <w:tc>
          <w:tcPr>
            <w:tcW w:w="700" w:type="dxa"/>
            <w:vAlign w:val="bottom"/>
            <w:tcBorders>
              <w:bottom w:val="single" w:sz="8" w:color="7B8FAA"/>
            </w:tcBorders>
          </w:tcPr>
          <w:p>
            <w:pPr>
              <w:jc w:val="right"/>
              <w:spacing w:after="0"/>
              <w:rPr>
                <w:sz w:val="20"/>
                <w:szCs w:val="20"/>
                <w:color w:val="auto"/>
              </w:rPr>
            </w:pPr>
            <w:r>
              <w:rPr>
                <w:rFonts w:ascii="Arial" w:cs="Arial" w:eastAsia="Arial" w:hAnsi="Arial"/>
                <w:sz w:val="12"/>
                <w:szCs w:val="12"/>
                <w:color w:val="auto"/>
              </w:rPr>
              <w:t>601,089</w:t>
            </w:r>
          </w:p>
        </w:tc>
        <w:tc>
          <w:tcPr>
            <w:tcW w:w="0" w:type="dxa"/>
            <w:vAlign w:val="bottom"/>
          </w:tcPr>
          <w:p>
            <w:pPr>
              <w:spacing w:after="0"/>
              <w:rPr>
                <w:sz w:val="1"/>
                <w:szCs w:val="1"/>
                <w:color w:val="auto"/>
              </w:rPr>
            </w:pPr>
          </w:p>
        </w:tc>
      </w:tr>
      <w:tr>
        <w:trPr>
          <w:trHeight w:val="227"/>
        </w:trPr>
        <w:tc>
          <w:tcPr>
            <w:tcW w:w="1140" w:type="dxa"/>
            <w:vAlign w:val="bottom"/>
          </w:tcPr>
          <w:p>
            <w:pPr>
              <w:ind w:left="100"/>
              <w:spacing w:after="0"/>
              <w:rPr>
                <w:sz w:val="20"/>
                <w:szCs w:val="20"/>
                <w:color w:val="auto"/>
              </w:rPr>
            </w:pPr>
            <w:r>
              <w:rPr>
                <w:rFonts w:ascii="Arial" w:cs="Arial" w:eastAsia="Arial" w:hAnsi="Arial"/>
                <w:sz w:val="12"/>
                <w:szCs w:val="12"/>
                <w:color w:val="auto"/>
              </w:rPr>
              <w:t>Michael P. Rutz</w:t>
            </w:r>
          </w:p>
        </w:tc>
        <w:tc>
          <w:tcPr>
            <w:tcW w:w="60" w:type="dxa"/>
            <w:vAlign w:val="bottom"/>
          </w:tcPr>
          <w:p>
            <w:pPr>
              <w:spacing w:after="0"/>
              <w:rPr>
                <w:sz w:val="19"/>
                <w:szCs w:val="19"/>
                <w:color w:val="auto"/>
              </w:rPr>
            </w:pPr>
          </w:p>
        </w:tc>
        <w:tc>
          <w:tcPr>
            <w:tcW w:w="120" w:type="dxa"/>
            <w:vAlign w:val="bottom"/>
            <w:tcBorders>
              <w:bottom w:val="single" w:sz="8" w:color="7B8FAA"/>
            </w:tcBorders>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Borders>
              <w:bottom w:val="single" w:sz="8" w:color="7B8FAA"/>
            </w:tcBorders>
            <w:shd w:val="clear" w:color="auto" w:fill="CCEEFF"/>
          </w:tcPr>
          <w:p>
            <w:pPr>
              <w:jc w:val="center"/>
              <w:ind w:right="39"/>
              <w:spacing w:after="0"/>
              <w:rPr>
                <w:sz w:val="20"/>
                <w:szCs w:val="20"/>
                <w:color w:val="auto"/>
              </w:rPr>
            </w:pPr>
            <w:r>
              <w:rPr>
                <w:rFonts w:ascii="Arial" w:cs="Arial" w:eastAsia="Arial" w:hAnsi="Arial"/>
                <w:sz w:val="12"/>
                <w:szCs w:val="12"/>
                <w:color w:val="auto"/>
                <w:w w:val="94"/>
              </w:rPr>
              <w:t>Annual Incentive Plan</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7B8FAA"/>
            </w:tcBorders>
            <w:gridSpan w:val="2"/>
            <w:shd w:val="clear" w:color="auto" w:fill="CCEEFF"/>
          </w:tcPr>
          <w:p>
            <w:pPr>
              <w:ind w:left="40"/>
              <w:spacing w:after="0" w:line="227"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2/20/2024</w:t>
            </w:r>
            <w:r>
              <w:rPr>
                <w:rFonts w:ascii="Arial" w:cs="Arial" w:eastAsia="Arial" w:hAnsi="Arial"/>
                <w:sz w:val="24"/>
                <w:szCs w:val="24"/>
                <w:color w:val="auto"/>
                <w:vertAlign w:val="superscript"/>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206,607</w:t>
            </w:r>
          </w:p>
        </w:tc>
        <w:tc>
          <w:tcPr>
            <w:tcW w:w="14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295,154</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590,307</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w:t>
            </w:r>
          </w:p>
        </w:tc>
        <w:tc>
          <w:tcPr>
            <w:tcW w:w="8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tcBorders>
              <w:bottom w:val="single" w:sz="8" w:color="7B8FAA"/>
            </w:tcBorders>
            <w:gridSpan w:val="2"/>
            <w:shd w:val="clear" w:color="auto" w:fill="CCEEFF"/>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3"/>
        </w:trPr>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vMerge w:val="restart"/>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vMerge w:val="restart"/>
            <w:shd w:val="clear" w:color="auto" w:fill="CCEEFF"/>
          </w:tcPr>
          <w:p>
            <w:pPr>
              <w:jc w:val="center"/>
              <w:ind w:right="39"/>
              <w:spacing w:after="0"/>
              <w:rPr>
                <w:sz w:val="20"/>
                <w:szCs w:val="20"/>
                <w:color w:val="auto"/>
              </w:rPr>
            </w:pPr>
            <w:r>
              <w:rPr>
                <w:rFonts w:ascii="Arial" w:cs="Arial" w:eastAsia="Arial" w:hAnsi="Arial"/>
                <w:sz w:val="12"/>
                <w:szCs w:val="12"/>
                <w:color w:val="auto"/>
                <w:w w:val="95"/>
              </w:rPr>
              <w:t>2020 Incentive Plan RSUs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vMerge w:val="restart"/>
            <w:shd w:val="clear" w:color="auto" w:fill="CCEEFF"/>
          </w:tcPr>
          <w:p>
            <w:pPr>
              <w:ind w:left="40"/>
              <w:spacing w:after="0" w:line="252"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r>
              <w:rPr>
                <w:rFonts w:ascii="Arial" w:cs="Arial" w:eastAsia="Arial" w:hAnsi="Arial"/>
                <w:sz w:val="24"/>
                <w:szCs w:val="24"/>
                <w:color w:val="auto"/>
                <w:vertAlign w:val="superscript"/>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(2)</w:t>
            </w: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gridSpan w:val="2"/>
            <w:vMerge w:val="restart"/>
            <w:shd w:val="clear" w:color="auto" w:fill="CCEEFF"/>
          </w:tcPr>
          <w:p>
            <w:pPr>
              <w:jc w:val="right"/>
              <w:spacing w:after="0" w:line="25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gridSpan w:val="2"/>
            <w:vMerge w:val="restart"/>
            <w:shd w:val="clear" w:color="auto" w:fill="CCEEFF"/>
          </w:tcPr>
          <w:p>
            <w:pPr>
              <w:jc w:val="right"/>
              <w:spacing w:after="0" w:line="25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499,999</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7B8FAA"/>
            </w:tcBorders>
            <w:vMerge w:val="continue"/>
            <w:shd w:val="clear" w:color="auto" w:fill="CCEEFF"/>
          </w:tcPr>
          <w:p>
            <w:pPr>
              <w:spacing w:after="0"/>
              <w:rPr>
                <w:sz w:val="11"/>
                <w:szCs w:val="11"/>
                <w:color w:val="auto"/>
              </w:rPr>
            </w:pPr>
          </w:p>
        </w:tc>
        <w:tc>
          <w:tcPr>
            <w:tcW w:w="1640" w:type="dxa"/>
            <w:vAlign w:val="bottom"/>
            <w:tcBorders>
              <w:bottom w:val="single" w:sz="8" w:color="7B8FAA"/>
            </w:tcBorders>
            <w:vMerge w:val="continue"/>
            <w:shd w:val="clear" w:color="auto" w:fill="CCEEFF"/>
          </w:tcPr>
          <w:p>
            <w:pPr>
              <w:spacing w:after="0"/>
              <w:rPr>
                <w:sz w:val="11"/>
                <w:szCs w:val="11"/>
                <w:color w:val="auto"/>
              </w:rPr>
            </w:pPr>
          </w:p>
        </w:tc>
        <w:tc>
          <w:tcPr>
            <w:tcW w:w="120" w:type="dxa"/>
            <w:vAlign w:val="bottom"/>
            <w:tcBorders>
              <w:bottom w:val="single" w:sz="8" w:color="7B8FAA"/>
            </w:tcBorders>
            <w:vMerge w:val="continue"/>
            <w:shd w:val="clear" w:color="auto" w:fill="CCEEFF"/>
          </w:tcPr>
          <w:p>
            <w:pPr>
              <w:spacing w:after="0"/>
              <w:rPr>
                <w:sz w:val="11"/>
                <w:szCs w:val="11"/>
                <w:color w:val="auto"/>
              </w:rPr>
            </w:pPr>
          </w:p>
        </w:tc>
        <w:tc>
          <w:tcPr>
            <w:tcW w:w="1180" w:type="dxa"/>
            <w:vAlign w:val="bottom"/>
            <w:tcBorders>
              <w:bottom w:val="single" w:sz="8" w:color="7B8FAA"/>
            </w:tcBorders>
            <w:gridSpan w:val="2"/>
            <w:vMerge w:val="continue"/>
            <w:shd w:val="clear" w:color="auto" w:fill="CCEEFF"/>
          </w:tcPr>
          <w:p>
            <w:pPr>
              <w:spacing w:after="0"/>
              <w:rPr>
                <w:sz w:val="11"/>
                <w:szCs w:val="11"/>
                <w:color w:val="auto"/>
              </w:rPr>
            </w:pPr>
          </w:p>
        </w:tc>
        <w:tc>
          <w:tcPr>
            <w:tcW w:w="600" w:type="dxa"/>
            <w:vAlign w:val="bottom"/>
            <w:tcBorders>
              <w:bottom w:val="single" w:sz="8" w:color="7B8FAA"/>
            </w:tcBorders>
            <w:vMerge w:val="continue"/>
            <w:shd w:val="clear" w:color="auto" w:fill="CCEEFF"/>
          </w:tcPr>
          <w:p>
            <w:pPr>
              <w:spacing w:after="0"/>
              <w:rPr>
                <w:sz w:val="11"/>
                <w:szCs w:val="11"/>
                <w:color w:val="auto"/>
              </w:rPr>
            </w:pPr>
          </w:p>
        </w:tc>
        <w:tc>
          <w:tcPr>
            <w:tcW w:w="140" w:type="dxa"/>
            <w:vAlign w:val="bottom"/>
            <w:tcBorders>
              <w:bottom w:val="single" w:sz="8" w:color="7B8FAA"/>
            </w:tcBorders>
            <w:vMerge w:val="continue"/>
            <w:shd w:val="clear" w:color="auto" w:fill="CCEEFF"/>
          </w:tcPr>
          <w:p>
            <w:pPr>
              <w:spacing w:after="0"/>
              <w:rPr>
                <w:sz w:val="11"/>
                <w:szCs w:val="11"/>
                <w:color w:val="auto"/>
              </w:rPr>
            </w:pPr>
          </w:p>
        </w:tc>
        <w:tc>
          <w:tcPr>
            <w:tcW w:w="600" w:type="dxa"/>
            <w:vAlign w:val="bottom"/>
            <w:tcBorders>
              <w:bottom w:val="single" w:sz="8" w:color="7B8FAA"/>
            </w:tcBorders>
            <w:vMerge w:val="continue"/>
            <w:shd w:val="clear" w:color="auto" w:fill="CCEEFF"/>
          </w:tcPr>
          <w:p>
            <w:pPr>
              <w:spacing w:after="0"/>
              <w:rPr>
                <w:sz w:val="11"/>
                <w:szCs w:val="11"/>
                <w:color w:val="auto"/>
              </w:rPr>
            </w:pPr>
          </w:p>
        </w:tc>
        <w:tc>
          <w:tcPr>
            <w:tcW w:w="160" w:type="dxa"/>
            <w:vAlign w:val="bottom"/>
            <w:tcBorders>
              <w:bottom w:val="single" w:sz="8" w:color="7B8FAA"/>
            </w:tcBorders>
            <w:vMerge w:val="continue"/>
            <w:shd w:val="clear" w:color="auto" w:fill="CCEEFF"/>
          </w:tcPr>
          <w:p>
            <w:pPr>
              <w:spacing w:after="0"/>
              <w:rPr>
                <w:sz w:val="11"/>
                <w:szCs w:val="11"/>
                <w:color w:val="auto"/>
              </w:rPr>
            </w:pPr>
          </w:p>
        </w:tc>
        <w:tc>
          <w:tcPr>
            <w:tcW w:w="560" w:type="dxa"/>
            <w:vAlign w:val="bottom"/>
            <w:tcBorders>
              <w:bottom w:val="single" w:sz="8" w:color="7B8FAA"/>
            </w:tcBorders>
            <w:vMerge w:val="continue"/>
            <w:shd w:val="clear" w:color="auto" w:fill="CCEEFF"/>
          </w:tcPr>
          <w:p>
            <w:pPr>
              <w:spacing w:after="0"/>
              <w:rPr>
                <w:sz w:val="11"/>
                <w:szCs w:val="11"/>
                <w:color w:val="auto"/>
              </w:rPr>
            </w:pPr>
          </w:p>
        </w:tc>
        <w:tc>
          <w:tcPr>
            <w:tcW w:w="120" w:type="dxa"/>
            <w:vAlign w:val="bottom"/>
            <w:tcBorders>
              <w:bottom w:val="single" w:sz="8" w:color="7B8FAA"/>
            </w:tcBorders>
            <w:vMerge w:val="continue"/>
            <w:shd w:val="clear" w:color="auto" w:fill="CCEEFF"/>
          </w:tcPr>
          <w:p>
            <w:pPr>
              <w:spacing w:after="0"/>
              <w:rPr>
                <w:sz w:val="11"/>
                <w:szCs w:val="11"/>
                <w:color w:val="auto"/>
              </w:rPr>
            </w:pPr>
          </w:p>
        </w:tc>
        <w:tc>
          <w:tcPr>
            <w:tcW w:w="560" w:type="dxa"/>
            <w:vAlign w:val="bottom"/>
            <w:tcBorders>
              <w:bottom w:val="single" w:sz="8" w:color="7B8FAA"/>
            </w:tcBorders>
            <w:shd w:val="clear" w:color="auto" w:fill="CCEEFF"/>
          </w:tcPr>
          <w:p>
            <w:pPr>
              <w:jc w:val="right"/>
              <w:spacing w:after="0" w:line="130" w:lineRule="exact"/>
              <w:rPr>
                <w:sz w:val="20"/>
                <w:szCs w:val="20"/>
                <w:color w:val="auto"/>
              </w:rPr>
            </w:pPr>
            <w:r>
              <w:rPr>
                <w:rFonts w:ascii="Arial" w:cs="Arial" w:eastAsia="Arial" w:hAnsi="Arial"/>
                <w:sz w:val="9"/>
                <w:szCs w:val="9"/>
                <w:color w:val="auto"/>
              </w:rPr>
              <w:t xml:space="preserve">34,270 </w:t>
            </w:r>
            <w:r>
              <w:rPr>
                <w:rFonts w:ascii="Arial" w:cs="Arial" w:eastAsia="Arial" w:hAnsi="Arial"/>
                <w:sz w:val="15"/>
                <w:szCs w:val="15"/>
                <w:color w:val="auto"/>
                <w:vertAlign w:val="superscript"/>
              </w:rPr>
              <w:t>​</w:t>
            </w:r>
          </w:p>
        </w:tc>
        <w:tc>
          <w:tcPr>
            <w:tcW w:w="80" w:type="dxa"/>
            <w:vAlign w:val="bottom"/>
            <w:tcBorders>
              <w:bottom w:val="single" w:sz="8" w:color="7B8FAA"/>
            </w:tcBorders>
            <w:vMerge w:val="continue"/>
            <w:shd w:val="clear" w:color="auto" w:fill="CCEEFF"/>
          </w:tcPr>
          <w:p>
            <w:pPr>
              <w:spacing w:after="0"/>
              <w:rPr>
                <w:sz w:val="11"/>
                <w:szCs w:val="11"/>
                <w:color w:val="auto"/>
              </w:rPr>
            </w:pPr>
          </w:p>
        </w:tc>
        <w:tc>
          <w:tcPr>
            <w:tcW w:w="660" w:type="dxa"/>
            <w:vAlign w:val="bottom"/>
            <w:tcBorders>
              <w:bottom w:val="single" w:sz="8" w:color="7B8FAA"/>
            </w:tcBorders>
            <w:gridSpan w:val="2"/>
            <w:vMerge w:val="continue"/>
            <w:shd w:val="clear" w:color="auto" w:fill="CCEEFF"/>
          </w:tcPr>
          <w:p>
            <w:pPr>
              <w:spacing w:after="0"/>
              <w:rPr>
                <w:sz w:val="11"/>
                <w:szCs w:val="11"/>
                <w:color w:val="auto"/>
              </w:rPr>
            </w:pPr>
          </w:p>
        </w:tc>
        <w:tc>
          <w:tcPr>
            <w:tcW w:w="560" w:type="dxa"/>
            <w:vAlign w:val="bottom"/>
            <w:tcBorders>
              <w:bottom w:val="single" w:sz="8" w:color="7B8FAA"/>
            </w:tcBorders>
            <w:gridSpan w:val="2"/>
            <w:vMerge w:val="continue"/>
            <w:shd w:val="clear" w:color="auto" w:fill="CCEEFF"/>
          </w:tcPr>
          <w:p>
            <w:pPr>
              <w:spacing w:after="0"/>
              <w:rPr>
                <w:sz w:val="11"/>
                <w:szCs w:val="11"/>
                <w:color w:val="auto"/>
              </w:rPr>
            </w:pPr>
          </w:p>
        </w:tc>
        <w:tc>
          <w:tcPr>
            <w:tcW w:w="700" w:type="dxa"/>
            <w:vAlign w:val="bottom"/>
            <w:tcBorders>
              <w:bottom w:val="single" w:sz="8" w:color="7B8FAA"/>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1140" w:type="dxa"/>
            <w:vAlign w:val="bottom"/>
            <w:tcBorders>
              <w:bottom w:val="single" w:sz="8" w:color="7B8FAA"/>
            </w:tcBorders>
          </w:tcPr>
          <w:p>
            <w:pPr>
              <w:spacing w:after="0"/>
              <w:rPr>
                <w:sz w:val="18"/>
                <w:szCs w:val="18"/>
                <w:color w:val="auto"/>
              </w:rPr>
            </w:pPr>
          </w:p>
        </w:tc>
        <w:tc>
          <w:tcPr>
            <w:tcW w:w="60" w:type="dxa"/>
            <w:vAlign w:val="bottom"/>
            <w:tcBorders>
              <w:bottom w:val="single" w:sz="8" w:color="7B8FAA"/>
            </w:tcBorders>
          </w:tcPr>
          <w:p>
            <w:pPr>
              <w:spacing w:after="0"/>
              <w:rPr>
                <w:sz w:val="18"/>
                <w:szCs w:val="18"/>
                <w:color w:val="auto"/>
              </w:rPr>
            </w:pPr>
          </w:p>
        </w:tc>
        <w:tc>
          <w:tcPr>
            <w:tcW w:w="1760" w:type="dxa"/>
            <w:vAlign w:val="bottom"/>
            <w:tcBorders>
              <w:bottom w:val="single" w:sz="8" w:color="7B8FAA"/>
            </w:tcBorders>
            <w:gridSpan w:val="2"/>
            <w:shd w:val="clear" w:color="auto" w:fill="CCEEFF"/>
          </w:tcPr>
          <w:p>
            <w:pPr>
              <w:spacing w:after="0" w:line="213" w:lineRule="exact"/>
              <w:rPr>
                <w:sz w:val="20"/>
                <w:szCs w:val="20"/>
                <w:color w:val="auto"/>
              </w:rPr>
            </w:pPr>
            <w:r>
              <w:rPr>
                <w:rFonts w:ascii="Arial" w:cs="Arial" w:eastAsia="Arial" w:hAnsi="Arial"/>
                <w:sz w:val="24"/>
                <w:szCs w:val="24"/>
                <w:color w:val="auto"/>
                <w:w w:val="98"/>
                <w:vertAlign w:val="superscript"/>
              </w:rPr>
              <w:t>​</w:t>
            </w:r>
            <w:r>
              <w:rPr>
                <w:rFonts w:ascii="Arial" w:cs="Arial" w:eastAsia="Arial" w:hAnsi="Arial"/>
                <w:sz w:val="12"/>
                <w:szCs w:val="12"/>
                <w:color w:val="auto"/>
                <w:w w:val="98"/>
              </w:rPr>
              <w:t>2020 Incentive Plan Stock Option</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7B8FAA"/>
            </w:tcBorders>
            <w:gridSpan w:val="2"/>
            <w:shd w:val="clear" w:color="auto" w:fill="CCEEFF"/>
          </w:tcPr>
          <w:p>
            <w:pPr>
              <w:ind w:left="40"/>
              <w:spacing w:after="0" w:line="213"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r>
              <w:rPr>
                <w:rFonts w:ascii="Arial" w:cs="Arial" w:eastAsia="Arial" w:hAnsi="Arial"/>
                <w:sz w:val="24"/>
                <w:szCs w:val="24"/>
                <w:color w:val="auto"/>
                <w:vertAlign w:val="superscript"/>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7B8FAA"/>
            </w:tcBorders>
            <w:shd w:val="clear" w:color="auto" w:fill="CCEEFF"/>
          </w:tcPr>
          <w:p>
            <w:pPr>
              <w:jc w:val="right"/>
              <w:spacing w:after="0" w:line="213"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w:t>
            </w:r>
          </w:p>
        </w:tc>
        <w:tc>
          <w:tcPr>
            <w:tcW w:w="8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7B8FAA"/>
            </w:tcBorders>
            <w:gridSpan w:val="2"/>
            <w:shd w:val="clear" w:color="auto" w:fill="CCEEFF"/>
          </w:tcPr>
          <w:p>
            <w:pPr>
              <w:jc w:val="right"/>
              <w:spacing w:after="0" w:line="213" w:lineRule="exact"/>
              <w:rPr>
                <w:sz w:val="20"/>
                <w:szCs w:val="20"/>
                <w:color w:val="auto"/>
              </w:rPr>
            </w:pPr>
            <w:r>
              <w:rPr>
                <w:rFonts w:ascii="Arial" w:cs="Arial" w:eastAsia="Arial" w:hAnsi="Arial"/>
                <w:sz w:val="12"/>
                <w:szCs w:val="12"/>
                <w:color w:val="auto"/>
              </w:rPr>
              <w:t>68,063</w:t>
            </w:r>
            <w:r>
              <w:rPr>
                <w:rFonts w:ascii="Arial" w:cs="Arial" w:eastAsia="Arial" w:hAnsi="Arial"/>
                <w:sz w:val="15"/>
                <w:szCs w:val="15"/>
                <w:color w:val="auto"/>
                <w:vertAlign w:val="superscript"/>
              </w:rPr>
              <w:t>(3)</w:t>
            </w:r>
            <w:r>
              <w:rPr>
                <w:rFonts w:ascii="Arial" w:cs="Arial" w:eastAsia="Arial" w:hAnsi="Arial"/>
                <w:sz w:val="24"/>
                <w:szCs w:val="24"/>
                <w:color w:val="auto"/>
                <w:vertAlign w:val="superscript"/>
              </w:rPr>
              <w:t>​ ​</w:t>
            </w:r>
          </w:p>
        </w:tc>
        <w:tc>
          <w:tcPr>
            <w:tcW w:w="560" w:type="dxa"/>
            <w:vAlign w:val="bottom"/>
            <w:tcBorders>
              <w:bottom w:val="single" w:sz="8" w:color="7B8FAA"/>
            </w:tcBorders>
            <w:gridSpan w:val="2"/>
            <w:shd w:val="clear" w:color="auto" w:fill="CCEEFF"/>
          </w:tcPr>
          <w:p>
            <w:pPr>
              <w:jc w:val="right"/>
              <w:spacing w:after="0" w:line="213" w:lineRule="exact"/>
              <w:rPr>
                <w:sz w:val="20"/>
                <w:szCs w:val="20"/>
                <w:color w:val="auto"/>
              </w:rPr>
            </w:pPr>
            <w:r>
              <w:rPr>
                <w:rFonts w:ascii="Arial" w:cs="Arial" w:eastAsia="Arial" w:hAnsi="Arial"/>
                <w:sz w:val="12"/>
                <w:szCs w:val="12"/>
                <w:color w:val="auto"/>
              </w:rPr>
              <w:t xml:space="preserve">14.59 </w:t>
            </w:r>
            <w:r>
              <w:rPr>
                <w:rFonts w:ascii="Arial" w:cs="Arial" w:eastAsia="Arial" w:hAnsi="Arial"/>
                <w:sz w:val="24"/>
                <w:szCs w:val="24"/>
                <w:color w:val="auto"/>
                <w:vertAlign w:val="superscript"/>
              </w:rPr>
              <w:t>​ ​</w:t>
            </w:r>
          </w:p>
        </w:tc>
        <w:tc>
          <w:tcPr>
            <w:tcW w:w="7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2"/>
                <w:szCs w:val="12"/>
                <w:color w:val="auto"/>
              </w:rPr>
              <w:t>500,905</w:t>
            </w:r>
          </w:p>
        </w:tc>
        <w:tc>
          <w:tcPr>
            <w:tcW w:w="0" w:type="dxa"/>
            <w:vAlign w:val="bottom"/>
          </w:tcPr>
          <w:p>
            <w:pPr>
              <w:spacing w:after="0"/>
              <w:rPr>
                <w:sz w:val="1"/>
                <w:szCs w:val="1"/>
                <w:color w:val="auto"/>
              </w:rPr>
            </w:pPr>
          </w:p>
        </w:tc>
      </w:tr>
      <w:tr>
        <w:trPr>
          <w:trHeight w:val="227"/>
        </w:trPr>
        <w:tc>
          <w:tcPr>
            <w:tcW w:w="1140" w:type="dxa"/>
            <w:vAlign w:val="bottom"/>
          </w:tcPr>
          <w:p>
            <w:pPr>
              <w:ind w:left="100"/>
              <w:spacing w:after="0"/>
              <w:rPr>
                <w:sz w:val="20"/>
                <w:szCs w:val="20"/>
                <w:color w:val="auto"/>
              </w:rPr>
            </w:pPr>
            <w:r>
              <w:rPr>
                <w:rFonts w:ascii="Arial" w:cs="Arial" w:eastAsia="Arial" w:hAnsi="Arial"/>
                <w:sz w:val="12"/>
                <w:szCs w:val="12"/>
                <w:color w:val="auto"/>
              </w:rPr>
              <w:t>Alexander Dimitrief</w:t>
            </w:r>
          </w:p>
        </w:tc>
        <w:tc>
          <w:tcPr>
            <w:tcW w:w="1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Pr>
          <w:p>
            <w:pPr>
              <w:jc w:val="center"/>
              <w:ind w:right="39"/>
              <w:spacing w:after="0"/>
              <w:rPr>
                <w:sz w:val="20"/>
                <w:szCs w:val="20"/>
                <w:color w:val="auto"/>
              </w:rPr>
            </w:pPr>
            <w:r>
              <w:rPr>
                <w:rFonts w:ascii="Arial" w:cs="Arial" w:eastAsia="Arial" w:hAnsi="Arial"/>
                <w:sz w:val="12"/>
                <w:szCs w:val="12"/>
                <w:color w:val="auto"/>
                <w:w w:val="94"/>
              </w:rPr>
              <w:t>Annual Incentive Plan</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gridSpan w:val="3"/>
          </w:tcPr>
          <w:p>
            <w:pPr>
              <w:jc w:val="right"/>
              <w:spacing w:after="0" w:line="227"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2/20/2024</w:t>
            </w:r>
            <w:r>
              <w:rPr>
                <w:rFonts w:ascii="Arial" w:cs="Arial" w:eastAsia="Arial" w:hAnsi="Arial"/>
                <w:sz w:val="24"/>
                <w:szCs w:val="24"/>
                <w:color w:val="auto"/>
                <w:vertAlign w:val="superscript"/>
              </w:rPr>
              <w:t>​​</w:t>
            </w:r>
            <w:r>
              <w:rPr>
                <w:rFonts w:ascii="Arial" w:cs="Arial" w:eastAsia="Arial" w:hAnsi="Arial"/>
                <w:sz w:val="12"/>
                <w:szCs w:val="12"/>
                <w:color w:val="auto"/>
              </w:rPr>
              <w:t xml:space="preserve">  210,000</w:t>
            </w:r>
          </w:p>
        </w:tc>
        <w:tc>
          <w:tcPr>
            <w:tcW w:w="1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300,000</w:t>
            </w:r>
          </w:p>
        </w:tc>
        <w:tc>
          <w:tcPr>
            <w:tcW w:w="160" w:type="dxa"/>
            <w:vAlign w:val="bottom"/>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600,000</w:t>
            </w:r>
          </w:p>
        </w:tc>
        <w:tc>
          <w:tcPr>
            <w:tcW w:w="120" w:type="dxa"/>
            <w:vAlign w:val="bottom"/>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line="22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w:t>
            </w:r>
          </w:p>
        </w:tc>
        <w:tc>
          <w:tcPr>
            <w:tcW w:w="80" w:type="dxa"/>
            <w:vAlign w:val="bottom"/>
          </w:tcPr>
          <w:p>
            <w:pPr>
              <w:ind w:lef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gridSpan w:val="2"/>
          </w:tcPr>
          <w:p>
            <w:pPr>
              <w:jc w:val="right"/>
              <w:spacing w:after="0" w:line="227"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7B8FAA"/>
              <w:bottom w:val="single" w:sz="8" w:color="7B8FAA"/>
            </w:tcBorders>
          </w:tcPr>
          <w:p>
            <w:pPr>
              <w:jc w:val="right"/>
              <w:ind w:right="19"/>
              <w:spacing w:after="0"/>
              <w:rPr>
                <w:sz w:val="20"/>
                <w:szCs w:val="20"/>
                <w:color w:val="auto"/>
              </w:rPr>
            </w:pPr>
            <w:r>
              <w:rPr>
                <w:rFonts w:ascii="Arial" w:cs="Arial" w:eastAsia="Arial" w:hAnsi="Arial"/>
                <w:sz w:val="12"/>
                <w:szCs w:val="12"/>
                <w:color w:val="auto"/>
              </w:rPr>
              <w:t>​</w:t>
            </w:r>
          </w:p>
        </w:tc>
        <w:tc>
          <w:tcPr>
            <w:tcW w:w="1640" w:type="dxa"/>
            <w:vAlign w:val="bottom"/>
            <w:tcBorders>
              <w:top w:val="single" w:sz="8" w:color="7B8FAA"/>
              <w:bottom w:val="single" w:sz="8" w:color="7B8FAA"/>
            </w:tcBorders>
          </w:tcPr>
          <w:p>
            <w:pPr>
              <w:jc w:val="center"/>
              <w:ind w:right="39"/>
              <w:spacing w:after="0"/>
              <w:rPr>
                <w:sz w:val="20"/>
                <w:szCs w:val="20"/>
                <w:color w:val="auto"/>
              </w:rPr>
            </w:pPr>
            <w:r>
              <w:rPr>
                <w:rFonts w:ascii="Arial" w:cs="Arial" w:eastAsia="Arial" w:hAnsi="Arial"/>
                <w:sz w:val="12"/>
                <w:szCs w:val="12"/>
                <w:color w:val="auto"/>
                <w:w w:val="95"/>
              </w:rPr>
              <w:t>2020 Incentive Plan RSUs</w:t>
            </w:r>
          </w:p>
        </w:tc>
        <w:tc>
          <w:tcPr>
            <w:tcW w:w="120" w:type="dxa"/>
            <w:vAlign w:val="bottom"/>
            <w:tcBorders>
              <w:top w:val="single" w:sz="8" w:color="7B8FAA"/>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7B8FAA"/>
              <w:bottom w:val="single" w:sz="8" w:color="7B8FAA"/>
            </w:tcBorders>
            <w:gridSpan w:val="2"/>
          </w:tcPr>
          <w:p>
            <w:pPr>
              <w:ind w:left="40"/>
              <w:spacing w:after="0" w:line="213"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r>
              <w:rPr>
                <w:rFonts w:ascii="Arial" w:cs="Arial" w:eastAsia="Arial" w:hAnsi="Arial"/>
                <w:sz w:val="24"/>
                <w:szCs w:val="24"/>
                <w:color w:val="auto"/>
                <w:vertAlign w:val="superscript"/>
              </w:rPr>
              <w:t>​​</w:t>
            </w:r>
          </w:p>
        </w:tc>
        <w:tc>
          <w:tcPr>
            <w:tcW w:w="600" w:type="dxa"/>
            <w:vAlign w:val="bottom"/>
            <w:tcBorders>
              <w:top w:val="single" w:sz="8" w:color="7B8FAA"/>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7B8FAA"/>
              <w:bottom w:val="single" w:sz="8" w:color="7B8FAA"/>
            </w:tcBorders>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top w:val="single" w:sz="8" w:color="7B8FAA"/>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top w:val="single" w:sz="8" w:color="7B8FAA"/>
              <w:bottom w:val="single" w:sz="8" w:color="7B8FAA"/>
            </w:tcBorders>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B8FAA"/>
              <w:bottom w:val="single" w:sz="8" w:color="7B8FAA"/>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7B8FAA"/>
              <w:bottom w:val="single" w:sz="8" w:color="7B8FAA"/>
            </w:tcBorders>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7B8FAA"/>
              <w:bottom w:val="single" w:sz="8" w:color="7B8FAA"/>
            </w:tcBorders>
          </w:tcPr>
          <w:p>
            <w:pPr>
              <w:jc w:val="right"/>
              <w:spacing w:after="0" w:line="213" w:lineRule="exact"/>
              <w:rPr>
                <w:sz w:val="20"/>
                <w:szCs w:val="20"/>
                <w:color w:val="auto"/>
              </w:rPr>
            </w:pPr>
            <w:r>
              <w:rPr>
                <w:rFonts w:ascii="Arial" w:cs="Arial" w:eastAsia="Arial" w:hAnsi="Arial"/>
                <w:sz w:val="12"/>
                <w:szCs w:val="12"/>
                <w:color w:val="auto"/>
              </w:rPr>
              <w:t>51,405</w:t>
            </w:r>
            <w:r>
              <w:rPr>
                <w:rFonts w:ascii="Arial" w:cs="Arial" w:eastAsia="Arial" w:hAnsi="Arial"/>
                <w:sz w:val="15"/>
                <w:szCs w:val="15"/>
                <w:color w:val="auto"/>
                <w:vertAlign w:val="superscript"/>
              </w:rPr>
              <w:t>(2)</w:t>
            </w:r>
            <w:r>
              <w:rPr>
                <w:rFonts w:ascii="Arial" w:cs="Arial" w:eastAsia="Arial" w:hAnsi="Arial"/>
                <w:sz w:val="24"/>
                <w:szCs w:val="24"/>
                <w:color w:val="auto"/>
                <w:vertAlign w:val="superscript"/>
              </w:rPr>
              <w:t>​</w:t>
            </w:r>
          </w:p>
        </w:tc>
        <w:tc>
          <w:tcPr>
            <w:tcW w:w="80" w:type="dxa"/>
            <w:vAlign w:val="bottom"/>
            <w:tcBorders>
              <w:top w:val="single" w:sz="8" w:color="7B8FAA"/>
              <w:bottom w:val="single" w:sz="8" w:color="7B8FAA"/>
            </w:tcBorders>
          </w:tcPr>
          <w:p>
            <w:pPr>
              <w:ind w:left="40"/>
              <w:spacing w:after="0"/>
              <w:rPr>
                <w:sz w:val="20"/>
                <w:szCs w:val="20"/>
                <w:color w:val="auto"/>
              </w:rPr>
            </w:pPr>
            <w:r>
              <w:rPr>
                <w:rFonts w:ascii="Arial" w:cs="Arial" w:eastAsia="Arial" w:hAnsi="Arial"/>
                <w:sz w:val="12"/>
                <w:szCs w:val="12"/>
                <w:color w:val="auto"/>
              </w:rPr>
              <w:t>​</w:t>
            </w:r>
          </w:p>
        </w:tc>
        <w:tc>
          <w:tcPr>
            <w:tcW w:w="660" w:type="dxa"/>
            <w:vAlign w:val="bottom"/>
            <w:tcBorders>
              <w:top w:val="single" w:sz="8" w:color="7B8FAA"/>
              <w:bottom w:val="single" w:sz="8" w:color="7B8FAA"/>
            </w:tcBorders>
            <w:gridSpan w:val="2"/>
          </w:tcPr>
          <w:p>
            <w:pPr>
              <w:jc w:val="right"/>
              <w:spacing w:after="0" w:line="213"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560" w:type="dxa"/>
            <w:vAlign w:val="bottom"/>
            <w:tcBorders>
              <w:top w:val="single" w:sz="8" w:color="7B8FAA"/>
              <w:bottom w:val="single" w:sz="8" w:color="7B8FAA"/>
            </w:tcBorders>
            <w:gridSpan w:val="2"/>
          </w:tcPr>
          <w:p>
            <w:pPr>
              <w:jc w:val="right"/>
              <w:spacing w:after="0" w:line="213"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 xml:space="preserve"> ​ ​</w:t>
            </w:r>
          </w:p>
        </w:tc>
        <w:tc>
          <w:tcPr>
            <w:tcW w:w="700" w:type="dxa"/>
            <w:vAlign w:val="bottom"/>
            <w:tcBorders>
              <w:top w:val="single" w:sz="8" w:color="7B8FAA"/>
              <w:bottom w:val="single" w:sz="8" w:color="7B8FAA"/>
            </w:tcBorders>
          </w:tcPr>
          <w:p>
            <w:pPr>
              <w:jc w:val="right"/>
              <w:spacing w:after="0"/>
              <w:rPr>
                <w:sz w:val="20"/>
                <w:szCs w:val="20"/>
                <w:color w:val="auto"/>
              </w:rPr>
            </w:pPr>
            <w:r>
              <w:rPr>
                <w:rFonts w:ascii="Arial" w:cs="Arial" w:eastAsia="Arial" w:hAnsi="Arial"/>
                <w:sz w:val="12"/>
                <w:szCs w:val="12"/>
                <w:color w:val="auto"/>
              </w:rPr>
              <w:t>749,999</w:t>
            </w:r>
          </w:p>
        </w:tc>
        <w:tc>
          <w:tcPr>
            <w:tcW w:w="0" w:type="dxa"/>
            <w:vAlign w:val="bottom"/>
          </w:tcPr>
          <w:p>
            <w:pPr>
              <w:spacing w:after="0"/>
              <w:rPr>
                <w:sz w:val="1"/>
                <w:szCs w:val="1"/>
                <w:color w:val="auto"/>
              </w:rPr>
            </w:pPr>
          </w:p>
        </w:tc>
      </w:tr>
      <w:tr>
        <w:trPr>
          <w:trHeight w:val="227"/>
        </w:trPr>
        <w:tc>
          <w:tcPr>
            <w:tcW w:w="1140" w:type="dxa"/>
            <w:vAlign w:val="bottom"/>
            <w:tcBorders>
              <w:bottom w:val="single" w:sz="8" w:color="435F86"/>
            </w:tcBorders>
          </w:tcPr>
          <w:p>
            <w:pPr>
              <w:spacing w:after="0"/>
              <w:rPr>
                <w:sz w:val="19"/>
                <w:szCs w:val="19"/>
                <w:color w:val="auto"/>
              </w:rPr>
            </w:pPr>
          </w:p>
        </w:tc>
        <w:tc>
          <w:tcPr>
            <w:tcW w:w="60" w:type="dxa"/>
            <w:vAlign w:val="bottom"/>
            <w:tcBorders>
              <w:bottom w:val="single" w:sz="8" w:color="435F86"/>
            </w:tcBorders>
          </w:tcPr>
          <w:p>
            <w:pPr>
              <w:spacing w:after="0"/>
              <w:rPr>
                <w:sz w:val="19"/>
                <w:szCs w:val="19"/>
                <w:color w:val="auto"/>
              </w:rPr>
            </w:pPr>
          </w:p>
        </w:tc>
        <w:tc>
          <w:tcPr>
            <w:tcW w:w="1880" w:type="dxa"/>
            <w:vAlign w:val="bottom"/>
            <w:tcBorders>
              <w:bottom w:val="single" w:sz="8" w:color="435F86"/>
            </w:tcBorders>
            <w:gridSpan w:val="3"/>
          </w:tcPr>
          <w:p>
            <w:pPr>
              <w:jc w:val="right"/>
              <w:spacing w:after="0" w:line="227" w:lineRule="exact"/>
              <w:rPr>
                <w:sz w:val="20"/>
                <w:szCs w:val="20"/>
                <w:color w:val="auto"/>
              </w:rPr>
            </w:pPr>
            <w:r>
              <w:rPr>
                <w:rFonts w:ascii="Arial" w:cs="Arial" w:eastAsia="Arial" w:hAnsi="Arial"/>
                <w:sz w:val="24"/>
                <w:szCs w:val="24"/>
                <w:color w:val="auto"/>
                <w:w w:val="98"/>
                <w:vertAlign w:val="superscript"/>
              </w:rPr>
              <w:t>​</w:t>
            </w:r>
            <w:r>
              <w:rPr>
                <w:rFonts w:ascii="Arial" w:cs="Arial" w:eastAsia="Arial" w:hAnsi="Arial"/>
                <w:sz w:val="12"/>
                <w:szCs w:val="12"/>
                <w:color w:val="auto"/>
                <w:w w:val="98"/>
              </w:rPr>
              <w:t>2020 Incentive Plan Stock Options</w:t>
            </w:r>
            <w:r>
              <w:rPr>
                <w:rFonts w:ascii="Arial" w:cs="Arial" w:eastAsia="Arial" w:hAnsi="Arial"/>
                <w:sz w:val="24"/>
                <w:szCs w:val="24"/>
                <w:color w:val="auto"/>
                <w:w w:val="98"/>
                <w:vertAlign w:val="superscript"/>
              </w:rPr>
              <w:t>​​​</w:t>
            </w:r>
          </w:p>
        </w:tc>
        <w:tc>
          <w:tcPr>
            <w:tcW w:w="1180" w:type="dxa"/>
            <w:vAlign w:val="bottom"/>
            <w:tcBorders>
              <w:bottom w:val="single" w:sz="8" w:color="435F86"/>
            </w:tcBorders>
            <w:gridSpan w:val="2"/>
          </w:tcPr>
          <w:p>
            <w:pPr>
              <w:ind w:left="40"/>
              <w:spacing w:after="0" w:line="227" w:lineRule="exact"/>
              <w:rPr>
                <w:sz w:val="20"/>
                <w:szCs w:val="20"/>
                <w:color w:val="auto"/>
              </w:rPr>
            </w:pPr>
            <w:r>
              <w:rPr>
                <w:rFonts w:ascii="Arial" w:cs="Arial" w:eastAsia="Arial" w:hAnsi="Arial"/>
                <w:sz w:val="12"/>
                <w:szCs w:val="12"/>
                <w:color w:val="auto"/>
              </w:rPr>
              <w:t>3/4/2024</w:t>
            </w:r>
            <w:r>
              <w:rPr>
                <w:rFonts w:ascii="Arial" w:cs="Arial" w:eastAsia="Arial" w:hAnsi="Arial"/>
                <w:sz w:val="24"/>
                <w:szCs w:val="24"/>
                <w:color w:val="auto"/>
                <w:vertAlign w:val="superscript"/>
              </w:rPr>
              <w:t>​​​</w:t>
            </w:r>
            <w:r>
              <w:rPr>
                <w:rFonts w:ascii="Arial" w:cs="Arial" w:eastAsia="Arial" w:hAnsi="Arial"/>
                <w:sz w:val="12"/>
                <w:szCs w:val="12"/>
                <w:color w:val="auto"/>
              </w:rPr>
              <w:t>2/21/2024</w:t>
            </w:r>
            <w:r>
              <w:rPr>
                <w:rFonts w:ascii="Arial" w:cs="Arial" w:eastAsia="Arial" w:hAnsi="Arial"/>
                <w:sz w:val="24"/>
                <w:szCs w:val="24"/>
                <w:color w:val="auto"/>
                <w:vertAlign w:val="superscript"/>
              </w:rPr>
              <w:t>​​</w:t>
            </w:r>
          </w:p>
        </w:tc>
        <w:tc>
          <w:tcPr>
            <w:tcW w:w="600" w:type="dxa"/>
            <w:vAlign w:val="bottom"/>
            <w:tcBorders>
              <w:bottom w:val="single" w:sz="8" w:color="435F86"/>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435F86"/>
            </w:tcBorders>
          </w:tcPr>
          <w:p>
            <w:pPr>
              <w:ind w:left="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435F86"/>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435F86"/>
            </w:tcBorders>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435F86"/>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435F86"/>
            </w:tcBorders>
          </w:tcPr>
          <w:p>
            <w:pPr>
              <w:ind w:left="6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435F86"/>
            </w:tcBorders>
          </w:tcPr>
          <w:p>
            <w:pPr>
              <w:jc w:val="right"/>
              <w:spacing w:after="0" w:line="22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4"/>
                <w:szCs w:val="24"/>
                <w:color w:val="auto"/>
                <w:vertAlign w:val="superscript"/>
              </w:rPr>
              <w:t>​</w:t>
            </w:r>
          </w:p>
        </w:tc>
        <w:tc>
          <w:tcPr>
            <w:tcW w:w="740" w:type="dxa"/>
            <w:vAlign w:val="bottom"/>
            <w:tcBorders>
              <w:bottom w:val="single" w:sz="8" w:color="435F86"/>
            </w:tcBorders>
            <w:gridSpan w:val="3"/>
          </w:tcPr>
          <w:p>
            <w:pPr>
              <w:ind w:left="40"/>
              <w:spacing w:after="0" w:line="227"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 102,095</w:t>
            </w:r>
            <w:r>
              <w:rPr>
                <w:rFonts w:ascii="Arial" w:cs="Arial" w:eastAsia="Arial" w:hAnsi="Arial"/>
                <w:sz w:val="15"/>
                <w:szCs w:val="15"/>
                <w:color w:val="auto"/>
                <w:vertAlign w:val="superscript"/>
              </w:rPr>
              <w:t>(3)</w:t>
            </w:r>
            <w:r>
              <w:rPr>
                <w:rFonts w:ascii="Arial" w:cs="Arial" w:eastAsia="Arial" w:hAnsi="Arial"/>
                <w:sz w:val="24"/>
                <w:szCs w:val="24"/>
                <w:color w:val="auto"/>
                <w:vertAlign w:val="superscript"/>
              </w:rPr>
              <w:t>​ ​</w:t>
            </w:r>
          </w:p>
        </w:tc>
        <w:tc>
          <w:tcPr>
            <w:tcW w:w="560" w:type="dxa"/>
            <w:vAlign w:val="bottom"/>
            <w:tcBorders>
              <w:bottom w:val="single" w:sz="8" w:color="435F86"/>
            </w:tcBorders>
            <w:gridSpan w:val="2"/>
          </w:tcPr>
          <w:p>
            <w:pPr>
              <w:jc w:val="right"/>
              <w:spacing w:after="0" w:line="227" w:lineRule="exact"/>
              <w:rPr>
                <w:sz w:val="20"/>
                <w:szCs w:val="20"/>
                <w:color w:val="auto"/>
              </w:rPr>
            </w:pPr>
            <w:r>
              <w:rPr>
                <w:rFonts w:ascii="Arial" w:cs="Arial" w:eastAsia="Arial" w:hAnsi="Arial"/>
                <w:sz w:val="12"/>
                <w:szCs w:val="12"/>
                <w:color w:val="auto"/>
              </w:rPr>
              <w:t xml:space="preserve">14.59 </w:t>
            </w:r>
            <w:r>
              <w:rPr>
                <w:rFonts w:ascii="Arial" w:cs="Arial" w:eastAsia="Arial" w:hAnsi="Arial"/>
                <w:sz w:val="24"/>
                <w:szCs w:val="24"/>
                <w:color w:val="auto"/>
                <w:vertAlign w:val="superscript"/>
              </w:rPr>
              <w:t>​ ​</w:t>
            </w:r>
          </w:p>
        </w:tc>
        <w:tc>
          <w:tcPr>
            <w:tcW w:w="700" w:type="dxa"/>
            <w:vAlign w:val="bottom"/>
            <w:tcBorders>
              <w:bottom w:val="single" w:sz="8" w:color="435F86"/>
            </w:tcBorders>
          </w:tcPr>
          <w:p>
            <w:pPr>
              <w:jc w:val="right"/>
              <w:spacing w:after="0"/>
              <w:rPr>
                <w:sz w:val="20"/>
                <w:szCs w:val="20"/>
                <w:color w:val="auto"/>
              </w:rPr>
            </w:pPr>
            <w:r>
              <w:rPr>
                <w:rFonts w:ascii="Arial" w:cs="Arial" w:eastAsia="Arial" w:hAnsi="Arial"/>
                <w:sz w:val="12"/>
                <w:szCs w:val="12"/>
                <w:color w:val="auto"/>
              </w:rPr>
              <w:t>751,361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-1878330</wp:posOffset>
            </wp:positionV>
            <wp:extent cx="766445" cy="4533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6445" cy="45339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-947420</wp:posOffset>
            </wp:positionV>
            <wp:extent cx="766445" cy="4781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6445" cy="478155"/>
                    </a:xfrm>
                    <a:prstGeom prst="rect">
                      <a:avLst/>
                    </a:prstGeom>
                    <a:noFill/>
                  </pic:spPr>
                </pic:pic>
              </a:graphicData>
            </a:graphic>
          </wp:anchor>
        </w:drawing>
      </w:r>
    </w:p>
    <w:p>
      <w:pPr>
        <w:spacing w:after="0" w:line="80" w:lineRule="exact"/>
        <w:rPr>
          <w:sz w:val="20"/>
          <w:szCs w:val="20"/>
          <w:color w:val="auto"/>
        </w:rPr>
      </w:pPr>
    </w:p>
    <w:p>
      <w:pPr>
        <w:ind w:left="1120" w:right="880" w:hanging="337"/>
        <w:spacing w:after="0" w:line="285"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threshold, target and maximum values for payments under the Company’s AIP with respect to service in 2024. No payout is received for performance under the threshold metric. For each of Messrs. Petras, Lyons and Rutz, amounts shown are blended to reflect his base salary prior to and following his base salary increase. See “Compensation Elements for 2024 — Annual Incentive Plan (AIP).” For actual payouts under the AIP in 2024, see the “Non-Equity Incentive Plan Compensation” column in the 2024 Summary Compensation Table.</w:t>
      </w:r>
    </w:p>
    <w:p>
      <w:pPr>
        <w:spacing w:after="0" w:line="10" w:lineRule="exact"/>
        <w:rPr>
          <w:rFonts w:ascii="Arial" w:cs="Arial" w:eastAsia="Arial" w:hAnsi="Arial"/>
          <w:sz w:val="16"/>
          <w:szCs w:val="16"/>
          <w:color w:val="auto"/>
        </w:rPr>
      </w:pPr>
    </w:p>
    <w:p>
      <w:pPr>
        <w:ind w:left="1120" w:right="1220" w:hanging="337"/>
        <w:spacing w:after="0" w:line="321"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RSUs vest in three substantially equal annual installments, with the first installment vesting on March 2, 2025, subject generally to the NEO’s continued employment through each applicable vesting date.</w:t>
      </w:r>
    </w:p>
    <w:p>
      <w:pPr>
        <w:spacing w:after="0" w:line="1" w:lineRule="exact"/>
        <w:rPr>
          <w:rFonts w:ascii="Arial" w:cs="Arial" w:eastAsia="Arial" w:hAnsi="Arial"/>
          <w:sz w:val="16"/>
          <w:szCs w:val="16"/>
          <w:color w:val="auto"/>
        </w:rPr>
      </w:pPr>
    </w:p>
    <w:p>
      <w:pPr>
        <w:jc w:val="both"/>
        <w:ind w:left="1120" w:right="1380" w:hanging="337"/>
        <w:spacing w:after="0" w:line="329" w:lineRule="auto"/>
        <w:tabs>
          <w:tab w:leader="none" w:pos="11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stock options vest in three substantially equal annual installments, with the first installment vesting on March 2, 2025, subject generally to the NEO’s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2014855</wp:posOffset>
            </wp:positionV>
            <wp:extent cx="5538470"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54</w:t>
            </w:r>
          </w:p>
        </w:tc>
      </w:tr>
      <w:tr>
        <w:trPr>
          <w:trHeight w:val="67"/>
        </w:trPr>
        <w:tc>
          <w:tcPr>
            <w:tcW w:w="4140" w:type="dxa"/>
            <w:vAlign w:val="bottom"/>
            <w:tcBorders>
              <w:bottom w:val="single" w:sz="8" w:color="9A9A9A"/>
            </w:tcBorders>
          </w:tcPr>
          <w:p>
            <w:pPr>
              <w:spacing w:after="0"/>
              <w:rPr>
                <w:sz w:val="5"/>
                <w:szCs w:val="5"/>
                <w:color w:val="auto"/>
              </w:rPr>
            </w:pPr>
          </w:p>
        </w:tc>
        <w:tc>
          <w:tcPr>
            <w:tcW w:w="616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Tables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Outstanding Equity Awards at 2024 Year-End</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Outstanding Equity Awards at 2024 Year-End</w:t>
      </w:r>
    </w:p>
    <w:p>
      <w:pPr>
        <w:spacing w:after="0" w:line="228" w:lineRule="exact"/>
        <w:rPr>
          <w:sz w:val="20"/>
          <w:szCs w:val="20"/>
          <w:color w:val="auto"/>
        </w:rPr>
      </w:pPr>
    </w:p>
    <w:p>
      <w:pPr>
        <w:ind w:left="780" w:right="359"/>
        <w:spacing w:after="0" w:line="287" w:lineRule="auto"/>
        <w:rPr>
          <w:sz w:val="20"/>
          <w:szCs w:val="20"/>
          <w:color w:val="auto"/>
        </w:rPr>
      </w:pPr>
      <w:r>
        <w:rPr>
          <w:rFonts w:ascii="Arial" w:cs="Arial" w:eastAsia="Arial" w:hAnsi="Arial"/>
          <w:sz w:val="20"/>
          <w:szCs w:val="20"/>
          <w:color w:val="auto"/>
        </w:rPr>
        <w:t>The following table sets forth information regarding outstanding equity awards held as of December 31, 2024 by each of our NEOs. Except for shares of unvested restricted common stock held by Mr. Rutz, each of these awards were granted under the 2020 Incentive Plan.</w:t>
      </w:r>
    </w:p>
    <w:p>
      <w:pPr>
        <w:spacing w:after="0" w:line="165"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Borders>
              <w:bottom w:val="single" w:sz="8" w:color="435F86"/>
            </w:tcBorders>
          </w:tcPr>
          <w:p>
            <w:pPr>
              <w:spacing w:after="0"/>
              <w:rPr>
                <w:sz w:val="17"/>
                <w:szCs w:val="17"/>
                <w:color w:val="auto"/>
              </w:rPr>
            </w:pPr>
          </w:p>
        </w:tc>
        <w:tc>
          <w:tcPr>
            <w:tcW w:w="760" w:type="dxa"/>
            <w:vAlign w:val="bottom"/>
            <w:tcBorders>
              <w:bottom w:val="single" w:sz="8" w:color="435F86"/>
            </w:tcBorders>
          </w:tcPr>
          <w:p>
            <w:pPr>
              <w:spacing w:after="0"/>
              <w:rPr>
                <w:sz w:val="17"/>
                <w:szCs w:val="17"/>
                <w:color w:val="auto"/>
              </w:rPr>
            </w:pPr>
          </w:p>
        </w:tc>
        <w:tc>
          <w:tcPr>
            <w:tcW w:w="260" w:type="dxa"/>
            <w:vAlign w:val="bottom"/>
            <w:tcBorders>
              <w:bottom w:val="single" w:sz="8" w:color="435F86"/>
            </w:tcBorders>
          </w:tcPr>
          <w:p>
            <w:pPr>
              <w:spacing w:after="0"/>
              <w:rPr>
                <w:sz w:val="17"/>
                <w:szCs w:val="17"/>
                <w:color w:val="auto"/>
              </w:rPr>
            </w:pPr>
          </w:p>
        </w:tc>
        <w:tc>
          <w:tcPr>
            <w:tcW w:w="200" w:type="dxa"/>
            <w:vAlign w:val="bottom"/>
            <w:tcBorders>
              <w:bottom w:val="single" w:sz="8" w:color="435F86"/>
            </w:tcBorders>
          </w:tcPr>
          <w:p>
            <w:pPr>
              <w:spacing w:after="0"/>
              <w:rPr>
                <w:sz w:val="17"/>
                <w:szCs w:val="17"/>
                <w:color w:val="auto"/>
              </w:rPr>
            </w:pPr>
          </w:p>
        </w:tc>
        <w:tc>
          <w:tcPr>
            <w:tcW w:w="1660" w:type="dxa"/>
            <w:vAlign w:val="bottom"/>
            <w:tcBorders>
              <w:bottom w:val="single" w:sz="8" w:color="435F86"/>
            </w:tcBorders>
            <w:gridSpan w:val="4"/>
          </w:tcPr>
          <w:p>
            <w:pPr>
              <w:jc w:val="right"/>
              <w:ind w:right="349"/>
              <w:spacing w:after="0"/>
              <w:rPr>
                <w:sz w:val="20"/>
                <w:szCs w:val="20"/>
                <w:color w:val="auto"/>
              </w:rPr>
            </w:pPr>
            <w:r>
              <w:rPr>
                <w:rFonts w:ascii="Arial" w:cs="Arial" w:eastAsia="Arial" w:hAnsi="Arial"/>
                <w:sz w:val="14"/>
                <w:szCs w:val="14"/>
                <w:b w:val="1"/>
                <w:bCs w:val="1"/>
                <w:color w:val="435F86"/>
              </w:rPr>
              <w:t>Option Awards</w:t>
            </w:r>
          </w:p>
        </w:tc>
        <w:tc>
          <w:tcPr>
            <w:tcW w:w="200" w:type="dxa"/>
            <w:vAlign w:val="bottom"/>
            <w:tcBorders>
              <w:bottom w:val="single" w:sz="8" w:color="435F86"/>
            </w:tcBorders>
          </w:tcPr>
          <w:p>
            <w:pPr>
              <w:spacing w:after="0"/>
              <w:rPr>
                <w:sz w:val="17"/>
                <w:szCs w:val="17"/>
                <w:color w:val="auto"/>
              </w:rPr>
            </w:pPr>
          </w:p>
        </w:tc>
        <w:tc>
          <w:tcPr>
            <w:tcW w:w="180" w:type="dxa"/>
            <w:vAlign w:val="bottom"/>
            <w:tcBorders>
              <w:bottom w:val="single" w:sz="8" w:color="435F86"/>
            </w:tcBorders>
          </w:tcPr>
          <w:p>
            <w:pPr>
              <w:spacing w:after="0"/>
              <w:rPr>
                <w:sz w:val="17"/>
                <w:szCs w:val="17"/>
                <w:color w:val="auto"/>
              </w:rPr>
            </w:pPr>
          </w:p>
        </w:tc>
        <w:tc>
          <w:tcPr>
            <w:tcW w:w="800" w:type="dxa"/>
            <w:vAlign w:val="bottom"/>
            <w:tcBorders>
              <w:bottom w:val="single" w:sz="8" w:color="435F86"/>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435F86"/>
              </w:rPr>
              <w:t>​</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435F86"/>
              </w:rPr>
              <w:t>​</w:t>
            </w:r>
          </w:p>
        </w:tc>
        <w:tc>
          <w:tcPr>
            <w:tcW w:w="220" w:type="dxa"/>
            <w:vAlign w:val="bottom"/>
            <w:tcBorders>
              <w:bottom w:val="single" w:sz="8" w:color="435F86"/>
            </w:tcBorders>
          </w:tcPr>
          <w:p>
            <w:pPr>
              <w:spacing w:after="0"/>
              <w:rPr>
                <w:sz w:val="17"/>
                <w:szCs w:val="17"/>
                <w:color w:val="auto"/>
              </w:rPr>
            </w:pPr>
          </w:p>
        </w:tc>
        <w:tc>
          <w:tcPr>
            <w:tcW w:w="2080" w:type="dxa"/>
            <w:vAlign w:val="bottom"/>
            <w:tcBorders>
              <w:bottom w:val="single" w:sz="8" w:color="435F86"/>
            </w:tcBorders>
            <w:gridSpan w:val="6"/>
          </w:tcPr>
          <w:p>
            <w:pPr>
              <w:jc w:val="right"/>
              <w:ind w:right="632"/>
              <w:spacing w:after="0"/>
              <w:rPr>
                <w:sz w:val="20"/>
                <w:szCs w:val="20"/>
                <w:color w:val="auto"/>
              </w:rPr>
            </w:pPr>
            <w:r>
              <w:rPr>
                <w:rFonts w:ascii="Arial" w:cs="Arial" w:eastAsia="Arial" w:hAnsi="Arial"/>
                <w:sz w:val="14"/>
                <w:szCs w:val="14"/>
                <w:b w:val="1"/>
                <w:bCs w:val="1"/>
                <w:color w:val="435F86"/>
              </w:rPr>
              <w:t>Stock Awards</w:t>
            </w:r>
          </w:p>
        </w:tc>
        <w:tc>
          <w:tcPr>
            <w:tcW w:w="20" w:type="dxa"/>
            <w:vAlign w:val="bottom"/>
            <w:tcBorders>
              <w:bottom w:val="single" w:sz="8" w:color="435F86"/>
            </w:tcBorders>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35F86"/>
              </w:rPr>
              <w:t>​</w:t>
            </w:r>
          </w:p>
        </w:tc>
        <w:tc>
          <w:tcPr>
            <w:tcW w:w="0" w:type="dxa"/>
            <w:vAlign w:val="bottom"/>
          </w:tcPr>
          <w:p>
            <w:pPr>
              <w:spacing w:after="0"/>
              <w:rPr>
                <w:sz w:val="1"/>
                <w:szCs w:val="1"/>
                <w:color w:val="auto"/>
              </w:rPr>
            </w:pPr>
          </w:p>
        </w:tc>
      </w:tr>
      <w:tr>
        <w:trPr>
          <w:trHeight w:val="178"/>
        </w:trPr>
        <w:tc>
          <w:tcPr>
            <w:tcW w:w="1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435F86"/>
                <w:w w:val="94"/>
              </w:rPr>
              <w:t>Number of</w:t>
            </w:r>
          </w:p>
        </w:tc>
        <w:tc>
          <w:tcPr>
            <w:tcW w:w="260" w:type="dxa"/>
            <w:vAlign w:val="bottom"/>
          </w:tcPr>
          <w:p>
            <w:pPr>
              <w:spacing w:after="0"/>
              <w:rPr>
                <w:sz w:val="15"/>
                <w:szCs w:val="15"/>
                <w:color w:val="auto"/>
              </w:rPr>
            </w:pPr>
          </w:p>
        </w:tc>
        <w:tc>
          <w:tcPr>
            <w:tcW w:w="800" w:type="dxa"/>
            <w:vAlign w:val="bottom"/>
            <w:gridSpan w:val="2"/>
          </w:tcPr>
          <w:p>
            <w:pPr>
              <w:jc w:val="center"/>
              <w:ind w:left="14"/>
              <w:spacing w:after="0"/>
              <w:rPr>
                <w:sz w:val="20"/>
                <w:szCs w:val="20"/>
                <w:color w:val="auto"/>
              </w:rPr>
            </w:pPr>
            <w:r>
              <w:rPr>
                <w:rFonts w:ascii="Arial" w:cs="Arial" w:eastAsia="Arial" w:hAnsi="Arial"/>
                <w:sz w:val="14"/>
                <w:szCs w:val="14"/>
                <w:b w:val="1"/>
                <w:bCs w:val="1"/>
                <w:color w:val="435F86"/>
                <w:w w:val="97"/>
              </w:rPr>
              <w:t>Number of</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ind w:right="35"/>
              <w:spacing w:after="0" w:line="156" w:lineRule="exact"/>
              <w:rPr>
                <w:sz w:val="20"/>
                <w:szCs w:val="20"/>
                <w:color w:val="auto"/>
              </w:rPr>
            </w:pPr>
            <w:r>
              <w:rPr>
                <w:rFonts w:ascii="Arial" w:cs="Arial" w:eastAsia="Arial" w:hAnsi="Arial"/>
                <w:sz w:val="14"/>
                <w:szCs w:val="14"/>
                <w:b w:val="1"/>
                <w:bCs w:val="1"/>
                <w:color w:val="435F86"/>
                <w:w w:val="92"/>
              </w:rPr>
              <w:t>Securities</w:t>
            </w:r>
          </w:p>
        </w:tc>
        <w:tc>
          <w:tcPr>
            <w:tcW w:w="260" w:type="dxa"/>
            <w:vAlign w:val="bottom"/>
          </w:tcPr>
          <w:p>
            <w:pPr>
              <w:spacing w:after="0"/>
              <w:rPr>
                <w:sz w:val="13"/>
                <w:szCs w:val="13"/>
                <w:color w:val="auto"/>
              </w:rPr>
            </w:pPr>
          </w:p>
        </w:tc>
        <w:tc>
          <w:tcPr>
            <w:tcW w:w="800" w:type="dxa"/>
            <w:vAlign w:val="bottom"/>
            <w:gridSpan w:val="2"/>
          </w:tcPr>
          <w:p>
            <w:pPr>
              <w:jc w:val="center"/>
              <w:ind w:left="14"/>
              <w:spacing w:after="0" w:line="156" w:lineRule="exact"/>
              <w:rPr>
                <w:sz w:val="20"/>
                <w:szCs w:val="20"/>
                <w:color w:val="auto"/>
              </w:rPr>
            </w:pPr>
            <w:r>
              <w:rPr>
                <w:rFonts w:ascii="Arial" w:cs="Arial" w:eastAsia="Arial" w:hAnsi="Arial"/>
                <w:sz w:val="14"/>
                <w:szCs w:val="14"/>
                <w:b w:val="1"/>
                <w:bCs w:val="1"/>
                <w:color w:val="435F86"/>
                <w:w w:val="95"/>
              </w:rPr>
              <w:t>Securities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left="34"/>
              <w:spacing w:after="0" w:line="156" w:lineRule="exact"/>
              <w:rPr>
                <w:sz w:val="20"/>
                <w:szCs w:val="20"/>
                <w:color w:val="auto"/>
              </w:rPr>
            </w:pPr>
            <w:r>
              <w:rPr>
                <w:rFonts w:ascii="Arial" w:cs="Arial" w:eastAsia="Arial" w:hAnsi="Arial"/>
                <w:sz w:val="14"/>
                <w:szCs w:val="14"/>
                <w:b w:val="1"/>
                <w:bCs w:val="1"/>
                <w:color w:val="435F86"/>
                <w:w w:val="94"/>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4"/>
              </w:rPr>
              <w:t>Market Value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5"/>
              </w:rPr>
              <w:t>Underlying</w:t>
            </w:r>
          </w:p>
        </w:tc>
        <w:tc>
          <w:tcPr>
            <w:tcW w:w="260" w:type="dxa"/>
            <w:vAlign w:val="bottom"/>
          </w:tcPr>
          <w:p>
            <w:pPr>
              <w:spacing w:after="0"/>
              <w:rPr>
                <w:sz w:val="13"/>
                <w:szCs w:val="13"/>
                <w:color w:val="auto"/>
              </w:rPr>
            </w:pPr>
          </w:p>
        </w:tc>
        <w:tc>
          <w:tcPr>
            <w:tcW w:w="800" w:type="dxa"/>
            <w:vAlign w:val="bottom"/>
            <w:gridSpan w:val="2"/>
          </w:tcPr>
          <w:p>
            <w:pPr>
              <w:jc w:val="center"/>
              <w:ind w:left="14"/>
              <w:spacing w:after="0" w:line="156" w:lineRule="exact"/>
              <w:rPr>
                <w:sz w:val="20"/>
                <w:szCs w:val="20"/>
                <w:color w:val="auto"/>
              </w:rPr>
            </w:pPr>
            <w:r>
              <w:rPr>
                <w:rFonts w:ascii="Arial" w:cs="Arial" w:eastAsia="Arial" w:hAnsi="Arial"/>
                <w:sz w:val="14"/>
                <w:szCs w:val="14"/>
                <w:b w:val="1"/>
                <w:bCs w:val="1"/>
                <w:color w:val="435F86"/>
                <w:w w:val="92"/>
              </w:rPr>
              <w:t>Underlying</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left="34"/>
              <w:spacing w:after="0" w:line="156" w:lineRule="exact"/>
              <w:rPr>
                <w:sz w:val="20"/>
                <w:szCs w:val="20"/>
                <w:color w:val="auto"/>
              </w:rPr>
            </w:pPr>
            <w:r>
              <w:rPr>
                <w:rFonts w:ascii="Arial" w:cs="Arial" w:eastAsia="Arial" w:hAnsi="Arial"/>
                <w:sz w:val="14"/>
                <w:szCs w:val="14"/>
                <w:b w:val="1"/>
                <w:bCs w:val="1"/>
                <w:color w:val="435F86"/>
                <w:w w:val="95"/>
              </w:rPr>
              <w:t>Shares or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5"/>
              </w:rPr>
              <w:t>of Shares or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spacing w:after="0" w:line="156" w:lineRule="exact"/>
              <w:rPr>
                <w:sz w:val="20"/>
                <w:szCs w:val="20"/>
                <w:color w:val="auto"/>
              </w:rPr>
            </w:pPr>
            <w:r>
              <w:rPr>
                <w:rFonts w:ascii="Arial" w:cs="Arial" w:eastAsia="Arial" w:hAnsi="Arial"/>
                <w:sz w:val="14"/>
                <w:szCs w:val="14"/>
                <w:b w:val="1"/>
                <w:bCs w:val="1"/>
                <w:color w:val="435F86"/>
                <w:w w:val="96"/>
              </w:rPr>
              <w:t>Unexercised</w:t>
            </w:r>
          </w:p>
        </w:tc>
        <w:tc>
          <w:tcPr>
            <w:tcW w:w="260" w:type="dxa"/>
            <w:vAlign w:val="bottom"/>
          </w:tcPr>
          <w:p>
            <w:pPr>
              <w:spacing w:after="0"/>
              <w:rPr>
                <w:sz w:val="13"/>
                <w:szCs w:val="13"/>
                <w:color w:val="auto"/>
              </w:rPr>
            </w:pPr>
          </w:p>
        </w:tc>
        <w:tc>
          <w:tcPr>
            <w:tcW w:w="1060" w:type="dxa"/>
            <w:vAlign w:val="bottom"/>
            <w:gridSpan w:val="3"/>
          </w:tcPr>
          <w:p>
            <w:pPr>
              <w:jc w:val="center"/>
              <w:ind w:right="124"/>
              <w:spacing w:after="0" w:line="156" w:lineRule="exact"/>
              <w:rPr>
                <w:sz w:val="20"/>
                <w:szCs w:val="20"/>
                <w:color w:val="auto"/>
              </w:rPr>
            </w:pPr>
            <w:r>
              <w:rPr>
                <w:rFonts w:ascii="Arial" w:cs="Arial" w:eastAsia="Arial" w:hAnsi="Arial"/>
                <w:sz w:val="14"/>
                <w:szCs w:val="14"/>
                <w:b w:val="1"/>
                <w:bCs w:val="1"/>
                <w:color w:val="435F86"/>
                <w:w w:val="96"/>
              </w:rPr>
              <w:t>Unexercised</w:t>
            </w:r>
          </w:p>
        </w:tc>
        <w:tc>
          <w:tcPr>
            <w:tcW w:w="240" w:type="dxa"/>
            <w:vAlign w:val="bottom"/>
          </w:tcPr>
          <w:p>
            <w:pPr>
              <w:spacing w:after="0"/>
              <w:rPr>
                <w:sz w:val="13"/>
                <w:szCs w:val="13"/>
                <w:color w:val="auto"/>
              </w:rPr>
            </w:pPr>
          </w:p>
        </w:tc>
        <w:tc>
          <w:tcPr>
            <w:tcW w:w="560" w:type="dxa"/>
            <w:vAlign w:val="bottom"/>
          </w:tcPr>
          <w:p>
            <w:pPr>
              <w:jc w:val="right"/>
              <w:ind w:right="69"/>
              <w:spacing w:after="0" w:line="156" w:lineRule="exact"/>
              <w:rPr>
                <w:sz w:val="20"/>
                <w:szCs w:val="20"/>
                <w:color w:val="auto"/>
              </w:rPr>
            </w:pPr>
            <w:r>
              <w:rPr>
                <w:rFonts w:ascii="Arial" w:cs="Arial" w:eastAsia="Arial" w:hAnsi="Arial"/>
                <w:sz w:val="14"/>
                <w:szCs w:val="14"/>
                <w:b w:val="1"/>
                <w:bCs w:val="1"/>
                <w:color w:val="435F86"/>
                <w:w w:val="93"/>
              </w:rPr>
              <w:t>Option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center"/>
              <w:ind w:right="140"/>
              <w:spacing w:after="0" w:line="156" w:lineRule="exact"/>
              <w:rPr>
                <w:sz w:val="20"/>
                <w:szCs w:val="20"/>
                <w:color w:val="auto"/>
              </w:rPr>
            </w:pPr>
            <w:r>
              <w:rPr>
                <w:rFonts w:ascii="Arial" w:cs="Arial" w:eastAsia="Arial" w:hAnsi="Arial"/>
                <w:sz w:val="14"/>
                <w:szCs w:val="14"/>
                <w:b w:val="1"/>
                <w:bCs w:val="1"/>
                <w:color w:val="435F86"/>
                <w:w w:val="93"/>
              </w:rPr>
              <w:t>Option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435F86"/>
                <w:w w:val="95"/>
              </w:rPr>
              <w:t>Units of Stock</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5"/>
              </w:rPr>
              <w:t>Units of 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435F86"/>
                <w:w w:val="94"/>
              </w:rPr>
              <w:t>Options (#)</w:t>
            </w:r>
          </w:p>
        </w:tc>
        <w:tc>
          <w:tcPr>
            <w:tcW w:w="260" w:type="dxa"/>
            <w:vAlign w:val="bottom"/>
          </w:tcPr>
          <w:p>
            <w:pPr>
              <w:spacing w:after="0"/>
              <w:rPr>
                <w:sz w:val="12"/>
                <w:szCs w:val="12"/>
                <w:color w:val="auto"/>
              </w:rPr>
            </w:pPr>
          </w:p>
        </w:tc>
        <w:tc>
          <w:tcPr>
            <w:tcW w:w="800" w:type="dxa"/>
            <w:vAlign w:val="bottom"/>
            <w:gridSpan w:val="2"/>
          </w:tcPr>
          <w:p>
            <w:pPr>
              <w:jc w:val="center"/>
              <w:ind w:left="14"/>
              <w:spacing w:after="0" w:line="144" w:lineRule="exact"/>
              <w:rPr>
                <w:sz w:val="20"/>
                <w:szCs w:val="20"/>
                <w:color w:val="auto"/>
              </w:rPr>
            </w:pPr>
            <w:r>
              <w:rPr>
                <w:rFonts w:ascii="Arial" w:cs="Arial" w:eastAsia="Arial" w:hAnsi="Arial"/>
                <w:sz w:val="14"/>
                <w:szCs w:val="14"/>
                <w:b w:val="1"/>
                <w:bCs w:val="1"/>
                <w:color w:val="435F86"/>
                <w:w w:val="97"/>
              </w:rPr>
              <w:t>Options (#)</w:t>
            </w:r>
          </w:p>
        </w:tc>
        <w:tc>
          <w:tcPr>
            <w:tcW w:w="260" w:type="dxa"/>
            <w:vAlign w:val="bottom"/>
          </w:tcPr>
          <w:p>
            <w:pPr>
              <w:spacing w:after="0"/>
              <w:rPr>
                <w:sz w:val="12"/>
                <w:szCs w:val="12"/>
                <w:color w:val="auto"/>
              </w:rPr>
            </w:pPr>
          </w:p>
        </w:tc>
        <w:tc>
          <w:tcPr>
            <w:tcW w:w="800" w:type="dxa"/>
            <w:vAlign w:val="bottom"/>
            <w:gridSpan w:val="2"/>
          </w:tcPr>
          <w:p>
            <w:pPr>
              <w:ind w:left="180"/>
              <w:spacing w:after="0" w:line="144" w:lineRule="exact"/>
              <w:rPr>
                <w:sz w:val="20"/>
                <w:szCs w:val="20"/>
                <w:color w:val="auto"/>
              </w:rPr>
            </w:pPr>
            <w:r>
              <w:rPr>
                <w:rFonts w:ascii="Arial" w:cs="Arial" w:eastAsia="Arial" w:hAnsi="Arial"/>
                <w:sz w:val="14"/>
                <w:szCs w:val="14"/>
                <w:b w:val="1"/>
                <w:bCs w:val="1"/>
                <w:color w:val="435F86"/>
              </w:rPr>
              <w:t>Exercise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4"/>
                <w:szCs w:val="14"/>
                <w:b w:val="1"/>
                <w:bCs w:val="1"/>
                <w:color w:val="435F86"/>
                <w:w w:val="96"/>
              </w:rPr>
              <w:t>Expiration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left="54"/>
              <w:spacing w:after="0" w:line="144" w:lineRule="exact"/>
              <w:rPr>
                <w:sz w:val="20"/>
                <w:szCs w:val="20"/>
                <w:color w:val="auto"/>
              </w:rPr>
            </w:pPr>
            <w:r>
              <w:rPr>
                <w:rFonts w:ascii="Arial" w:cs="Arial" w:eastAsia="Arial" w:hAnsi="Arial"/>
                <w:sz w:val="14"/>
                <w:szCs w:val="14"/>
                <w:b w:val="1"/>
                <w:bCs w:val="1"/>
                <w:color w:val="435F86"/>
                <w:w w:val="95"/>
              </w:rPr>
              <w:t>That Have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52"/>
              <w:spacing w:after="0" w:line="144" w:lineRule="exact"/>
              <w:rPr>
                <w:sz w:val="20"/>
                <w:szCs w:val="20"/>
                <w:color w:val="auto"/>
              </w:rPr>
            </w:pPr>
            <w:r>
              <w:rPr>
                <w:rFonts w:ascii="Arial" w:cs="Arial" w:eastAsia="Arial" w:hAnsi="Arial"/>
                <w:sz w:val="14"/>
                <w:szCs w:val="14"/>
                <w:b w:val="1"/>
                <w:bCs w:val="1"/>
                <w:color w:val="435F86"/>
                <w:w w:val="95"/>
              </w:rPr>
              <w:t>That Have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780" w:type="dxa"/>
            <w:vAlign w:val="bottom"/>
          </w:tcPr>
          <w:p>
            <w:pPr>
              <w:ind w:left="100"/>
              <w:spacing w:after="0"/>
              <w:rPr>
                <w:sz w:val="20"/>
                <w:szCs w:val="20"/>
                <w:color w:val="auto"/>
              </w:rPr>
            </w:pPr>
            <w:r>
              <w:rPr>
                <w:rFonts w:ascii="Arial" w:cs="Arial" w:eastAsia="Arial" w:hAnsi="Arial"/>
                <w:sz w:val="14"/>
                <w:szCs w:val="14"/>
                <w:b w:val="1"/>
                <w:bCs w:val="1"/>
                <w:color w:val="435F86"/>
              </w:rPr>
              <w:t>Name</w:t>
            </w:r>
          </w:p>
        </w:tc>
        <w:tc>
          <w:tcPr>
            <w:tcW w:w="140" w:type="dxa"/>
            <w:vAlign w:val="bottom"/>
          </w:tcPr>
          <w:p>
            <w:pPr>
              <w:spacing w:after="0"/>
              <w:rPr>
                <w:sz w:val="17"/>
                <w:szCs w:val="17"/>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435F86"/>
                <w:w w:val="95"/>
              </w:rPr>
              <w:t>Exercisable</w:t>
            </w:r>
          </w:p>
        </w:tc>
        <w:tc>
          <w:tcPr>
            <w:tcW w:w="260" w:type="dxa"/>
            <w:vAlign w:val="bottom"/>
          </w:tcPr>
          <w:p>
            <w:pPr>
              <w:spacing w:after="0"/>
              <w:rPr>
                <w:sz w:val="17"/>
                <w:szCs w:val="17"/>
                <w:color w:val="auto"/>
              </w:rPr>
            </w:pPr>
          </w:p>
        </w:tc>
        <w:tc>
          <w:tcPr>
            <w:tcW w:w="1060" w:type="dxa"/>
            <w:vAlign w:val="bottom"/>
            <w:gridSpan w:val="3"/>
          </w:tcPr>
          <w:p>
            <w:pPr>
              <w:jc w:val="center"/>
              <w:ind w:right="104"/>
              <w:spacing w:after="0"/>
              <w:rPr>
                <w:sz w:val="20"/>
                <w:szCs w:val="20"/>
                <w:color w:val="auto"/>
              </w:rPr>
            </w:pPr>
            <w:r>
              <w:rPr>
                <w:rFonts w:ascii="Arial" w:cs="Arial" w:eastAsia="Arial" w:hAnsi="Arial"/>
                <w:sz w:val="14"/>
                <w:szCs w:val="14"/>
                <w:b w:val="1"/>
                <w:bCs w:val="1"/>
                <w:color w:val="435F86"/>
                <w:w w:val="94"/>
              </w:rPr>
              <w:t>Unexercisable</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435F86"/>
              </w:rPr>
              <w:t>Price ($/Sh)</w:t>
            </w:r>
          </w:p>
        </w:tc>
        <w:tc>
          <w:tcPr>
            <w:tcW w:w="180" w:type="dxa"/>
            <w:vAlign w:val="bottom"/>
          </w:tcPr>
          <w:p>
            <w:pPr>
              <w:spacing w:after="0"/>
              <w:rPr>
                <w:sz w:val="17"/>
                <w:szCs w:val="17"/>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435F86"/>
                <w:w w:val="98"/>
              </w:rPr>
              <w:t>Date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435F86"/>
              </w:rPr>
              <w:t>​</w:t>
            </w:r>
          </w:p>
        </w:tc>
        <w:tc>
          <w:tcPr>
            <w:tcW w:w="1040" w:type="dxa"/>
            <w:vAlign w:val="bottom"/>
            <w:gridSpan w:val="4"/>
          </w:tcPr>
          <w:p>
            <w:pPr>
              <w:ind w:left="60"/>
              <w:spacing w:after="0" w:line="203" w:lineRule="exact"/>
              <w:rPr>
                <w:sz w:val="20"/>
                <w:szCs w:val="20"/>
                <w:color w:val="auto"/>
              </w:rPr>
            </w:pPr>
            <w:r>
              <w:rPr>
                <w:rFonts w:ascii="Arial" w:cs="Arial" w:eastAsia="Arial" w:hAnsi="Arial"/>
                <w:sz w:val="23"/>
                <w:szCs w:val="23"/>
                <w:b w:val="1"/>
                <w:bCs w:val="1"/>
                <w:color w:val="435F86"/>
                <w:vertAlign w:val="subscript"/>
              </w:rPr>
              <w:t>​</w:t>
            </w:r>
            <w:r>
              <w:rPr>
                <w:rFonts w:ascii="Arial" w:cs="Arial" w:eastAsia="Arial" w:hAnsi="Arial"/>
                <w:sz w:val="12"/>
                <w:szCs w:val="12"/>
                <w:b w:val="1"/>
                <w:bCs w:val="1"/>
                <w:color w:val="435F86"/>
              </w:rPr>
              <w:t xml:space="preserve"> Not Vested (#)</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435F86"/>
              </w:rPr>
              <w:t>​</w:t>
            </w:r>
          </w:p>
        </w:tc>
        <w:tc>
          <w:tcPr>
            <w:tcW w:w="1200" w:type="dxa"/>
            <w:vAlign w:val="bottom"/>
            <w:gridSpan w:val="3"/>
          </w:tcPr>
          <w:p>
            <w:pPr>
              <w:ind w:left="60"/>
              <w:spacing w:after="0" w:line="203" w:lineRule="exact"/>
              <w:rPr>
                <w:sz w:val="20"/>
                <w:szCs w:val="20"/>
                <w:color w:val="auto"/>
              </w:rPr>
            </w:pPr>
            <w:r>
              <w:rPr>
                <w:rFonts w:ascii="Arial" w:cs="Arial" w:eastAsia="Arial" w:hAnsi="Arial"/>
                <w:sz w:val="23"/>
                <w:szCs w:val="23"/>
                <w:b w:val="1"/>
                <w:bCs w:val="1"/>
                <w:color w:val="435F86"/>
                <w:vertAlign w:val="subscript"/>
              </w:rPr>
              <w:t>​</w:t>
            </w:r>
            <w:r>
              <w:rPr>
                <w:rFonts w:ascii="Arial" w:cs="Arial" w:eastAsia="Arial" w:hAnsi="Arial"/>
                <w:sz w:val="12"/>
                <w:szCs w:val="12"/>
                <w:b w:val="1"/>
                <w:bCs w:val="1"/>
                <w:color w:val="435F86"/>
              </w:rPr>
              <w:t xml:space="preserve"> Not Vested ($) </w:t>
            </w:r>
            <w:r>
              <w:rPr>
                <w:rFonts w:ascii="Arial" w:cs="Arial" w:eastAsia="Arial" w:hAnsi="Arial"/>
                <w:sz w:val="15"/>
                <w:szCs w:val="15"/>
                <w:b w:val="1"/>
                <w:bCs w:val="1"/>
                <w:color w:val="435F86"/>
                <w:vertAlign w:val="superscript"/>
              </w:rPr>
              <w:t>(14)</w:t>
            </w:r>
          </w:p>
        </w:tc>
        <w:tc>
          <w:tcPr>
            <w:tcW w:w="2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435F86"/>
              </w:rPr>
              <w:t>​</w:t>
            </w:r>
          </w:p>
        </w:tc>
        <w:tc>
          <w:tcPr>
            <w:tcW w:w="0" w:type="dxa"/>
            <w:vAlign w:val="bottom"/>
          </w:tcPr>
          <w:p>
            <w:pPr>
              <w:spacing w:after="0"/>
              <w:rPr>
                <w:sz w:val="1"/>
                <w:szCs w:val="1"/>
                <w:color w:val="auto"/>
              </w:rPr>
            </w:pPr>
          </w:p>
        </w:tc>
      </w:tr>
      <w:tr>
        <w:trPr>
          <w:trHeight w:val="304"/>
        </w:trPr>
        <w:tc>
          <w:tcPr>
            <w:tcW w:w="1780" w:type="dxa"/>
            <w:vAlign w:val="bottom"/>
            <w:tcBorders>
              <w:top w:val="single" w:sz="8" w:color="435F86"/>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Michael B. Petras, Jr.</w:t>
            </w:r>
          </w:p>
        </w:tc>
        <w:tc>
          <w:tcPr>
            <w:tcW w:w="140" w:type="dxa"/>
            <w:vAlign w:val="bottom"/>
            <w:tcBorders>
              <w:top w:val="single" w:sz="8" w:color="435F86"/>
              <w:bottom w:val="single" w:sz="8" w:color="7B8FAA"/>
            </w:tcBorders>
            <w:shd w:val="clear" w:color="auto" w:fill="CCEEFF"/>
          </w:tcPr>
          <w:p>
            <w:pPr>
              <w:spacing w:after="0"/>
              <w:rPr>
                <w:sz w:val="24"/>
                <w:szCs w:val="24"/>
                <w:color w:val="auto"/>
              </w:rPr>
            </w:pPr>
          </w:p>
        </w:tc>
        <w:tc>
          <w:tcPr>
            <w:tcW w:w="1080" w:type="dxa"/>
            <w:vAlign w:val="bottom"/>
            <w:tcBorders>
              <w:top w:val="single" w:sz="8" w:color="435F86"/>
              <w:bottom w:val="single" w:sz="8" w:color="7B8FAA"/>
            </w:tcBorders>
            <w:gridSpan w:val="3"/>
            <w:shd w:val="clear" w:color="auto" w:fill="CCEEFF"/>
          </w:tcPr>
          <w:p>
            <w:pPr>
              <w:jc w:val="right"/>
              <w:ind w:right="64"/>
              <w:spacing w:after="0" w:line="303" w:lineRule="exact"/>
              <w:rPr>
                <w:sz w:val="20"/>
                <w:szCs w:val="20"/>
                <w:color w:val="auto"/>
              </w:rPr>
            </w:pPr>
            <w:r>
              <w:rPr>
                <w:rFonts w:ascii="Arial" w:cs="Arial" w:eastAsia="Arial" w:hAnsi="Arial"/>
                <w:sz w:val="34"/>
                <w:szCs w:val="34"/>
                <w:color w:val="auto"/>
                <w:w w:val="95"/>
                <w:vertAlign w:val="superscript"/>
              </w:rPr>
              <w:t>​</w:t>
            </w:r>
            <w:r>
              <w:rPr>
                <w:rFonts w:ascii="Arial" w:cs="Arial" w:eastAsia="Arial" w:hAnsi="Arial"/>
                <w:sz w:val="17"/>
                <w:szCs w:val="17"/>
                <w:color w:val="auto"/>
                <w:w w:val="95"/>
              </w:rPr>
              <w:t xml:space="preserve"> 1,118,012</w:t>
            </w:r>
            <w:r>
              <w:rPr>
                <w:rFonts w:ascii="Arial" w:cs="Arial" w:eastAsia="Arial" w:hAnsi="Arial"/>
                <w:sz w:val="22"/>
                <w:szCs w:val="22"/>
                <w:color w:val="auto"/>
                <w:w w:val="95"/>
                <w:vertAlign w:val="superscript"/>
              </w:rPr>
              <w:t>(1)</w:t>
            </w:r>
          </w:p>
        </w:tc>
        <w:tc>
          <w:tcPr>
            <w:tcW w:w="200" w:type="dxa"/>
            <w:vAlign w:val="bottom"/>
            <w:tcBorders>
              <w:top w:val="single" w:sz="8" w:color="435F86"/>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435F86"/>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435F86"/>
              <w:bottom w:val="single" w:sz="8" w:color="7B8FAA"/>
            </w:tcBorders>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435F86"/>
              <w:bottom w:val="single" w:sz="8" w:color="7B8FAA"/>
            </w:tcBorders>
            <w:gridSpan w:val="2"/>
            <w:shd w:val="clear" w:color="auto" w:fill="CCEEFF"/>
          </w:tcPr>
          <w:p>
            <w:pPr>
              <w:jc w:val="right"/>
              <w:ind w:right="9"/>
              <w:spacing w:after="0" w:line="303"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$23.00</w:t>
            </w:r>
          </w:p>
        </w:tc>
        <w:tc>
          <w:tcPr>
            <w:tcW w:w="200" w:type="dxa"/>
            <w:vAlign w:val="bottom"/>
            <w:tcBorders>
              <w:top w:val="single" w:sz="8" w:color="435F86"/>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435F86"/>
              <w:bottom w:val="single" w:sz="8" w:color="7B8FAA"/>
            </w:tcBorders>
            <w:gridSpan w:val="3"/>
            <w:shd w:val="clear" w:color="auto" w:fill="CCEEFF"/>
          </w:tcPr>
          <w:p>
            <w:pPr>
              <w:ind w:left="120"/>
              <w:spacing w:after="0" w:line="303" w:lineRule="exact"/>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11/20/2030</w:t>
            </w:r>
          </w:p>
        </w:tc>
        <w:tc>
          <w:tcPr>
            <w:tcW w:w="120" w:type="dxa"/>
            <w:vAlign w:val="bottom"/>
            <w:tcBorders>
              <w:top w:val="single" w:sz="8" w:color="435F86"/>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435F86"/>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435F86"/>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435F86"/>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435F86"/>
              <w:bottom w:val="single" w:sz="8" w:color="7B8FAA"/>
            </w:tcBorders>
            <w:shd w:val="clear" w:color="auto" w:fill="CCEEFF"/>
          </w:tcPr>
          <w:p>
            <w:pPr>
              <w:spacing w:after="0"/>
              <w:rPr>
                <w:sz w:val="24"/>
                <w:szCs w:val="24"/>
                <w:color w:val="auto"/>
              </w:rPr>
            </w:pPr>
          </w:p>
        </w:tc>
        <w:tc>
          <w:tcPr>
            <w:tcW w:w="180" w:type="dxa"/>
            <w:vAlign w:val="bottom"/>
            <w:tcBorders>
              <w:top w:val="single" w:sz="8" w:color="435F86"/>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top w:val="single" w:sz="8" w:color="435F86"/>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435F86"/>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435F86"/>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435F86"/>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7B8FAA"/>
            </w:tcBorders>
            <w:shd w:val="clear" w:color="auto" w:fill="CCEEFF"/>
          </w:tcPr>
          <w:p>
            <w:pPr>
              <w:spacing w:after="0"/>
              <w:rPr>
                <w:sz w:val="21"/>
                <w:szCs w:val="21"/>
                <w:color w:val="auto"/>
              </w:rPr>
            </w:pPr>
          </w:p>
        </w:tc>
        <w:tc>
          <w:tcPr>
            <w:tcW w:w="6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gridSpan w:val="2"/>
            <w:shd w:val="clear" w:color="auto" w:fill="CCEEFF"/>
          </w:tcPr>
          <w:p>
            <w:pPr>
              <w:jc w:val="right"/>
              <w:ind w:right="64"/>
              <w:spacing w:after="0"/>
              <w:rPr>
                <w:sz w:val="20"/>
                <w:szCs w:val="20"/>
                <w:color w:val="auto"/>
              </w:rPr>
            </w:pPr>
            <w:r>
              <w:rPr>
                <w:rFonts w:ascii="Arial" w:cs="Arial" w:eastAsia="Arial" w:hAnsi="Arial"/>
                <w:sz w:val="17"/>
                <w:szCs w:val="17"/>
                <w:color w:val="auto"/>
              </w:rPr>
              <w:t>319,288</w:t>
            </w:r>
            <w:r>
              <w:rPr>
                <w:rFonts w:ascii="Arial" w:cs="Arial" w:eastAsia="Arial" w:hAnsi="Arial"/>
                <w:sz w:val="22"/>
                <w:szCs w:val="22"/>
                <w:color w:val="auto"/>
                <w:vertAlign w:val="superscript"/>
              </w:rPr>
              <w:t>(2)</w:t>
            </w:r>
          </w:p>
        </w:tc>
        <w:tc>
          <w:tcPr>
            <w:tcW w:w="1060" w:type="dxa"/>
            <w:vAlign w:val="bottom"/>
            <w:tcBorders>
              <w:bottom w:val="single" w:sz="8" w:color="7B8FAA"/>
            </w:tcBorders>
            <w:gridSpan w:val="3"/>
            <w:shd w:val="clear" w:color="auto" w:fill="CCEEFF"/>
          </w:tcPr>
          <w:p>
            <w:pPr>
              <w:jc w:val="right"/>
              <w:ind w:right="64"/>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159,644</w:t>
            </w:r>
            <w:r>
              <w:rPr>
                <w:rFonts w:ascii="Arial" w:cs="Arial" w:eastAsia="Arial" w:hAnsi="Arial"/>
                <w:sz w:val="19"/>
                <w:szCs w:val="19"/>
                <w:color w:val="auto"/>
                <w:vertAlign w:val="superscript"/>
              </w:rPr>
              <w:t>(2)</w:t>
            </w:r>
            <w:r>
              <w:rPr>
                <w:rFonts w:ascii="Arial" w:cs="Arial" w:eastAsia="Arial" w:hAnsi="Arial"/>
                <w:sz w:val="16"/>
                <w:szCs w:val="16"/>
                <w:color w:val="auto"/>
              </w:rPr>
              <w:t>​</w:t>
            </w:r>
          </w:p>
        </w:tc>
        <w:tc>
          <w:tcPr>
            <w:tcW w:w="800" w:type="dxa"/>
            <w:vAlign w:val="bottom"/>
            <w:tcBorders>
              <w:bottom w:val="single" w:sz="8" w:color="7B8FAA"/>
            </w:tcBorders>
            <w:gridSpan w:val="2"/>
            <w:shd w:val="clear" w:color="auto" w:fill="CCEEFF"/>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20.03</w:t>
            </w:r>
          </w:p>
        </w:tc>
        <w:tc>
          <w:tcPr>
            <w:tcW w:w="2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7B8FAA"/>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3/2/2032</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spacing w:after="0"/>
              <w:rPr>
                <w:sz w:val="21"/>
                <w:szCs w:val="21"/>
                <w:color w:val="auto"/>
              </w:rPr>
            </w:pPr>
          </w:p>
        </w:tc>
        <w:tc>
          <w:tcPr>
            <w:tcW w:w="1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7B8FAA"/>
            </w:tcBorders>
            <w:shd w:val="clear" w:color="auto" w:fill="CCEEFF"/>
          </w:tcPr>
          <w:p>
            <w:pPr>
              <w:spacing w:after="0"/>
              <w:rPr>
                <w:sz w:val="21"/>
                <w:szCs w:val="21"/>
                <w:color w:val="auto"/>
              </w:rPr>
            </w:pPr>
          </w:p>
        </w:tc>
        <w:tc>
          <w:tcPr>
            <w:tcW w:w="820" w:type="dxa"/>
            <w:vAlign w:val="bottom"/>
            <w:tcBorders>
              <w:bottom w:val="single" w:sz="8" w:color="7B8FAA"/>
            </w:tcBorders>
            <w:gridSpan w:val="2"/>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2,108,356</w:t>
            </w:r>
          </w:p>
        </w:tc>
        <w:tc>
          <w:tcPr>
            <w:tcW w:w="260" w:type="dxa"/>
            <w:vAlign w:val="bottom"/>
            <w:tcBorders>
              <w:bottom w:val="single" w:sz="8" w:color="7B8FAA"/>
            </w:tcBorders>
            <w:shd w:val="clear" w:color="auto" w:fill="CCEEFF"/>
          </w:tcPr>
          <w:p>
            <w:pPr>
              <w:jc w:val="right"/>
              <w:ind w:right="64"/>
              <w:spacing w:after="0"/>
              <w:rPr>
                <w:sz w:val="20"/>
                <w:szCs w:val="20"/>
                <w:color w:val="auto"/>
              </w:rPr>
            </w:pPr>
            <w:r>
              <w:rPr>
                <w:rFonts w:ascii="Arial" w:cs="Arial" w:eastAsia="Arial" w:hAnsi="Arial"/>
                <w:sz w:val="11"/>
                <w:szCs w:val="11"/>
                <w:color w:val="auto"/>
                <w:w w:val="88"/>
              </w:rPr>
              <w:t>(3)</w:t>
            </w:r>
          </w:p>
        </w:tc>
        <w:tc>
          <w:tcPr>
            <w:tcW w:w="2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7B8FAA"/>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7B8FAA"/>
            </w:tcBorders>
            <w:shd w:val="clear" w:color="auto" w:fill="CCEEFF"/>
          </w:tcPr>
          <w:p>
            <w:pPr>
              <w:jc w:val="right"/>
              <w:ind w:right="9"/>
              <w:spacing w:after="0"/>
              <w:rPr>
                <w:sz w:val="20"/>
                <w:szCs w:val="20"/>
                <w:color w:val="auto"/>
              </w:rPr>
            </w:pPr>
            <w:r>
              <w:rPr>
                <w:rFonts w:ascii="Arial" w:cs="Arial" w:eastAsia="Arial" w:hAnsi="Arial"/>
                <w:sz w:val="17"/>
                <w:szCs w:val="17"/>
                <w:color w:val="auto"/>
              </w:rPr>
              <w:t>6.37</w:t>
            </w:r>
          </w:p>
        </w:tc>
        <w:tc>
          <w:tcPr>
            <w:tcW w:w="2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gridSpan w:val="3"/>
            <w:shd w:val="clear" w:color="auto" w:fill="CCEEFF"/>
          </w:tcPr>
          <w:p>
            <w:pPr>
              <w:ind w:left="120"/>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11/7/2032</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spacing w:after="0"/>
              <w:rPr>
                <w:sz w:val="21"/>
                <w:szCs w:val="21"/>
                <w:color w:val="auto"/>
              </w:rPr>
            </w:pPr>
          </w:p>
        </w:tc>
        <w:tc>
          <w:tcPr>
            <w:tcW w:w="1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7B8FAA"/>
            </w:tcBorders>
            <w:shd w:val="clear" w:color="auto" w:fill="CCEEFF"/>
          </w:tcPr>
          <w:p>
            <w:pPr>
              <w:spacing w:after="0"/>
              <w:rPr>
                <w:sz w:val="21"/>
                <w:szCs w:val="21"/>
                <w:color w:val="auto"/>
              </w:rPr>
            </w:pPr>
          </w:p>
        </w:tc>
        <w:tc>
          <w:tcPr>
            <w:tcW w:w="6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134,698</w:t>
            </w:r>
          </w:p>
        </w:tc>
        <w:tc>
          <w:tcPr>
            <w:tcW w:w="260" w:type="dxa"/>
            <w:vAlign w:val="bottom"/>
            <w:tcBorders>
              <w:bottom w:val="single" w:sz="8" w:color="7B8FAA"/>
            </w:tcBorders>
            <w:shd w:val="clear" w:color="auto" w:fill="CCEEFF"/>
          </w:tcPr>
          <w:p>
            <w:pPr>
              <w:spacing w:after="0"/>
              <w:rPr>
                <w:sz w:val="21"/>
                <w:szCs w:val="21"/>
                <w:color w:val="auto"/>
              </w:rPr>
            </w:pPr>
          </w:p>
        </w:tc>
        <w:tc>
          <w:tcPr>
            <w:tcW w:w="1060" w:type="dxa"/>
            <w:vAlign w:val="bottom"/>
            <w:tcBorders>
              <w:bottom w:val="single" w:sz="8" w:color="7B8FAA"/>
            </w:tcBorders>
            <w:gridSpan w:val="3"/>
            <w:shd w:val="clear" w:color="auto" w:fill="CCEEFF"/>
          </w:tcPr>
          <w:p>
            <w:pPr>
              <w:jc w:val="right"/>
              <w:ind w:right="64"/>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269,396</w:t>
            </w:r>
            <w:r>
              <w:rPr>
                <w:rFonts w:ascii="Arial" w:cs="Arial" w:eastAsia="Arial" w:hAnsi="Arial"/>
                <w:sz w:val="19"/>
                <w:szCs w:val="19"/>
                <w:color w:val="auto"/>
                <w:vertAlign w:val="superscript"/>
              </w:rPr>
              <w:t>(4)</w:t>
            </w:r>
            <w:r>
              <w:rPr>
                <w:rFonts w:ascii="Arial" w:cs="Arial" w:eastAsia="Arial" w:hAnsi="Arial"/>
                <w:sz w:val="16"/>
                <w:szCs w:val="16"/>
                <w:color w:val="auto"/>
              </w:rPr>
              <w:t>​</w:t>
            </w:r>
          </w:p>
        </w:tc>
        <w:tc>
          <w:tcPr>
            <w:tcW w:w="800" w:type="dxa"/>
            <w:vAlign w:val="bottom"/>
            <w:tcBorders>
              <w:bottom w:val="single" w:sz="8" w:color="7B8FAA"/>
            </w:tcBorders>
            <w:gridSpan w:val="2"/>
            <w:shd w:val="clear" w:color="auto" w:fill="CCEEFF"/>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17.59</w:t>
            </w:r>
          </w:p>
        </w:tc>
        <w:tc>
          <w:tcPr>
            <w:tcW w:w="2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7B8FAA"/>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3/6/2033</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spacing w:after="0"/>
              <w:rPr>
                <w:sz w:val="21"/>
                <w:szCs w:val="21"/>
                <w:color w:val="auto"/>
              </w:rPr>
            </w:pPr>
          </w:p>
        </w:tc>
        <w:tc>
          <w:tcPr>
            <w:tcW w:w="1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7B8FAA"/>
            </w:tcBorders>
            <w:shd w:val="clear" w:color="auto" w:fill="CCEEFF"/>
          </w:tcPr>
          <w:p>
            <w:pPr>
              <w:spacing w:after="0"/>
              <w:rPr>
                <w:sz w:val="21"/>
                <w:szCs w:val="21"/>
                <w:color w:val="auto"/>
              </w:rPr>
            </w:pPr>
          </w:p>
        </w:tc>
        <w:tc>
          <w:tcPr>
            <w:tcW w:w="6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spacing w:after="0"/>
              <w:rPr>
                <w:sz w:val="21"/>
                <w:szCs w:val="21"/>
                <w:color w:val="auto"/>
              </w:rPr>
            </w:pPr>
          </w:p>
        </w:tc>
        <w:tc>
          <w:tcPr>
            <w:tcW w:w="1060" w:type="dxa"/>
            <w:vAlign w:val="bottom"/>
            <w:tcBorders>
              <w:bottom w:val="single" w:sz="8" w:color="7B8FAA"/>
            </w:tcBorders>
            <w:gridSpan w:val="3"/>
            <w:shd w:val="clear" w:color="auto" w:fill="CCEEFF"/>
          </w:tcPr>
          <w:p>
            <w:pPr>
              <w:jc w:val="right"/>
              <w:ind w:right="64"/>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544,509</w:t>
            </w:r>
            <w:r>
              <w:rPr>
                <w:rFonts w:ascii="Arial" w:cs="Arial" w:eastAsia="Arial" w:hAnsi="Arial"/>
                <w:sz w:val="19"/>
                <w:szCs w:val="19"/>
                <w:color w:val="auto"/>
                <w:vertAlign w:val="superscript"/>
              </w:rPr>
              <w:t>(5)</w:t>
            </w:r>
            <w:r>
              <w:rPr>
                <w:rFonts w:ascii="Arial" w:cs="Arial" w:eastAsia="Arial" w:hAnsi="Arial"/>
                <w:sz w:val="16"/>
                <w:szCs w:val="16"/>
                <w:color w:val="auto"/>
              </w:rPr>
              <w:t>​</w:t>
            </w:r>
          </w:p>
        </w:tc>
        <w:tc>
          <w:tcPr>
            <w:tcW w:w="800" w:type="dxa"/>
            <w:vAlign w:val="bottom"/>
            <w:tcBorders>
              <w:bottom w:val="single" w:sz="8" w:color="7B8FAA"/>
            </w:tcBorders>
            <w:gridSpan w:val="2"/>
            <w:shd w:val="clear" w:color="auto" w:fill="CCEEFF"/>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14.59</w:t>
            </w:r>
          </w:p>
        </w:tc>
        <w:tc>
          <w:tcPr>
            <w:tcW w:w="2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7B8FAA"/>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3/4/2034</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spacing w:after="0"/>
              <w:rPr>
                <w:sz w:val="21"/>
                <w:szCs w:val="21"/>
                <w:color w:val="auto"/>
              </w:rPr>
            </w:pPr>
          </w:p>
        </w:tc>
        <w:tc>
          <w:tcPr>
            <w:tcW w:w="1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7B8FAA"/>
            </w:tcBorders>
            <w:shd w:val="clear" w:color="auto" w:fill="CCEEFF"/>
          </w:tcPr>
          <w:p>
            <w:pPr>
              <w:spacing w:after="0"/>
              <w:rPr>
                <w:sz w:val="21"/>
                <w:szCs w:val="21"/>
                <w:color w:val="auto"/>
              </w:rPr>
            </w:pPr>
          </w:p>
        </w:tc>
        <w:tc>
          <w:tcPr>
            <w:tcW w:w="6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spacing w:after="0"/>
              <w:rPr>
                <w:sz w:val="21"/>
                <w:szCs w:val="21"/>
                <w:color w:val="auto"/>
              </w:rPr>
            </w:pPr>
          </w:p>
        </w:tc>
        <w:tc>
          <w:tcPr>
            <w:tcW w:w="2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7B8FAA"/>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7B8FAA"/>
            </w:tcBorders>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7B8FAA"/>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7B8FAA"/>
            </w:tcBorders>
            <w:gridSpan w:val="3"/>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bscript"/>
              </w:rPr>
              <w:t>62,407</w:t>
            </w:r>
            <w:r>
              <w:rPr>
                <w:rFonts w:ascii="Arial" w:cs="Arial" w:eastAsia="Arial" w:hAnsi="Arial"/>
                <w:sz w:val="19"/>
                <w:szCs w:val="19"/>
                <w:color w:val="auto"/>
                <w:vertAlign w:val="superscript"/>
              </w:rPr>
              <w:t>(6)</w:t>
            </w:r>
            <w:r>
              <w:rPr>
                <w:rFonts w:ascii="Arial" w:cs="Arial" w:eastAsia="Arial" w:hAnsi="Arial"/>
                <w:sz w:val="16"/>
                <w:szCs w:val="16"/>
                <w:color w:val="auto"/>
              </w:rPr>
              <w:t>​ ​</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60"/>
              <w:spacing w:after="0" w:line="252" w:lineRule="exact"/>
              <w:rPr>
                <w:sz w:val="20"/>
                <w:szCs w:val="20"/>
                <w:color w:val="auto"/>
              </w:rPr>
            </w:pPr>
            <w:r>
              <w:rPr>
                <w:rFonts w:ascii="Arial" w:cs="Arial" w:eastAsia="Arial" w:hAnsi="Arial"/>
                <w:sz w:val="16"/>
                <w:szCs w:val="16"/>
                <w:color w:val="auto"/>
                <w:w w:val="92"/>
              </w:rPr>
              <w:t>​</w:t>
            </w:r>
            <w:r>
              <w:rPr>
                <w:rFonts w:ascii="Arial" w:cs="Arial" w:eastAsia="Arial" w:hAnsi="Arial"/>
                <w:sz w:val="29"/>
                <w:szCs w:val="29"/>
                <w:color w:val="auto"/>
                <w:w w:val="92"/>
                <w:vertAlign w:val="subscript"/>
              </w:rPr>
              <w:t>$</w:t>
            </w:r>
          </w:p>
        </w:tc>
        <w:tc>
          <w:tcPr>
            <w:tcW w:w="860" w:type="dxa"/>
            <w:vAlign w:val="bottom"/>
            <w:tcBorders>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853,728</w:t>
            </w:r>
          </w:p>
        </w:tc>
        <w:tc>
          <w:tcPr>
            <w:tcW w:w="100" w:type="dxa"/>
            <w:vAlign w:val="bottom"/>
            <w:tcBorders>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142,126</w:t>
            </w:r>
            <w:r>
              <w:rPr>
                <w:rFonts w:ascii="Arial" w:cs="Arial" w:eastAsia="Arial" w:hAnsi="Arial"/>
                <w:sz w:val="19"/>
                <w:szCs w:val="19"/>
                <w:color w:val="auto"/>
                <w:vertAlign w:val="superscript"/>
              </w:rPr>
              <w:t>(7)</w:t>
            </w:r>
            <w:r>
              <w:rPr>
                <w:rFonts w:ascii="Arial" w:cs="Arial" w:eastAsia="Arial" w:hAnsi="Arial"/>
                <w:sz w:val="16"/>
                <w:szCs w:val="16"/>
                <w:color w:val="auto"/>
              </w:rPr>
              <w:t>​ ​</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2"/>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1,944,284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
        </w:trPr>
        <w:tc>
          <w:tcPr>
            <w:tcW w:w="1780" w:type="dxa"/>
            <w:vAlign w:val="bottom"/>
            <w:shd w:val="clear" w:color="auto" w:fill="CCEEFF"/>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rPr>
                <w:sz w:val="20"/>
                <w:szCs w:val="20"/>
                <w:color w:val="auto"/>
              </w:rPr>
            </w:pPr>
            <w:r>
              <w:rPr>
                <w:rFonts w:ascii="Arial" w:cs="Arial" w:eastAsia="Arial" w:hAnsi="Arial"/>
                <w:sz w:val="1"/>
                <w:szCs w:val="1"/>
                <w:color w:val="auto"/>
              </w:rPr>
              <w:t>​</w:t>
            </w:r>
          </w:p>
        </w:tc>
        <w:tc>
          <w:tcPr>
            <w:tcW w:w="76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spacing w:after="0" w:line="20" w:lineRule="exact"/>
              <w:rPr>
                <w:sz w:val="1"/>
                <w:szCs w:val="1"/>
                <w:color w:val="auto"/>
              </w:rPr>
            </w:pPr>
          </w:p>
        </w:tc>
        <w:tc>
          <w:tcPr>
            <w:tcW w:w="2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6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jc w:val="right"/>
              <w:ind w:right="64"/>
              <w:spacing w:after="0"/>
              <w:rPr>
                <w:sz w:val="20"/>
                <w:szCs w:val="20"/>
                <w:color w:val="auto"/>
              </w:rPr>
            </w:pPr>
            <w:r>
              <w:rPr>
                <w:rFonts w:ascii="Arial" w:cs="Arial" w:eastAsia="Arial" w:hAnsi="Arial"/>
                <w:sz w:val="1"/>
                <w:szCs w:val="1"/>
                <w:color w:val="auto"/>
              </w:rPr>
              <w:t>​</w:t>
            </w:r>
          </w:p>
        </w:tc>
        <w:tc>
          <w:tcPr>
            <w:tcW w:w="240" w:type="dxa"/>
            <w:vAlign w:val="bottom"/>
            <w:shd w:val="clear" w:color="auto" w:fill="7B8FAA"/>
          </w:tcPr>
          <w:p>
            <w:pPr>
              <w:ind w:left="200"/>
              <w:spacing w:after="0"/>
              <w:rPr>
                <w:sz w:val="20"/>
                <w:szCs w:val="20"/>
                <w:color w:val="auto"/>
              </w:rPr>
            </w:pPr>
            <w:r>
              <w:rPr>
                <w:rFonts w:ascii="Arial" w:cs="Arial" w:eastAsia="Arial" w:hAnsi="Arial"/>
                <w:sz w:val="1"/>
                <w:szCs w:val="1"/>
                <w:color w:val="auto"/>
              </w:rPr>
              <w:t>​</w:t>
            </w:r>
          </w:p>
        </w:tc>
        <w:tc>
          <w:tcPr>
            <w:tcW w:w="560" w:type="dxa"/>
            <w:vAlign w:val="bottom"/>
            <w:shd w:val="clear" w:color="auto" w:fill="7B8FAA"/>
          </w:tcPr>
          <w:p>
            <w:pPr>
              <w:jc w:val="right"/>
              <w:ind w:right="9"/>
              <w:spacing w:after="0"/>
              <w:rPr>
                <w:sz w:val="20"/>
                <w:szCs w:val="20"/>
                <w:color w:val="auto"/>
              </w:rPr>
            </w:pPr>
            <w:r>
              <w:rPr>
                <w:rFonts w:ascii="Arial" w:cs="Arial" w:eastAsia="Arial" w:hAnsi="Arial"/>
                <w:sz w:val="1"/>
                <w:szCs w:val="1"/>
                <w:color w:val="auto"/>
              </w:rPr>
              <w:t>—</w:t>
            </w:r>
          </w:p>
        </w:tc>
        <w:tc>
          <w:tcPr>
            <w:tcW w:w="200" w:type="dxa"/>
            <w:vAlign w:val="bottom"/>
            <w:shd w:val="clear" w:color="auto" w:fill="7B8FAA"/>
          </w:tcPr>
          <w:p>
            <w:pPr>
              <w:ind w:left="4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960" w:type="dxa"/>
            <w:vAlign w:val="bottom"/>
            <w:gridSpan w:val="3"/>
            <w:shd w:val="clear" w:color="auto" w:fill="7B8FAA"/>
          </w:tcPr>
          <w:p>
            <w:pPr>
              <w:jc w:val="right"/>
              <w:spacing w:after="0"/>
              <w:rPr>
                <w:sz w:val="20"/>
                <w:szCs w:val="20"/>
                <w:color w:val="auto"/>
              </w:rPr>
            </w:pPr>
            <w:r>
              <w:rPr>
                <w:rFonts w:ascii="Arial" w:cs="Arial" w:eastAsia="Arial" w:hAnsi="Arial"/>
                <w:sz w:val="1"/>
                <w:szCs w:val="1"/>
                <w:color w:val="auto"/>
              </w:rPr>
              <w:t xml:space="preserve">— </w:t>
            </w:r>
            <w:r>
              <w:rPr>
                <w:rFonts w:ascii="Arial" w:cs="Arial" w:eastAsia="Arial" w:hAnsi="Arial"/>
                <w:sz w:val="1"/>
                <w:szCs w:val="1"/>
                <w:color w:val="auto"/>
                <w:vertAlign w:val="superscript"/>
              </w:rPr>
              <w:t>​</w:t>
            </w:r>
          </w:p>
        </w:tc>
        <w:tc>
          <w:tcPr>
            <w:tcW w:w="12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800" w:type="dxa"/>
            <w:vAlign w:val="bottom"/>
            <w:gridSpan w:val="2"/>
            <w:shd w:val="clear" w:color="auto" w:fill="7B8FAA"/>
          </w:tcPr>
          <w:p>
            <w:pPr>
              <w:ind w:left="120"/>
              <w:spacing w:after="0"/>
              <w:rPr>
                <w:sz w:val="20"/>
                <w:szCs w:val="20"/>
                <w:color w:val="auto"/>
              </w:rPr>
            </w:pPr>
            <w:r>
              <w:rPr>
                <w:rFonts w:ascii="Arial" w:cs="Arial" w:eastAsia="Arial" w:hAnsi="Arial"/>
                <w:sz w:val="1"/>
                <w:szCs w:val="1"/>
                <w:color w:val="auto"/>
                <w:vertAlign w:val="superscript"/>
              </w:rPr>
              <w:t>​</w:t>
            </w:r>
            <w:r>
              <w:rPr>
                <w:rFonts w:ascii="Arial" w:cs="Arial" w:eastAsia="Arial" w:hAnsi="Arial"/>
                <w:sz w:val="1"/>
                <w:szCs w:val="1"/>
                <w:color w:val="auto"/>
              </w:rPr>
              <w:t>274,160</w:t>
            </w:r>
          </w:p>
        </w:tc>
        <w:tc>
          <w:tcPr>
            <w:tcW w:w="12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jc w:val="right"/>
              <w:spacing w:after="0"/>
              <w:rPr>
                <w:sz w:val="20"/>
                <w:szCs w:val="20"/>
                <w:color w:val="auto"/>
              </w:rPr>
            </w:pPr>
            <w:r>
              <w:rPr>
                <w:rFonts w:ascii="Arial" w:cs="Arial" w:eastAsia="Arial" w:hAnsi="Arial"/>
                <w:sz w:val="1"/>
                <w:szCs w:val="1"/>
                <w:color w:val="auto"/>
              </w:rPr>
              <w:t>​ ​</w:t>
            </w:r>
          </w:p>
        </w:tc>
        <w:tc>
          <w:tcPr>
            <w:tcW w:w="16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1040" w:type="dxa"/>
            <w:vAlign w:val="bottom"/>
            <w:gridSpan w:val="2"/>
            <w:shd w:val="clear" w:color="auto" w:fill="7B8FAA"/>
          </w:tcPr>
          <w:p>
            <w:pPr>
              <w:jc w:val="right"/>
              <w:ind w:right="12"/>
              <w:spacing w:after="0"/>
              <w:rPr>
                <w:sz w:val="20"/>
                <w:szCs w:val="20"/>
                <w:color w:val="auto"/>
              </w:rPr>
            </w:pPr>
            <w:r>
              <w:rPr>
                <w:rFonts w:ascii="Arial" w:cs="Arial" w:eastAsia="Arial" w:hAnsi="Arial"/>
                <w:sz w:val="1"/>
                <w:szCs w:val="1"/>
                <w:color w:val="auto"/>
                <w:vertAlign w:val="superscript"/>
              </w:rPr>
              <w:t>​</w:t>
            </w:r>
            <w:r>
              <w:rPr>
                <w:rFonts w:ascii="Arial" w:cs="Arial" w:eastAsia="Arial" w:hAnsi="Arial"/>
                <w:sz w:val="1"/>
                <w:szCs w:val="1"/>
                <w:color w:val="auto"/>
              </w:rPr>
              <w:t xml:space="preserve"> 3,750,509</w:t>
            </w:r>
          </w:p>
        </w:tc>
        <w:tc>
          <w:tcPr>
            <w:tcW w:w="100" w:type="dxa"/>
            <w:vAlign w:val="bottom"/>
            <w:gridSpan w:val="2"/>
            <w:shd w:val="clear" w:color="auto" w:fill="7B8FAA"/>
          </w:tcPr>
          <w:p>
            <w:pPr>
              <w:jc w:val="right"/>
              <w:spacing w:after="0"/>
              <w:rPr>
                <w:sz w:val="20"/>
                <w:szCs w:val="20"/>
                <w:color w:val="auto"/>
              </w:rPr>
            </w:pPr>
            <w:r>
              <w:rPr>
                <w:rFonts w:ascii="Arial" w:cs="Arial" w:eastAsia="Arial" w:hAnsi="Arial"/>
                <w:sz w:val="1"/>
                <w:szCs w:val="1"/>
                <w:color w:val="auto"/>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1"/>
                <w:szCs w:val="11"/>
                <w:color w:val="auto"/>
                <w:w w:val="91"/>
              </w:rPr>
              <w:t>(12)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80" w:type="dxa"/>
            <w:vAlign w:val="bottom"/>
            <w:tcBorders>
              <w:bottom w:val="single" w:sz="8" w:color="7B8FAA"/>
            </w:tcBorders>
            <w:shd w:val="clear" w:color="auto" w:fill="CCEEFF"/>
          </w:tcPr>
          <w:p>
            <w:pPr>
              <w:spacing w:after="0"/>
              <w:rPr>
                <w:sz w:val="9"/>
                <w:szCs w:val="9"/>
                <w:color w:val="auto"/>
              </w:rPr>
            </w:pPr>
          </w:p>
        </w:tc>
        <w:tc>
          <w:tcPr>
            <w:tcW w:w="140" w:type="dxa"/>
            <w:vAlign w:val="bottom"/>
            <w:tcBorders>
              <w:bottom w:val="single" w:sz="8" w:color="7B8FAA"/>
            </w:tcBorders>
            <w:shd w:val="clear" w:color="auto" w:fill="CCEEFF"/>
          </w:tcPr>
          <w:p>
            <w:pPr>
              <w:spacing w:after="0"/>
              <w:rPr>
                <w:sz w:val="9"/>
                <w:szCs w:val="9"/>
                <w:color w:val="auto"/>
              </w:rPr>
            </w:pPr>
          </w:p>
        </w:tc>
        <w:tc>
          <w:tcPr>
            <w:tcW w:w="60" w:type="dxa"/>
            <w:vAlign w:val="bottom"/>
            <w:tcBorders>
              <w:bottom w:val="single" w:sz="8" w:color="7B8FAA"/>
            </w:tcBorders>
            <w:shd w:val="clear" w:color="auto" w:fill="CCEEFF"/>
          </w:tcPr>
          <w:p>
            <w:pPr>
              <w:spacing w:after="0"/>
              <w:rPr>
                <w:sz w:val="9"/>
                <w:szCs w:val="9"/>
                <w:color w:val="auto"/>
              </w:rPr>
            </w:pPr>
          </w:p>
        </w:tc>
        <w:tc>
          <w:tcPr>
            <w:tcW w:w="760" w:type="dxa"/>
            <w:vAlign w:val="bottom"/>
            <w:tcBorders>
              <w:bottom w:val="single" w:sz="8" w:color="7B8FAA"/>
            </w:tcBorders>
            <w:shd w:val="clear" w:color="auto" w:fill="CCEEFF"/>
          </w:tcPr>
          <w:p>
            <w:pPr>
              <w:spacing w:after="0"/>
              <w:rPr>
                <w:sz w:val="9"/>
                <w:szCs w:val="9"/>
                <w:color w:val="auto"/>
              </w:rPr>
            </w:pPr>
          </w:p>
        </w:tc>
        <w:tc>
          <w:tcPr>
            <w:tcW w:w="260" w:type="dxa"/>
            <w:vAlign w:val="bottom"/>
            <w:tcBorders>
              <w:bottom w:val="single" w:sz="8" w:color="7B8FAA"/>
            </w:tcBorders>
            <w:shd w:val="clear" w:color="auto" w:fill="CCEEFF"/>
          </w:tcPr>
          <w:p>
            <w:pPr>
              <w:spacing w:after="0"/>
              <w:rPr>
                <w:sz w:val="9"/>
                <w:szCs w:val="9"/>
                <w:color w:val="auto"/>
              </w:rPr>
            </w:pPr>
          </w:p>
        </w:tc>
        <w:tc>
          <w:tcPr>
            <w:tcW w:w="200" w:type="dxa"/>
            <w:vAlign w:val="bottom"/>
            <w:tcBorders>
              <w:bottom w:val="single" w:sz="8" w:color="7B8FAA"/>
            </w:tcBorders>
            <w:shd w:val="clear" w:color="auto" w:fill="CCEEFF"/>
          </w:tcPr>
          <w:p>
            <w:pPr>
              <w:spacing w:after="0"/>
              <w:rPr>
                <w:sz w:val="9"/>
                <w:szCs w:val="9"/>
                <w:color w:val="auto"/>
              </w:rPr>
            </w:pPr>
          </w:p>
        </w:tc>
        <w:tc>
          <w:tcPr>
            <w:tcW w:w="600" w:type="dxa"/>
            <w:vAlign w:val="bottom"/>
            <w:tcBorders>
              <w:bottom w:val="single" w:sz="8" w:color="7B8FAA"/>
            </w:tcBorders>
            <w:shd w:val="clear" w:color="auto" w:fill="CCEEFF"/>
          </w:tcPr>
          <w:p>
            <w:pPr>
              <w:spacing w:after="0"/>
              <w:rPr>
                <w:sz w:val="9"/>
                <w:szCs w:val="9"/>
                <w:color w:val="auto"/>
              </w:rPr>
            </w:pPr>
          </w:p>
        </w:tc>
        <w:tc>
          <w:tcPr>
            <w:tcW w:w="260" w:type="dxa"/>
            <w:vAlign w:val="bottom"/>
            <w:tcBorders>
              <w:bottom w:val="single" w:sz="8" w:color="7B8FAA"/>
            </w:tcBorders>
            <w:shd w:val="clear" w:color="auto" w:fill="CCEEFF"/>
          </w:tcPr>
          <w:p>
            <w:pPr>
              <w:spacing w:after="0"/>
              <w:rPr>
                <w:sz w:val="9"/>
                <w:szCs w:val="9"/>
                <w:color w:val="auto"/>
              </w:rPr>
            </w:pPr>
          </w:p>
        </w:tc>
        <w:tc>
          <w:tcPr>
            <w:tcW w:w="240" w:type="dxa"/>
            <w:vAlign w:val="bottom"/>
            <w:tcBorders>
              <w:bottom w:val="single" w:sz="8" w:color="7B8FAA"/>
            </w:tcBorders>
            <w:shd w:val="clear" w:color="auto" w:fill="CCEEFF"/>
          </w:tcPr>
          <w:p>
            <w:pPr>
              <w:spacing w:after="0"/>
              <w:rPr>
                <w:sz w:val="9"/>
                <w:szCs w:val="9"/>
                <w:color w:val="auto"/>
              </w:rPr>
            </w:pPr>
          </w:p>
        </w:tc>
        <w:tc>
          <w:tcPr>
            <w:tcW w:w="560" w:type="dxa"/>
            <w:vAlign w:val="bottom"/>
            <w:tcBorders>
              <w:bottom w:val="single" w:sz="8" w:color="7B8FAA"/>
            </w:tcBorders>
            <w:shd w:val="clear" w:color="auto" w:fill="CCEEFF"/>
          </w:tcPr>
          <w:p>
            <w:pPr>
              <w:spacing w:after="0"/>
              <w:rPr>
                <w:sz w:val="9"/>
                <w:szCs w:val="9"/>
                <w:color w:val="auto"/>
              </w:rPr>
            </w:pPr>
          </w:p>
        </w:tc>
        <w:tc>
          <w:tcPr>
            <w:tcW w:w="200" w:type="dxa"/>
            <w:vAlign w:val="bottom"/>
            <w:tcBorders>
              <w:bottom w:val="single" w:sz="8" w:color="7B8FAA"/>
            </w:tcBorders>
            <w:shd w:val="clear" w:color="auto" w:fill="CCEEFF"/>
          </w:tcPr>
          <w:p>
            <w:pPr>
              <w:spacing w:after="0"/>
              <w:rPr>
                <w:sz w:val="9"/>
                <w:szCs w:val="9"/>
                <w:color w:val="auto"/>
              </w:rPr>
            </w:pPr>
          </w:p>
        </w:tc>
        <w:tc>
          <w:tcPr>
            <w:tcW w:w="180" w:type="dxa"/>
            <w:vAlign w:val="bottom"/>
            <w:tcBorders>
              <w:bottom w:val="single" w:sz="8" w:color="7B8FAA"/>
            </w:tcBorders>
            <w:shd w:val="clear" w:color="auto" w:fill="CCEEFF"/>
          </w:tcPr>
          <w:p>
            <w:pPr>
              <w:spacing w:after="0"/>
              <w:rPr>
                <w:sz w:val="9"/>
                <w:szCs w:val="9"/>
                <w:color w:val="auto"/>
              </w:rPr>
            </w:pPr>
          </w:p>
        </w:tc>
        <w:tc>
          <w:tcPr>
            <w:tcW w:w="800" w:type="dxa"/>
            <w:vAlign w:val="bottom"/>
            <w:tcBorders>
              <w:bottom w:val="single" w:sz="8" w:color="7B8FAA"/>
            </w:tcBorders>
            <w:shd w:val="clear" w:color="auto" w:fill="CCEEFF"/>
          </w:tcPr>
          <w:p>
            <w:pPr>
              <w:spacing w:after="0"/>
              <w:rPr>
                <w:sz w:val="9"/>
                <w:szCs w:val="9"/>
                <w:color w:val="auto"/>
              </w:rPr>
            </w:pPr>
          </w:p>
        </w:tc>
        <w:tc>
          <w:tcPr>
            <w:tcW w:w="40" w:type="dxa"/>
            <w:vAlign w:val="bottom"/>
            <w:tcBorders>
              <w:bottom w:val="single" w:sz="8" w:color="7B8FAA"/>
            </w:tcBorders>
            <w:shd w:val="clear" w:color="auto" w:fill="CCEEFF"/>
          </w:tcPr>
          <w:p>
            <w:pPr>
              <w:spacing w:after="0"/>
              <w:rPr>
                <w:sz w:val="9"/>
                <w:szCs w:val="9"/>
                <w:color w:val="auto"/>
              </w:rPr>
            </w:pPr>
          </w:p>
        </w:tc>
        <w:tc>
          <w:tcPr>
            <w:tcW w:w="120" w:type="dxa"/>
            <w:vAlign w:val="bottom"/>
            <w:tcBorders>
              <w:bottom w:val="single" w:sz="8" w:color="7B8FAA"/>
            </w:tcBorders>
            <w:shd w:val="clear" w:color="auto" w:fill="CCEEFF"/>
          </w:tcPr>
          <w:p>
            <w:pPr>
              <w:spacing w:after="0"/>
              <w:rPr>
                <w:sz w:val="9"/>
                <w:szCs w:val="9"/>
                <w:color w:val="auto"/>
              </w:rPr>
            </w:pPr>
          </w:p>
        </w:tc>
        <w:tc>
          <w:tcPr>
            <w:tcW w:w="120" w:type="dxa"/>
            <w:vAlign w:val="bottom"/>
            <w:tcBorders>
              <w:bottom w:val="single" w:sz="8" w:color="7B8FAA"/>
            </w:tcBorders>
            <w:shd w:val="clear" w:color="auto" w:fill="CCEEFF"/>
          </w:tcPr>
          <w:p>
            <w:pPr>
              <w:spacing w:after="0"/>
              <w:rPr>
                <w:sz w:val="9"/>
                <w:szCs w:val="9"/>
                <w:color w:val="auto"/>
              </w:rPr>
            </w:pPr>
          </w:p>
        </w:tc>
        <w:tc>
          <w:tcPr>
            <w:tcW w:w="220" w:type="dxa"/>
            <w:vAlign w:val="bottom"/>
            <w:tcBorders>
              <w:bottom w:val="single" w:sz="8" w:color="7B8FAA"/>
            </w:tcBorders>
            <w:shd w:val="clear" w:color="auto" w:fill="CCEEFF"/>
          </w:tcPr>
          <w:p>
            <w:pPr>
              <w:spacing w:after="0"/>
              <w:rPr>
                <w:sz w:val="9"/>
                <w:szCs w:val="9"/>
                <w:color w:val="auto"/>
              </w:rPr>
            </w:pPr>
          </w:p>
        </w:tc>
        <w:tc>
          <w:tcPr>
            <w:tcW w:w="580" w:type="dxa"/>
            <w:vAlign w:val="bottom"/>
            <w:tcBorders>
              <w:bottom w:val="single" w:sz="8" w:color="7B8FAA"/>
            </w:tcBorders>
            <w:shd w:val="clear" w:color="auto" w:fill="CCEEFF"/>
          </w:tcPr>
          <w:p>
            <w:pPr>
              <w:spacing w:after="0"/>
              <w:rPr>
                <w:sz w:val="9"/>
                <w:szCs w:val="9"/>
                <w:color w:val="auto"/>
              </w:rPr>
            </w:pPr>
          </w:p>
        </w:tc>
        <w:tc>
          <w:tcPr>
            <w:tcW w:w="120" w:type="dxa"/>
            <w:vAlign w:val="bottom"/>
            <w:tcBorders>
              <w:bottom w:val="single" w:sz="8" w:color="7B8FAA"/>
            </w:tcBorders>
            <w:shd w:val="clear" w:color="auto" w:fill="CCEEFF"/>
          </w:tcPr>
          <w:p>
            <w:pPr>
              <w:spacing w:after="0"/>
              <w:rPr>
                <w:sz w:val="9"/>
                <w:szCs w:val="9"/>
                <w:color w:val="auto"/>
              </w:rPr>
            </w:pPr>
          </w:p>
        </w:tc>
        <w:tc>
          <w:tcPr>
            <w:tcW w:w="180" w:type="dxa"/>
            <w:vAlign w:val="bottom"/>
            <w:tcBorders>
              <w:bottom w:val="single" w:sz="8" w:color="7B8FAA"/>
            </w:tcBorders>
            <w:shd w:val="clear" w:color="auto" w:fill="CCEEFF"/>
          </w:tcPr>
          <w:p>
            <w:pPr>
              <w:spacing w:after="0"/>
              <w:rPr>
                <w:sz w:val="9"/>
                <w:szCs w:val="9"/>
                <w:color w:val="auto"/>
              </w:rPr>
            </w:pPr>
          </w:p>
        </w:tc>
        <w:tc>
          <w:tcPr>
            <w:tcW w:w="160" w:type="dxa"/>
            <w:vAlign w:val="bottom"/>
            <w:tcBorders>
              <w:bottom w:val="single" w:sz="8" w:color="7B8FAA"/>
            </w:tcBorders>
            <w:shd w:val="clear" w:color="auto" w:fill="CCEEFF"/>
          </w:tcPr>
          <w:p>
            <w:pPr>
              <w:spacing w:after="0"/>
              <w:rPr>
                <w:sz w:val="9"/>
                <w:szCs w:val="9"/>
                <w:color w:val="auto"/>
              </w:rPr>
            </w:pPr>
          </w:p>
        </w:tc>
        <w:tc>
          <w:tcPr>
            <w:tcW w:w="180" w:type="dxa"/>
            <w:vAlign w:val="bottom"/>
            <w:tcBorders>
              <w:bottom w:val="single" w:sz="8" w:color="7B8FAA"/>
            </w:tcBorders>
            <w:shd w:val="clear" w:color="auto" w:fill="CCEEFF"/>
          </w:tcPr>
          <w:p>
            <w:pPr>
              <w:spacing w:after="0"/>
              <w:rPr>
                <w:sz w:val="9"/>
                <w:szCs w:val="9"/>
                <w:color w:val="auto"/>
              </w:rPr>
            </w:pPr>
          </w:p>
        </w:tc>
        <w:tc>
          <w:tcPr>
            <w:tcW w:w="860" w:type="dxa"/>
            <w:vAlign w:val="bottom"/>
            <w:tcBorders>
              <w:bottom w:val="single" w:sz="8" w:color="7B8FAA"/>
            </w:tcBorders>
            <w:shd w:val="clear" w:color="auto" w:fill="CCEEFF"/>
          </w:tcPr>
          <w:p>
            <w:pPr>
              <w:spacing w:after="0"/>
              <w:rPr>
                <w:sz w:val="9"/>
                <w:szCs w:val="9"/>
                <w:color w:val="auto"/>
              </w:rPr>
            </w:pPr>
          </w:p>
        </w:tc>
        <w:tc>
          <w:tcPr>
            <w:tcW w:w="20" w:type="dxa"/>
            <w:vAlign w:val="bottom"/>
            <w:tcBorders>
              <w:bottom w:val="single" w:sz="8" w:color="7B8FAA"/>
            </w:tcBorders>
            <w:shd w:val="clear" w:color="auto" w:fill="CCEEFF"/>
          </w:tcPr>
          <w:p>
            <w:pPr>
              <w:spacing w:after="0"/>
              <w:rPr>
                <w:sz w:val="9"/>
                <w:szCs w:val="9"/>
                <w:color w:val="auto"/>
              </w:rPr>
            </w:pPr>
          </w:p>
        </w:tc>
        <w:tc>
          <w:tcPr>
            <w:tcW w:w="80" w:type="dxa"/>
            <w:vAlign w:val="bottom"/>
            <w:tcBorders>
              <w:bottom w:val="single" w:sz="8" w:color="7B8FAA"/>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780" w:type="dxa"/>
            <w:vAlign w:val="bottom"/>
            <w:vMerge w:val="restart"/>
          </w:tcPr>
          <w:p>
            <w:pPr>
              <w:ind w:left="100"/>
              <w:spacing w:after="0"/>
              <w:rPr>
                <w:sz w:val="20"/>
                <w:szCs w:val="20"/>
                <w:color w:val="auto"/>
              </w:rPr>
            </w:pPr>
            <w:r>
              <w:rPr>
                <w:rFonts w:ascii="Arial" w:cs="Arial" w:eastAsia="Arial" w:hAnsi="Arial"/>
                <w:sz w:val="17"/>
                <w:szCs w:val="17"/>
                <w:color w:val="auto"/>
              </w:rPr>
              <w:t>Jonathan Lyons</w:t>
            </w:r>
          </w:p>
        </w:tc>
        <w:tc>
          <w:tcPr>
            <w:tcW w:w="14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11,213</w:t>
            </w:r>
          </w:p>
        </w:tc>
        <w:tc>
          <w:tcPr>
            <w:tcW w:w="260" w:type="dxa"/>
            <w:vAlign w:val="bottom"/>
          </w:tcPr>
          <w:p>
            <w:pPr>
              <w:jc w:val="right"/>
              <w:ind w:right="64"/>
              <w:spacing w:after="0" w:line="123" w:lineRule="exact"/>
              <w:rPr>
                <w:sz w:val="20"/>
                <w:szCs w:val="20"/>
                <w:color w:val="auto"/>
              </w:rPr>
            </w:pPr>
            <w:r>
              <w:rPr>
                <w:rFonts w:ascii="Arial" w:cs="Arial" w:eastAsia="Arial" w:hAnsi="Arial"/>
                <w:sz w:val="11"/>
                <w:szCs w:val="11"/>
                <w:color w:val="auto"/>
                <w:w w:val="88"/>
              </w:rPr>
              <w:t>(8)</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22,427</w:t>
            </w:r>
          </w:p>
        </w:tc>
        <w:tc>
          <w:tcPr>
            <w:tcW w:w="260" w:type="dxa"/>
            <w:vAlign w:val="bottom"/>
          </w:tcPr>
          <w:p>
            <w:pPr>
              <w:jc w:val="right"/>
              <w:ind w:right="64"/>
              <w:spacing w:after="0" w:line="123" w:lineRule="exact"/>
              <w:rPr>
                <w:sz w:val="20"/>
                <w:szCs w:val="20"/>
                <w:color w:val="auto"/>
              </w:rPr>
            </w:pPr>
            <w:r>
              <w:rPr>
                <w:rFonts w:ascii="Arial" w:cs="Arial" w:eastAsia="Arial" w:hAnsi="Arial"/>
                <w:sz w:val="11"/>
                <w:szCs w:val="11"/>
                <w:color w:val="auto"/>
                <w:w w:val="88"/>
              </w:rPr>
              <w:t>(8)</w:t>
            </w:r>
          </w:p>
        </w:tc>
        <w:tc>
          <w:tcPr>
            <w:tcW w:w="800" w:type="dxa"/>
            <w:vAlign w:val="bottom"/>
            <w:gridSpan w:val="2"/>
            <w:vMerge w:val="restart"/>
          </w:tcPr>
          <w:p>
            <w:pPr>
              <w:jc w:val="right"/>
              <w:ind w:right="9"/>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16.89</w:t>
            </w:r>
          </w:p>
        </w:tc>
        <w:tc>
          <w:tcPr>
            <w:tcW w:w="20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180" w:type="dxa"/>
            <w:vAlign w:val="bottom"/>
            <w:vMerge w:val="restart"/>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3"/>
            <w:vMerge w:val="restart"/>
          </w:tcPr>
          <w:p>
            <w:pPr>
              <w:jc w:val="right"/>
              <w:spacing w:after="0" w:line="291" w:lineRule="exact"/>
              <w:rPr>
                <w:sz w:val="20"/>
                <w:szCs w:val="20"/>
                <w:color w:val="auto"/>
              </w:rPr>
            </w:pPr>
            <w:r>
              <w:rPr>
                <w:rFonts w:ascii="Arial" w:cs="Arial" w:eastAsia="Arial" w:hAnsi="Arial"/>
                <w:sz w:val="17"/>
                <w:szCs w:val="17"/>
                <w:color w:val="auto"/>
              </w:rPr>
              <w:t xml:space="preserve">8/7/2033 </w:t>
            </w:r>
            <w:r>
              <w:rPr>
                <w:rFonts w:ascii="Arial" w:cs="Arial" w:eastAsia="Arial" w:hAnsi="Arial"/>
                <w:sz w:val="33"/>
                <w:szCs w:val="33"/>
                <w:color w:val="auto"/>
                <w:vertAlign w:val="superscript"/>
              </w:rPr>
              <w:t>​</w:t>
            </w:r>
          </w:p>
        </w:tc>
        <w:tc>
          <w:tcPr>
            <w:tcW w:w="12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220" w:type="dxa"/>
            <w:vAlign w:val="bottom"/>
            <w:vMerge w:val="restart"/>
          </w:tcPr>
          <w:p>
            <w:pPr>
              <w:ind w:left="120"/>
              <w:spacing w:after="0"/>
              <w:rPr>
                <w:sz w:val="20"/>
                <w:szCs w:val="20"/>
                <w:color w:val="auto"/>
              </w:rPr>
            </w:pPr>
            <w:r>
              <w:rPr>
                <w:rFonts w:ascii="Arial" w:cs="Arial" w:eastAsia="Arial" w:hAnsi="Arial"/>
                <w:sz w:val="17"/>
                <w:szCs w:val="17"/>
                <w:color w:val="auto"/>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16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180" w:type="dxa"/>
            <w:vAlign w:val="bottom"/>
            <w:vMerge w:val="restart"/>
          </w:tcPr>
          <w:p>
            <w:pPr>
              <w:ind w:left="60"/>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ind w:right="12"/>
              <w:spacing w:after="0"/>
              <w:rPr>
                <w:sz w:val="20"/>
                <w:szCs w:val="20"/>
                <w:color w:val="auto"/>
              </w:rPr>
            </w:pPr>
            <w:r>
              <w:rPr>
                <w:rFonts w:ascii="Arial" w:cs="Arial" w:eastAsia="Arial" w:hAnsi="Arial"/>
                <w:sz w:val="17"/>
                <w:szCs w:val="17"/>
                <w:color w:val="auto"/>
              </w:rPr>
              <w:t>—</w:t>
            </w:r>
          </w:p>
        </w:tc>
        <w:tc>
          <w:tcPr>
            <w:tcW w:w="120" w:type="dxa"/>
            <w:vAlign w:val="bottom"/>
            <w:gridSpan w:val="3"/>
            <w:vMerge w:val="restart"/>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1780" w:type="dxa"/>
            <w:vAlign w:val="bottom"/>
            <w:vMerge w:val="continue"/>
          </w:tcPr>
          <w:p>
            <w:pPr>
              <w:spacing w:after="0"/>
              <w:rPr>
                <w:sz w:val="14"/>
                <w:szCs w:val="14"/>
                <w:color w:val="auto"/>
              </w:rPr>
            </w:pPr>
          </w:p>
        </w:tc>
        <w:tc>
          <w:tcPr>
            <w:tcW w:w="140" w:type="dxa"/>
            <w:vAlign w:val="bottom"/>
            <w:tcBorders>
              <w:bottom w:val="single" w:sz="8" w:color="7B8FAA"/>
            </w:tcBorders>
          </w:tcPr>
          <w:p>
            <w:pPr>
              <w:spacing w:after="0"/>
              <w:rPr>
                <w:sz w:val="14"/>
                <w:szCs w:val="14"/>
                <w:color w:val="auto"/>
              </w:rPr>
            </w:pPr>
          </w:p>
        </w:tc>
        <w:tc>
          <w:tcPr>
            <w:tcW w:w="60" w:type="dxa"/>
            <w:vAlign w:val="bottom"/>
            <w:tcBorders>
              <w:bottom w:val="single" w:sz="8" w:color="7B8FAA"/>
            </w:tcBorders>
            <w:vMerge w:val="continue"/>
          </w:tcPr>
          <w:p>
            <w:pPr>
              <w:spacing w:after="0"/>
              <w:rPr>
                <w:sz w:val="14"/>
                <w:szCs w:val="14"/>
                <w:color w:val="auto"/>
              </w:rPr>
            </w:pPr>
          </w:p>
        </w:tc>
        <w:tc>
          <w:tcPr>
            <w:tcW w:w="760" w:type="dxa"/>
            <w:vAlign w:val="bottom"/>
            <w:tcBorders>
              <w:bottom w:val="single" w:sz="8" w:color="7B8FAA"/>
            </w:tcBorders>
            <w:vMerge w:val="continue"/>
          </w:tcPr>
          <w:p>
            <w:pPr>
              <w:spacing w:after="0"/>
              <w:rPr>
                <w:sz w:val="14"/>
                <w:szCs w:val="14"/>
                <w:color w:val="auto"/>
              </w:rPr>
            </w:pPr>
          </w:p>
        </w:tc>
        <w:tc>
          <w:tcPr>
            <w:tcW w:w="260" w:type="dxa"/>
            <w:vAlign w:val="bottom"/>
            <w:tcBorders>
              <w:bottom w:val="single" w:sz="8" w:color="7B8FAA"/>
            </w:tcBorders>
          </w:tcPr>
          <w:p>
            <w:pPr>
              <w:spacing w:after="0"/>
              <w:rPr>
                <w:sz w:val="14"/>
                <w:szCs w:val="14"/>
                <w:color w:val="auto"/>
              </w:rPr>
            </w:pPr>
          </w:p>
        </w:tc>
        <w:tc>
          <w:tcPr>
            <w:tcW w:w="200" w:type="dxa"/>
            <w:vAlign w:val="bottom"/>
            <w:tcBorders>
              <w:bottom w:val="single" w:sz="8" w:color="7B8FAA"/>
            </w:tcBorders>
            <w:vMerge w:val="continue"/>
          </w:tcPr>
          <w:p>
            <w:pPr>
              <w:spacing w:after="0"/>
              <w:rPr>
                <w:sz w:val="14"/>
                <w:szCs w:val="14"/>
                <w:color w:val="auto"/>
              </w:rPr>
            </w:pPr>
          </w:p>
        </w:tc>
        <w:tc>
          <w:tcPr>
            <w:tcW w:w="600" w:type="dxa"/>
            <w:vAlign w:val="bottom"/>
            <w:tcBorders>
              <w:bottom w:val="single" w:sz="8" w:color="7B8FAA"/>
            </w:tcBorders>
            <w:vMerge w:val="continue"/>
          </w:tcPr>
          <w:p>
            <w:pPr>
              <w:spacing w:after="0"/>
              <w:rPr>
                <w:sz w:val="14"/>
                <w:szCs w:val="14"/>
                <w:color w:val="auto"/>
              </w:rPr>
            </w:pPr>
          </w:p>
        </w:tc>
        <w:tc>
          <w:tcPr>
            <w:tcW w:w="260" w:type="dxa"/>
            <w:vAlign w:val="bottom"/>
            <w:tcBorders>
              <w:bottom w:val="single" w:sz="8" w:color="7B8FAA"/>
            </w:tcBorders>
          </w:tcPr>
          <w:p>
            <w:pPr>
              <w:jc w:val="right"/>
              <w:ind w:right="64"/>
              <w:spacing w:after="0" w:line="169"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7B8FAA"/>
            </w:tcBorders>
            <w:gridSpan w:val="2"/>
            <w:vMerge w:val="continue"/>
          </w:tcPr>
          <w:p>
            <w:pPr>
              <w:spacing w:after="0"/>
              <w:rPr>
                <w:sz w:val="14"/>
                <w:szCs w:val="14"/>
                <w:color w:val="auto"/>
              </w:rPr>
            </w:pPr>
          </w:p>
        </w:tc>
        <w:tc>
          <w:tcPr>
            <w:tcW w:w="200" w:type="dxa"/>
            <w:vAlign w:val="bottom"/>
            <w:tcBorders>
              <w:bottom w:val="single" w:sz="8" w:color="7B8FAA"/>
            </w:tcBorders>
            <w:vMerge w:val="continue"/>
          </w:tcPr>
          <w:p>
            <w:pPr>
              <w:spacing w:after="0"/>
              <w:rPr>
                <w:sz w:val="14"/>
                <w:szCs w:val="14"/>
                <w:color w:val="auto"/>
              </w:rPr>
            </w:pPr>
          </w:p>
        </w:tc>
        <w:tc>
          <w:tcPr>
            <w:tcW w:w="180" w:type="dxa"/>
            <w:vAlign w:val="bottom"/>
            <w:tcBorders>
              <w:bottom w:val="single" w:sz="8" w:color="7B8FAA"/>
            </w:tcBorders>
            <w:vMerge w:val="continue"/>
          </w:tcPr>
          <w:p>
            <w:pPr>
              <w:spacing w:after="0"/>
              <w:rPr>
                <w:sz w:val="14"/>
                <w:szCs w:val="14"/>
                <w:color w:val="auto"/>
              </w:rPr>
            </w:pPr>
          </w:p>
        </w:tc>
        <w:tc>
          <w:tcPr>
            <w:tcW w:w="960" w:type="dxa"/>
            <w:vAlign w:val="bottom"/>
            <w:tcBorders>
              <w:bottom w:val="single" w:sz="8" w:color="7B8FAA"/>
            </w:tcBorders>
            <w:gridSpan w:val="3"/>
            <w:vMerge w:val="continue"/>
          </w:tcPr>
          <w:p>
            <w:pPr>
              <w:spacing w:after="0"/>
              <w:rPr>
                <w:sz w:val="14"/>
                <w:szCs w:val="14"/>
                <w:color w:val="auto"/>
              </w:rPr>
            </w:pPr>
          </w:p>
        </w:tc>
        <w:tc>
          <w:tcPr>
            <w:tcW w:w="120" w:type="dxa"/>
            <w:vAlign w:val="bottom"/>
            <w:tcBorders>
              <w:bottom w:val="single" w:sz="8" w:color="7B8FAA"/>
            </w:tcBorders>
            <w:vMerge w:val="continue"/>
          </w:tcPr>
          <w:p>
            <w:pPr>
              <w:spacing w:after="0"/>
              <w:rPr>
                <w:sz w:val="14"/>
                <w:szCs w:val="14"/>
                <w:color w:val="auto"/>
              </w:rPr>
            </w:pPr>
          </w:p>
        </w:tc>
        <w:tc>
          <w:tcPr>
            <w:tcW w:w="220" w:type="dxa"/>
            <w:vAlign w:val="bottom"/>
            <w:tcBorders>
              <w:bottom w:val="single" w:sz="8" w:color="7B8FAA"/>
            </w:tcBorders>
            <w:vMerge w:val="continue"/>
          </w:tcPr>
          <w:p>
            <w:pPr>
              <w:spacing w:after="0"/>
              <w:rPr>
                <w:sz w:val="14"/>
                <w:szCs w:val="14"/>
                <w:color w:val="auto"/>
              </w:rPr>
            </w:pPr>
          </w:p>
        </w:tc>
        <w:tc>
          <w:tcPr>
            <w:tcW w:w="580" w:type="dxa"/>
            <w:vAlign w:val="bottom"/>
            <w:tcBorders>
              <w:bottom w:val="single" w:sz="8" w:color="7B8FAA"/>
            </w:tcBorders>
            <w:vMerge w:val="continue"/>
          </w:tcPr>
          <w:p>
            <w:pPr>
              <w:spacing w:after="0"/>
              <w:rPr>
                <w:sz w:val="14"/>
                <w:szCs w:val="14"/>
                <w:color w:val="auto"/>
              </w:rPr>
            </w:pPr>
          </w:p>
        </w:tc>
        <w:tc>
          <w:tcPr>
            <w:tcW w:w="120" w:type="dxa"/>
            <w:vAlign w:val="bottom"/>
            <w:tcBorders>
              <w:bottom w:val="single" w:sz="8" w:color="7B8FAA"/>
            </w:tcBorders>
          </w:tcPr>
          <w:p>
            <w:pPr>
              <w:spacing w:after="0"/>
              <w:rPr>
                <w:sz w:val="14"/>
                <w:szCs w:val="14"/>
                <w:color w:val="auto"/>
              </w:rPr>
            </w:pPr>
          </w:p>
        </w:tc>
        <w:tc>
          <w:tcPr>
            <w:tcW w:w="180" w:type="dxa"/>
            <w:vAlign w:val="bottom"/>
            <w:tcBorders>
              <w:bottom w:val="single" w:sz="8" w:color="7B8FAA"/>
            </w:tcBorders>
            <w:vMerge w:val="continue"/>
          </w:tcPr>
          <w:p>
            <w:pPr>
              <w:spacing w:after="0"/>
              <w:rPr>
                <w:sz w:val="14"/>
                <w:szCs w:val="14"/>
                <w:color w:val="auto"/>
              </w:rPr>
            </w:pPr>
          </w:p>
        </w:tc>
        <w:tc>
          <w:tcPr>
            <w:tcW w:w="160" w:type="dxa"/>
            <w:vAlign w:val="bottom"/>
            <w:tcBorders>
              <w:bottom w:val="single" w:sz="8" w:color="7B8FAA"/>
            </w:tcBorders>
            <w:vMerge w:val="continue"/>
          </w:tcPr>
          <w:p>
            <w:pPr>
              <w:spacing w:after="0"/>
              <w:rPr>
                <w:sz w:val="14"/>
                <w:szCs w:val="14"/>
                <w:color w:val="auto"/>
              </w:rPr>
            </w:pPr>
          </w:p>
        </w:tc>
        <w:tc>
          <w:tcPr>
            <w:tcW w:w="180" w:type="dxa"/>
            <w:vAlign w:val="bottom"/>
            <w:tcBorders>
              <w:bottom w:val="single" w:sz="8" w:color="7B8FAA"/>
            </w:tcBorders>
            <w:vMerge w:val="continue"/>
          </w:tcPr>
          <w:p>
            <w:pPr>
              <w:spacing w:after="0"/>
              <w:rPr>
                <w:sz w:val="14"/>
                <w:szCs w:val="14"/>
                <w:color w:val="auto"/>
              </w:rPr>
            </w:pPr>
          </w:p>
        </w:tc>
        <w:tc>
          <w:tcPr>
            <w:tcW w:w="860" w:type="dxa"/>
            <w:vAlign w:val="bottom"/>
            <w:tcBorders>
              <w:bottom w:val="single" w:sz="8" w:color="7B8FAA"/>
            </w:tcBorders>
            <w:vMerge w:val="continue"/>
          </w:tcPr>
          <w:p>
            <w:pPr>
              <w:spacing w:after="0"/>
              <w:rPr>
                <w:sz w:val="14"/>
                <w:szCs w:val="14"/>
                <w:color w:val="auto"/>
              </w:rPr>
            </w:pPr>
          </w:p>
        </w:tc>
        <w:tc>
          <w:tcPr>
            <w:tcW w:w="120" w:type="dxa"/>
            <w:vAlign w:val="bottom"/>
            <w:tcBorders>
              <w:bottom w:val="single" w:sz="8" w:color="7B8FAA"/>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Borders>
              <w:bottom w:val="single" w:sz="8" w:color="7B8FAA"/>
            </w:tcBorders>
          </w:tcPr>
          <w:p>
            <w:pPr>
              <w:spacing w:after="0"/>
              <w:rPr>
                <w:sz w:val="21"/>
                <w:szCs w:val="21"/>
                <w:color w:val="auto"/>
              </w:rPr>
            </w:pPr>
          </w:p>
        </w:tc>
        <w:tc>
          <w:tcPr>
            <w:tcW w:w="6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tcPr>
          <w:p>
            <w:pPr>
              <w:spacing w:after="0"/>
              <w:rPr>
                <w:sz w:val="21"/>
                <w:szCs w:val="21"/>
                <w:color w:val="auto"/>
              </w:rPr>
            </w:pP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gridSpan w:val="2"/>
          </w:tcPr>
          <w:p>
            <w:pPr>
              <w:jc w:val="right"/>
              <w:ind w:right="64"/>
              <w:spacing w:after="0" w:line="252" w:lineRule="exact"/>
              <w:rPr>
                <w:sz w:val="20"/>
                <w:szCs w:val="20"/>
                <w:color w:val="auto"/>
              </w:rPr>
            </w:pPr>
            <w:r>
              <w:rPr>
                <w:rFonts w:ascii="Arial" w:cs="Arial" w:eastAsia="Arial" w:hAnsi="Arial"/>
                <w:sz w:val="29"/>
                <w:szCs w:val="29"/>
                <w:color w:val="auto"/>
                <w:w w:val="96"/>
                <w:vertAlign w:val="subscript"/>
              </w:rPr>
              <w:t>81,676</w:t>
            </w:r>
            <w:r>
              <w:rPr>
                <w:rFonts w:ascii="Arial" w:cs="Arial" w:eastAsia="Arial" w:hAnsi="Arial"/>
                <w:sz w:val="19"/>
                <w:szCs w:val="19"/>
                <w:color w:val="auto"/>
                <w:w w:val="96"/>
                <w:vertAlign w:val="superscript"/>
              </w:rPr>
              <w:t>(5)</w:t>
            </w:r>
            <w:r>
              <w:rPr>
                <w:rFonts w:ascii="Arial" w:cs="Arial" w:eastAsia="Arial" w:hAnsi="Arial"/>
                <w:sz w:val="16"/>
                <w:szCs w:val="16"/>
                <w:color w:val="auto"/>
                <w:w w:val="96"/>
              </w:rPr>
              <w:t>​</w:t>
            </w:r>
          </w:p>
        </w:tc>
        <w:tc>
          <w:tcPr>
            <w:tcW w:w="800" w:type="dxa"/>
            <w:vAlign w:val="bottom"/>
            <w:tcBorders>
              <w:bottom w:val="single" w:sz="8" w:color="7B8FAA"/>
            </w:tcBorders>
            <w:gridSpan w:val="2"/>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14.59</w:t>
            </w:r>
          </w:p>
        </w:tc>
        <w:tc>
          <w:tcPr>
            <w:tcW w:w="2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7B8FAA"/>
            </w:tcBorders>
            <w:gridSpan w:val="3"/>
          </w:tcPr>
          <w:p>
            <w:pPr>
              <w:jc w:val="right"/>
              <w:spacing w:after="0" w:line="252" w:lineRule="exact"/>
              <w:rPr>
                <w:sz w:val="20"/>
                <w:szCs w:val="20"/>
                <w:color w:val="auto"/>
              </w:rPr>
            </w:pPr>
            <w:r>
              <w:rPr>
                <w:rFonts w:ascii="Arial" w:cs="Arial" w:eastAsia="Arial" w:hAnsi="Arial"/>
                <w:sz w:val="16"/>
                <w:szCs w:val="16"/>
                <w:color w:val="auto"/>
              </w:rPr>
              <w:t xml:space="preserve">3/4/2034 </w:t>
            </w:r>
            <w:r>
              <w:rPr>
                <w:rFonts w:ascii="Arial" w:cs="Arial" w:eastAsia="Arial" w:hAnsi="Arial"/>
                <w:sz w:val="29"/>
                <w:szCs w:val="29"/>
                <w:color w:val="auto"/>
                <w:vertAlign w:val="superscript"/>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tcPr>
          <w:p>
            <w:pPr>
              <w:spacing w:after="0"/>
              <w:rPr>
                <w:sz w:val="21"/>
                <w:szCs w:val="21"/>
                <w:color w:val="auto"/>
              </w:rPr>
            </w:pPr>
          </w:p>
        </w:tc>
        <w:tc>
          <w:tcPr>
            <w:tcW w:w="1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2"/>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tcPr>
          <w:p>
            <w:pPr>
              <w:ind w:left="2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9"/>
              <w:spacing w:after="0"/>
              <w:rPr>
                <w:sz w:val="20"/>
                <w:szCs w:val="20"/>
                <w:color w:val="auto"/>
              </w:rPr>
            </w:pPr>
            <w:r>
              <w:rPr>
                <w:rFonts w:ascii="Arial" w:cs="Arial" w:eastAsia="Arial" w:hAnsi="Arial"/>
                <w:sz w:val="17"/>
                <w:szCs w:val="17"/>
                <w:color w:val="auto"/>
              </w:rPr>
              <w:t>—</w:t>
            </w:r>
          </w:p>
        </w:tc>
        <w:tc>
          <w:tcPr>
            <w:tcW w:w="200" w:type="dxa"/>
            <w:vAlign w:val="bottom"/>
          </w:tcPr>
          <w:p>
            <w:pPr>
              <w:ind w:left="40"/>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w:t>
            </w:r>
          </w:p>
        </w:tc>
        <w:tc>
          <w:tcPr>
            <w:tcW w:w="120" w:type="dxa"/>
            <w:vAlign w:val="bottom"/>
          </w:tcPr>
          <w:p>
            <w:pPr>
              <w:ind w:left="60"/>
              <w:spacing w:after="0"/>
              <w:rPr>
                <w:sz w:val="20"/>
                <w:szCs w:val="20"/>
                <w:color w:val="auto"/>
              </w:rPr>
            </w:pPr>
            <w:r>
              <w:rPr>
                <w:rFonts w:ascii="Arial" w:cs="Arial" w:eastAsia="Arial" w:hAnsi="Arial"/>
                <w:sz w:val="17"/>
                <w:szCs w:val="17"/>
                <w:color w:val="auto"/>
              </w:rPr>
              <w:t>​</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bscript"/>
              </w:rPr>
              <w:t>11,841</w:t>
            </w:r>
            <w:r>
              <w:rPr>
                <w:rFonts w:ascii="Arial" w:cs="Arial" w:eastAsia="Arial" w:hAnsi="Arial"/>
                <w:sz w:val="19"/>
                <w:szCs w:val="19"/>
                <w:color w:val="auto"/>
                <w:vertAlign w:val="superscript"/>
              </w:rPr>
              <w:t>(9)</w:t>
            </w:r>
            <w:r>
              <w:rPr>
                <w:rFonts w:ascii="Arial" w:cs="Arial" w:eastAsia="Arial" w:hAnsi="Arial"/>
                <w:sz w:val="16"/>
                <w:szCs w:val="16"/>
                <w:color w:val="auto"/>
              </w:rPr>
              <w:t>​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2"/>
              <w:spacing w:after="0"/>
              <w:rPr>
                <w:sz w:val="20"/>
                <w:szCs w:val="20"/>
                <w:color w:val="auto"/>
              </w:rPr>
            </w:pPr>
            <w:r>
              <w:rPr>
                <w:rFonts w:ascii="Arial" w:cs="Arial" w:eastAsia="Arial" w:hAnsi="Arial"/>
                <w:sz w:val="17"/>
                <w:szCs w:val="17"/>
                <w:color w:val="auto"/>
              </w:rPr>
              <w:t>161,985</w:t>
            </w: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
        </w:trPr>
        <w:tc>
          <w:tcPr>
            <w:tcW w:w="1780" w:type="dxa"/>
            <w:vAlign w:val="bottom"/>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rPr>
                <w:sz w:val="20"/>
                <w:szCs w:val="20"/>
                <w:color w:val="auto"/>
              </w:rPr>
            </w:pPr>
            <w:r>
              <w:rPr>
                <w:rFonts w:ascii="Arial" w:cs="Arial" w:eastAsia="Arial" w:hAnsi="Arial"/>
                <w:sz w:val="1"/>
                <w:szCs w:val="1"/>
                <w:color w:val="auto"/>
              </w:rPr>
              <w:t>​</w:t>
            </w:r>
          </w:p>
        </w:tc>
        <w:tc>
          <w:tcPr>
            <w:tcW w:w="76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spacing w:after="0" w:line="20" w:lineRule="exact"/>
              <w:rPr>
                <w:sz w:val="1"/>
                <w:szCs w:val="1"/>
                <w:color w:val="auto"/>
              </w:rPr>
            </w:pPr>
          </w:p>
        </w:tc>
        <w:tc>
          <w:tcPr>
            <w:tcW w:w="2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6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jc w:val="right"/>
              <w:ind w:right="64"/>
              <w:spacing w:after="0"/>
              <w:rPr>
                <w:sz w:val="20"/>
                <w:szCs w:val="20"/>
                <w:color w:val="auto"/>
              </w:rPr>
            </w:pPr>
            <w:r>
              <w:rPr>
                <w:rFonts w:ascii="Arial" w:cs="Arial" w:eastAsia="Arial" w:hAnsi="Arial"/>
                <w:sz w:val="1"/>
                <w:szCs w:val="1"/>
                <w:color w:val="auto"/>
              </w:rPr>
              <w:t>​</w:t>
            </w:r>
          </w:p>
        </w:tc>
        <w:tc>
          <w:tcPr>
            <w:tcW w:w="240" w:type="dxa"/>
            <w:vAlign w:val="bottom"/>
            <w:shd w:val="clear" w:color="auto" w:fill="7B8FAA"/>
          </w:tcPr>
          <w:p>
            <w:pPr>
              <w:ind w:left="200"/>
              <w:spacing w:after="0"/>
              <w:rPr>
                <w:sz w:val="20"/>
                <w:szCs w:val="20"/>
                <w:color w:val="auto"/>
              </w:rPr>
            </w:pPr>
            <w:r>
              <w:rPr>
                <w:rFonts w:ascii="Arial" w:cs="Arial" w:eastAsia="Arial" w:hAnsi="Arial"/>
                <w:sz w:val="1"/>
                <w:szCs w:val="1"/>
                <w:color w:val="auto"/>
              </w:rPr>
              <w:t>​</w:t>
            </w:r>
          </w:p>
        </w:tc>
        <w:tc>
          <w:tcPr>
            <w:tcW w:w="560" w:type="dxa"/>
            <w:vAlign w:val="bottom"/>
            <w:shd w:val="clear" w:color="auto" w:fill="7B8FAA"/>
          </w:tcPr>
          <w:p>
            <w:pPr>
              <w:jc w:val="right"/>
              <w:ind w:right="9"/>
              <w:spacing w:after="0"/>
              <w:rPr>
                <w:sz w:val="20"/>
                <w:szCs w:val="20"/>
                <w:color w:val="auto"/>
              </w:rPr>
            </w:pPr>
            <w:r>
              <w:rPr>
                <w:rFonts w:ascii="Arial" w:cs="Arial" w:eastAsia="Arial" w:hAnsi="Arial"/>
                <w:sz w:val="1"/>
                <w:szCs w:val="1"/>
                <w:color w:val="auto"/>
              </w:rPr>
              <w:t>—</w:t>
            </w:r>
          </w:p>
        </w:tc>
        <w:tc>
          <w:tcPr>
            <w:tcW w:w="200" w:type="dxa"/>
            <w:vAlign w:val="bottom"/>
            <w:shd w:val="clear" w:color="auto" w:fill="7B8FAA"/>
          </w:tcPr>
          <w:p>
            <w:pPr>
              <w:ind w:left="4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960" w:type="dxa"/>
            <w:vAlign w:val="bottom"/>
            <w:gridSpan w:val="3"/>
            <w:shd w:val="clear" w:color="auto" w:fill="7B8FAA"/>
          </w:tcPr>
          <w:p>
            <w:pPr>
              <w:jc w:val="right"/>
              <w:spacing w:after="0"/>
              <w:rPr>
                <w:sz w:val="20"/>
                <w:szCs w:val="20"/>
                <w:color w:val="auto"/>
              </w:rPr>
            </w:pPr>
            <w:r>
              <w:rPr>
                <w:rFonts w:ascii="Arial" w:cs="Arial" w:eastAsia="Arial" w:hAnsi="Arial"/>
                <w:sz w:val="1"/>
                <w:szCs w:val="1"/>
                <w:color w:val="auto"/>
              </w:rPr>
              <w:t xml:space="preserve">— </w:t>
            </w:r>
            <w:r>
              <w:rPr>
                <w:rFonts w:ascii="Arial" w:cs="Arial" w:eastAsia="Arial" w:hAnsi="Arial"/>
                <w:sz w:val="1"/>
                <w:szCs w:val="1"/>
                <w:color w:val="auto"/>
                <w:vertAlign w:val="superscript"/>
              </w:rPr>
              <w:t>​</w:t>
            </w:r>
          </w:p>
        </w:tc>
        <w:tc>
          <w:tcPr>
            <w:tcW w:w="12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22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580" w:type="dxa"/>
            <w:vAlign w:val="bottom"/>
            <w:shd w:val="clear" w:color="auto" w:fill="7B8FAA"/>
          </w:tcPr>
          <w:p>
            <w:pPr>
              <w:jc w:val="right"/>
              <w:spacing w:after="0"/>
              <w:rPr>
                <w:sz w:val="20"/>
                <w:szCs w:val="20"/>
                <w:color w:val="auto"/>
              </w:rPr>
            </w:pPr>
            <w:r>
              <w:rPr>
                <w:rFonts w:ascii="Arial" w:cs="Arial" w:eastAsia="Arial" w:hAnsi="Arial"/>
                <w:sz w:val="1"/>
                <w:szCs w:val="1"/>
                <w:color w:val="auto"/>
              </w:rPr>
              <w:t>39,471</w:t>
            </w:r>
          </w:p>
        </w:tc>
        <w:tc>
          <w:tcPr>
            <w:tcW w:w="12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jc w:val="right"/>
              <w:spacing w:after="0"/>
              <w:rPr>
                <w:sz w:val="20"/>
                <w:szCs w:val="20"/>
                <w:color w:val="auto"/>
              </w:rPr>
            </w:pPr>
            <w:r>
              <w:rPr>
                <w:rFonts w:ascii="Arial" w:cs="Arial" w:eastAsia="Arial" w:hAnsi="Arial"/>
                <w:sz w:val="1"/>
                <w:szCs w:val="1"/>
                <w:color w:val="auto"/>
              </w:rPr>
              <w:t>​ ​</w:t>
            </w:r>
          </w:p>
        </w:tc>
        <w:tc>
          <w:tcPr>
            <w:tcW w:w="16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860" w:type="dxa"/>
            <w:vAlign w:val="bottom"/>
            <w:shd w:val="clear" w:color="auto" w:fill="7B8FAA"/>
          </w:tcPr>
          <w:p>
            <w:pPr>
              <w:jc w:val="right"/>
              <w:ind w:right="12"/>
              <w:spacing w:after="0"/>
              <w:rPr>
                <w:sz w:val="20"/>
                <w:szCs w:val="20"/>
                <w:color w:val="auto"/>
              </w:rPr>
            </w:pPr>
            <w:r>
              <w:rPr>
                <w:rFonts w:ascii="Arial" w:cs="Arial" w:eastAsia="Arial" w:hAnsi="Arial"/>
                <w:sz w:val="1"/>
                <w:szCs w:val="1"/>
                <w:color w:val="auto"/>
              </w:rPr>
              <w:t>539,963</w:t>
            </w:r>
          </w:p>
        </w:tc>
        <w:tc>
          <w:tcPr>
            <w:tcW w:w="120" w:type="dxa"/>
            <w:vAlign w:val="bottom"/>
            <w:gridSpan w:val="3"/>
            <w:shd w:val="clear" w:color="auto" w:fill="7B8FAA"/>
          </w:tcPr>
          <w:p>
            <w:pPr>
              <w:jc w:val="right"/>
              <w:ind w:right="2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39"/>
              <w:spacing w:after="0"/>
              <w:rPr>
                <w:sz w:val="20"/>
                <w:szCs w:val="20"/>
                <w:color w:val="auto"/>
              </w:rPr>
            </w:pPr>
            <w:r>
              <w:rPr>
                <w:rFonts w:ascii="Arial" w:cs="Arial" w:eastAsia="Arial" w:hAnsi="Arial"/>
                <w:sz w:val="11"/>
                <w:szCs w:val="11"/>
                <w:color w:val="auto"/>
                <w:w w:val="91"/>
              </w:rPr>
              <w:t>(10)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
        </w:trPr>
        <w:tc>
          <w:tcPr>
            <w:tcW w:w="1780" w:type="dxa"/>
            <w:vAlign w:val="bottom"/>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rPr>
                <w:sz w:val="20"/>
                <w:szCs w:val="20"/>
                <w:color w:val="auto"/>
              </w:rPr>
            </w:pPr>
            <w:r>
              <w:rPr>
                <w:rFonts w:ascii="Arial" w:cs="Arial" w:eastAsia="Arial" w:hAnsi="Arial"/>
                <w:sz w:val="1"/>
                <w:szCs w:val="1"/>
                <w:color w:val="auto"/>
              </w:rPr>
              <w:t>​</w:t>
            </w:r>
          </w:p>
        </w:tc>
        <w:tc>
          <w:tcPr>
            <w:tcW w:w="76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spacing w:after="0" w:line="20" w:lineRule="exact"/>
              <w:rPr>
                <w:sz w:val="1"/>
                <w:szCs w:val="1"/>
                <w:color w:val="auto"/>
              </w:rPr>
            </w:pPr>
          </w:p>
        </w:tc>
        <w:tc>
          <w:tcPr>
            <w:tcW w:w="2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6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jc w:val="right"/>
              <w:ind w:right="64"/>
              <w:spacing w:after="0"/>
              <w:rPr>
                <w:sz w:val="20"/>
                <w:szCs w:val="20"/>
                <w:color w:val="auto"/>
              </w:rPr>
            </w:pPr>
            <w:r>
              <w:rPr>
                <w:rFonts w:ascii="Arial" w:cs="Arial" w:eastAsia="Arial" w:hAnsi="Arial"/>
                <w:sz w:val="1"/>
                <w:szCs w:val="1"/>
                <w:color w:val="auto"/>
              </w:rPr>
              <w:t>​</w:t>
            </w:r>
          </w:p>
        </w:tc>
        <w:tc>
          <w:tcPr>
            <w:tcW w:w="240" w:type="dxa"/>
            <w:vAlign w:val="bottom"/>
            <w:shd w:val="clear" w:color="auto" w:fill="7B8FAA"/>
          </w:tcPr>
          <w:p>
            <w:pPr>
              <w:ind w:left="200"/>
              <w:spacing w:after="0"/>
              <w:rPr>
                <w:sz w:val="20"/>
                <w:szCs w:val="20"/>
                <w:color w:val="auto"/>
              </w:rPr>
            </w:pPr>
            <w:r>
              <w:rPr>
                <w:rFonts w:ascii="Arial" w:cs="Arial" w:eastAsia="Arial" w:hAnsi="Arial"/>
                <w:sz w:val="1"/>
                <w:szCs w:val="1"/>
                <w:color w:val="auto"/>
              </w:rPr>
              <w:t>​</w:t>
            </w:r>
          </w:p>
        </w:tc>
        <w:tc>
          <w:tcPr>
            <w:tcW w:w="560" w:type="dxa"/>
            <w:vAlign w:val="bottom"/>
            <w:shd w:val="clear" w:color="auto" w:fill="7B8FAA"/>
          </w:tcPr>
          <w:p>
            <w:pPr>
              <w:jc w:val="right"/>
              <w:ind w:right="9"/>
              <w:spacing w:after="0"/>
              <w:rPr>
                <w:sz w:val="20"/>
                <w:szCs w:val="20"/>
                <w:color w:val="auto"/>
              </w:rPr>
            </w:pPr>
            <w:r>
              <w:rPr>
                <w:rFonts w:ascii="Arial" w:cs="Arial" w:eastAsia="Arial" w:hAnsi="Arial"/>
                <w:sz w:val="1"/>
                <w:szCs w:val="1"/>
                <w:color w:val="auto"/>
              </w:rPr>
              <w:t>—</w:t>
            </w:r>
          </w:p>
        </w:tc>
        <w:tc>
          <w:tcPr>
            <w:tcW w:w="200" w:type="dxa"/>
            <w:vAlign w:val="bottom"/>
            <w:shd w:val="clear" w:color="auto" w:fill="7B8FAA"/>
          </w:tcPr>
          <w:p>
            <w:pPr>
              <w:ind w:left="4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960" w:type="dxa"/>
            <w:vAlign w:val="bottom"/>
            <w:gridSpan w:val="3"/>
            <w:shd w:val="clear" w:color="auto" w:fill="7B8FAA"/>
          </w:tcPr>
          <w:p>
            <w:pPr>
              <w:jc w:val="right"/>
              <w:spacing w:after="0"/>
              <w:rPr>
                <w:sz w:val="20"/>
                <w:szCs w:val="20"/>
                <w:color w:val="auto"/>
              </w:rPr>
            </w:pPr>
            <w:r>
              <w:rPr>
                <w:rFonts w:ascii="Arial" w:cs="Arial" w:eastAsia="Arial" w:hAnsi="Arial"/>
                <w:sz w:val="1"/>
                <w:szCs w:val="1"/>
                <w:color w:val="auto"/>
                <w:vertAlign w:val="subscript"/>
              </w:rPr>
              <w:t>—</w:t>
            </w:r>
            <w:r>
              <w:rPr>
                <w:rFonts w:ascii="Arial" w:cs="Arial" w:eastAsia="Arial" w:hAnsi="Arial"/>
                <w:sz w:val="1"/>
                <w:szCs w:val="1"/>
                <w:color w:val="auto"/>
              </w:rPr>
              <w:t xml:space="preserve"> ​</w:t>
            </w:r>
          </w:p>
        </w:tc>
        <w:tc>
          <w:tcPr>
            <w:tcW w:w="12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22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580" w:type="dxa"/>
            <w:vAlign w:val="bottom"/>
            <w:shd w:val="clear" w:color="auto" w:fill="7B8FAA"/>
          </w:tcPr>
          <w:p>
            <w:pPr>
              <w:jc w:val="right"/>
              <w:spacing w:after="0"/>
              <w:rPr>
                <w:sz w:val="20"/>
                <w:szCs w:val="20"/>
                <w:color w:val="auto"/>
              </w:rPr>
            </w:pPr>
            <w:r>
              <w:rPr>
                <w:rFonts w:ascii="Arial" w:cs="Arial" w:eastAsia="Arial" w:hAnsi="Arial"/>
                <w:sz w:val="1"/>
                <w:szCs w:val="1"/>
                <w:color w:val="auto"/>
              </w:rPr>
              <w:t>41,124</w:t>
            </w:r>
          </w:p>
        </w:tc>
        <w:tc>
          <w:tcPr>
            <w:tcW w:w="12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jc w:val="right"/>
              <w:spacing w:after="0"/>
              <w:rPr>
                <w:sz w:val="20"/>
                <w:szCs w:val="20"/>
                <w:color w:val="auto"/>
              </w:rPr>
            </w:pPr>
            <w:r>
              <w:rPr>
                <w:rFonts w:ascii="Arial" w:cs="Arial" w:eastAsia="Arial" w:hAnsi="Arial"/>
                <w:sz w:val="1"/>
                <w:szCs w:val="1"/>
                <w:color w:val="auto"/>
              </w:rPr>
              <w:t>​ ​</w:t>
            </w:r>
          </w:p>
        </w:tc>
        <w:tc>
          <w:tcPr>
            <w:tcW w:w="16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860" w:type="dxa"/>
            <w:vAlign w:val="bottom"/>
            <w:shd w:val="clear" w:color="auto" w:fill="7B8FAA"/>
          </w:tcPr>
          <w:p>
            <w:pPr>
              <w:jc w:val="right"/>
              <w:ind w:right="12"/>
              <w:spacing w:after="0"/>
              <w:rPr>
                <w:sz w:val="20"/>
                <w:szCs w:val="20"/>
                <w:color w:val="auto"/>
              </w:rPr>
            </w:pPr>
            <w:r>
              <w:rPr>
                <w:rFonts w:ascii="Arial" w:cs="Arial" w:eastAsia="Arial" w:hAnsi="Arial"/>
                <w:sz w:val="1"/>
                <w:szCs w:val="1"/>
                <w:color w:val="auto"/>
              </w:rPr>
              <w:t>562,576</w:t>
            </w:r>
          </w:p>
        </w:tc>
        <w:tc>
          <w:tcPr>
            <w:tcW w:w="100" w:type="dxa"/>
            <w:vAlign w:val="bottom"/>
            <w:gridSpan w:val="2"/>
            <w:shd w:val="clear" w:color="auto" w:fill="7B8FAA"/>
          </w:tcPr>
          <w:p>
            <w:pPr>
              <w:jc w:val="right"/>
              <w:spacing w:after="0"/>
              <w:rPr>
                <w:sz w:val="20"/>
                <w:szCs w:val="20"/>
                <w:color w:val="auto"/>
              </w:rPr>
            </w:pPr>
            <w:r>
              <w:rPr>
                <w:rFonts w:ascii="Arial" w:cs="Arial" w:eastAsia="Arial" w:hAnsi="Arial"/>
                <w:sz w:val="1"/>
                <w:szCs w:val="1"/>
                <w:color w:val="auto"/>
              </w:rPr>
              <w:t>​​</w:t>
            </w: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39"/>
              <w:spacing w:after="0"/>
              <w:rPr>
                <w:sz w:val="20"/>
                <w:szCs w:val="20"/>
                <w:color w:val="auto"/>
              </w:rPr>
            </w:pPr>
            <w:r>
              <w:rPr>
                <w:rFonts w:ascii="Arial" w:cs="Arial" w:eastAsia="Arial" w:hAnsi="Arial"/>
                <w:sz w:val="11"/>
                <w:szCs w:val="11"/>
                <w:color w:val="auto"/>
                <w:w w:val="91"/>
              </w:rPr>
              <w:t>(12)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80" w:type="dxa"/>
            <w:vAlign w:val="bottom"/>
            <w:tcBorders>
              <w:bottom w:val="single" w:sz="8" w:color="7B8FAA"/>
            </w:tcBorders>
          </w:tcPr>
          <w:p>
            <w:pPr>
              <w:spacing w:after="0"/>
              <w:rPr>
                <w:sz w:val="9"/>
                <w:szCs w:val="9"/>
                <w:color w:val="auto"/>
              </w:rPr>
            </w:pPr>
          </w:p>
        </w:tc>
        <w:tc>
          <w:tcPr>
            <w:tcW w:w="140" w:type="dxa"/>
            <w:vAlign w:val="bottom"/>
            <w:tcBorders>
              <w:bottom w:val="single" w:sz="8" w:color="7B8FAA"/>
            </w:tcBorders>
          </w:tcPr>
          <w:p>
            <w:pPr>
              <w:spacing w:after="0"/>
              <w:rPr>
                <w:sz w:val="9"/>
                <w:szCs w:val="9"/>
                <w:color w:val="auto"/>
              </w:rPr>
            </w:pPr>
          </w:p>
        </w:tc>
        <w:tc>
          <w:tcPr>
            <w:tcW w:w="60" w:type="dxa"/>
            <w:vAlign w:val="bottom"/>
            <w:tcBorders>
              <w:bottom w:val="single" w:sz="8" w:color="7B8FAA"/>
            </w:tcBorders>
          </w:tcPr>
          <w:p>
            <w:pPr>
              <w:spacing w:after="0"/>
              <w:rPr>
                <w:sz w:val="9"/>
                <w:szCs w:val="9"/>
                <w:color w:val="auto"/>
              </w:rPr>
            </w:pPr>
          </w:p>
        </w:tc>
        <w:tc>
          <w:tcPr>
            <w:tcW w:w="1020" w:type="dxa"/>
            <w:vAlign w:val="bottom"/>
            <w:tcBorders>
              <w:bottom w:val="single" w:sz="8" w:color="7B8FAA"/>
            </w:tcBorders>
            <w:gridSpan w:val="2"/>
          </w:tcPr>
          <w:p>
            <w:pPr>
              <w:spacing w:after="0"/>
              <w:rPr>
                <w:sz w:val="9"/>
                <w:szCs w:val="9"/>
                <w:color w:val="auto"/>
              </w:rPr>
            </w:pPr>
          </w:p>
        </w:tc>
        <w:tc>
          <w:tcPr>
            <w:tcW w:w="200" w:type="dxa"/>
            <w:vAlign w:val="bottom"/>
            <w:tcBorders>
              <w:bottom w:val="single" w:sz="8" w:color="7B8FAA"/>
            </w:tcBorders>
          </w:tcPr>
          <w:p>
            <w:pPr>
              <w:spacing w:after="0"/>
              <w:rPr>
                <w:sz w:val="9"/>
                <w:szCs w:val="9"/>
                <w:color w:val="auto"/>
              </w:rPr>
            </w:pPr>
          </w:p>
        </w:tc>
        <w:tc>
          <w:tcPr>
            <w:tcW w:w="600" w:type="dxa"/>
            <w:vAlign w:val="bottom"/>
            <w:tcBorders>
              <w:bottom w:val="single" w:sz="8" w:color="7B8FAA"/>
            </w:tcBorders>
          </w:tcPr>
          <w:p>
            <w:pPr>
              <w:spacing w:after="0"/>
              <w:rPr>
                <w:sz w:val="9"/>
                <w:szCs w:val="9"/>
                <w:color w:val="auto"/>
              </w:rPr>
            </w:pPr>
          </w:p>
        </w:tc>
        <w:tc>
          <w:tcPr>
            <w:tcW w:w="260" w:type="dxa"/>
            <w:vAlign w:val="bottom"/>
            <w:tcBorders>
              <w:bottom w:val="single" w:sz="8" w:color="7B8FAA"/>
            </w:tcBorders>
          </w:tcPr>
          <w:p>
            <w:pPr>
              <w:spacing w:after="0"/>
              <w:rPr>
                <w:sz w:val="9"/>
                <w:szCs w:val="9"/>
                <w:color w:val="auto"/>
              </w:rPr>
            </w:pPr>
          </w:p>
        </w:tc>
        <w:tc>
          <w:tcPr>
            <w:tcW w:w="240" w:type="dxa"/>
            <w:vAlign w:val="bottom"/>
            <w:tcBorders>
              <w:bottom w:val="single" w:sz="8" w:color="7B8FAA"/>
            </w:tcBorders>
          </w:tcPr>
          <w:p>
            <w:pPr>
              <w:spacing w:after="0"/>
              <w:rPr>
                <w:sz w:val="9"/>
                <w:szCs w:val="9"/>
                <w:color w:val="auto"/>
              </w:rPr>
            </w:pPr>
          </w:p>
        </w:tc>
        <w:tc>
          <w:tcPr>
            <w:tcW w:w="560" w:type="dxa"/>
            <w:vAlign w:val="bottom"/>
            <w:tcBorders>
              <w:bottom w:val="single" w:sz="8" w:color="7B8FAA"/>
            </w:tcBorders>
          </w:tcPr>
          <w:p>
            <w:pPr>
              <w:spacing w:after="0"/>
              <w:rPr>
                <w:sz w:val="9"/>
                <w:szCs w:val="9"/>
                <w:color w:val="auto"/>
              </w:rPr>
            </w:pPr>
          </w:p>
        </w:tc>
        <w:tc>
          <w:tcPr>
            <w:tcW w:w="200" w:type="dxa"/>
            <w:vAlign w:val="bottom"/>
            <w:tcBorders>
              <w:bottom w:val="single" w:sz="8" w:color="7B8FAA"/>
            </w:tcBorders>
          </w:tcPr>
          <w:p>
            <w:pPr>
              <w:spacing w:after="0"/>
              <w:rPr>
                <w:sz w:val="9"/>
                <w:szCs w:val="9"/>
                <w:color w:val="auto"/>
              </w:rPr>
            </w:pPr>
          </w:p>
        </w:tc>
        <w:tc>
          <w:tcPr>
            <w:tcW w:w="980" w:type="dxa"/>
            <w:vAlign w:val="bottom"/>
            <w:tcBorders>
              <w:bottom w:val="single" w:sz="8" w:color="7B8FAA"/>
            </w:tcBorders>
            <w:gridSpan w:val="2"/>
          </w:tcPr>
          <w:p>
            <w:pPr>
              <w:spacing w:after="0"/>
              <w:rPr>
                <w:sz w:val="9"/>
                <w:szCs w:val="9"/>
                <w:color w:val="auto"/>
              </w:rPr>
            </w:pPr>
          </w:p>
        </w:tc>
        <w:tc>
          <w:tcPr>
            <w:tcW w:w="160" w:type="dxa"/>
            <w:vAlign w:val="bottom"/>
            <w:tcBorders>
              <w:bottom w:val="single" w:sz="8" w:color="7B8FAA"/>
            </w:tcBorders>
            <w:gridSpan w:val="2"/>
          </w:tcPr>
          <w:p>
            <w:pPr>
              <w:spacing w:after="0"/>
              <w:rPr>
                <w:sz w:val="9"/>
                <w:szCs w:val="9"/>
                <w:color w:val="auto"/>
              </w:rPr>
            </w:pPr>
          </w:p>
        </w:tc>
        <w:tc>
          <w:tcPr>
            <w:tcW w:w="120" w:type="dxa"/>
            <w:vAlign w:val="bottom"/>
            <w:tcBorders>
              <w:bottom w:val="single" w:sz="8" w:color="7B8FAA"/>
            </w:tcBorders>
          </w:tcPr>
          <w:p>
            <w:pPr>
              <w:spacing w:after="0"/>
              <w:rPr>
                <w:sz w:val="9"/>
                <w:szCs w:val="9"/>
                <w:color w:val="auto"/>
              </w:rPr>
            </w:pPr>
          </w:p>
        </w:tc>
        <w:tc>
          <w:tcPr>
            <w:tcW w:w="220" w:type="dxa"/>
            <w:vAlign w:val="bottom"/>
            <w:tcBorders>
              <w:bottom w:val="single" w:sz="8" w:color="7B8FAA"/>
            </w:tcBorders>
          </w:tcPr>
          <w:p>
            <w:pPr>
              <w:spacing w:after="0"/>
              <w:rPr>
                <w:sz w:val="9"/>
                <w:szCs w:val="9"/>
                <w:color w:val="auto"/>
              </w:rPr>
            </w:pPr>
          </w:p>
        </w:tc>
        <w:tc>
          <w:tcPr>
            <w:tcW w:w="580" w:type="dxa"/>
            <w:vAlign w:val="bottom"/>
            <w:tcBorders>
              <w:bottom w:val="single" w:sz="8" w:color="7B8FAA"/>
            </w:tcBorders>
          </w:tcPr>
          <w:p>
            <w:pPr>
              <w:spacing w:after="0"/>
              <w:rPr>
                <w:sz w:val="9"/>
                <w:szCs w:val="9"/>
                <w:color w:val="auto"/>
              </w:rPr>
            </w:pPr>
          </w:p>
        </w:tc>
        <w:tc>
          <w:tcPr>
            <w:tcW w:w="120" w:type="dxa"/>
            <w:vAlign w:val="bottom"/>
            <w:tcBorders>
              <w:bottom w:val="single" w:sz="8" w:color="7B8FAA"/>
            </w:tcBorders>
          </w:tcPr>
          <w:p>
            <w:pPr>
              <w:spacing w:after="0"/>
              <w:rPr>
                <w:sz w:val="9"/>
                <w:szCs w:val="9"/>
                <w:color w:val="auto"/>
              </w:rPr>
            </w:pPr>
          </w:p>
        </w:tc>
        <w:tc>
          <w:tcPr>
            <w:tcW w:w="180" w:type="dxa"/>
            <w:vAlign w:val="bottom"/>
            <w:tcBorders>
              <w:bottom w:val="single" w:sz="8" w:color="7B8FAA"/>
            </w:tcBorders>
          </w:tcPr>
          <w:p>
            <w:pPr>
              <w:spacing w:after="0"/>
              <w:rPr>
                <w:sz w:val="9"/>
                <w:szCs w:val="9"/>
                <w:color w:val="auto"/>
              </w:rPr>
            </w:pPr>
          </w:p>
        </w:tc>
        <w:tc>
          <w:tcPr>
            <w:tcW w:w="160" w:type="dxa"/>
            <w:vAlign w:val="bottom"/>
            <w:tcBorders>
              <w:bottom w:val="single" w:sz="8" w:color="7B8FAA"/>
            </w:tcBorders>
          </w:tcPr>
          <w:p>
            <w:pPr>
              <w:spacing w:after="0"/>
              <w:rPr>
                <w:sz w:val="9"/>
                <w:szCs w:val="9"/>
                <w:color w:val="auto"/>
              </w:rPr>
            </w:pPr>
          </w:p>
        </w:tc>
        <w:tc>
          <w:tcPr>
            <w:tcW w:w="180" w:type="dxa"/>
            <w:vAlign w:val="bottom"/>
            <w:tcBorders>
              <w:bottom w:val="single" w:sz="8" w:color="7B8FAA"/>
            </w:tcBorders>
          </w:tcPr>
          <w:p>
            <w:pPr>
              <w:spacing w:after="0"/>
              <w:rPr>
                <w:sz w:val="9"/>
                <w:szCs w:val="9"/>
                <w:color w:val="auto"/>
              </w:rPr>
            </w:pPr>
          </w:p>
        </w:tc>
        <w:tc>
          <w:tcPr>
            <w:tcW w:w="860" w:type="dxa"/>
            <w:vAlign w:val="bottom"/>
            <w:tcBorders>
              <w:bottom w:val="single" w:sz="8" w:color="7B8FAA"/>
            </w:tcBorders>
          </w:tcPr>
          <w:p>
            <w:pPr>
              <w:spacing w:after="0"/>
              <w:rPr>
                <w:sz w:val="9"/>
                <w:szCs w:val="9"/>
                <w:color w:val="auto"/>
              </w:rPr>
            </w:pPr>
          </w:p>
        </w:tc>
        <w:tc>
          <w:tcPr>
            <w:tcW w:w="20" w:type="dxa"/>
            <w:vAlign w:val="bottom"/>
            <w:tcBorders>
              <w:bottom w:val="single" w:sz="8" w:color="7B8FAA"/>
            </w:tcBorders>
          </w:tcPr>
          <w:p>
            <w:pPr>
              <w:spacing w:after="0"/>
              <w:rPr>
                <w:sz w:val="9"/>
                <w:szCs w:val="9"/>
                <w:color w:val="auto"/>
              </w:rPr>
            </w:pPr>
          </w:p>
        </w:tc>
        <w:tc>
          <w:tcPr>
            <w:tcW w:w="80" w:type="dxa"/>
            <w:vAlign w:val="bottom"/>
            <w:tcBorders>
              <w:bottom w:val="single" w:sz="8" w:color="7B8FAA"/>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Alexander Dimitrief</w:t>
            </w:r>
          </w:p>
        </w:tc>
        <w:tc>
          <w:tcPr>
            <w:tcW w:w="140" w:type="dxa"/>
            <w:vAlign w:val="bottom"/>
            <w:tcBorders>
              <w:bottom w:val="single" w:sz="8" w:color="7B8FAA"/>
            </w:tcBorders>
            <w:shd w:val="clear" w:color="auto" w:fill="CCEEFF"/>
          </w:tcPr>
          <w:p>
            <w:pPr>
              <w:spacing w:after="0"/>
              <w:rPr>
                <w:sz w:val="24"/>
                <w:szCs w:val="24"/>
                <w:color w:val="auto"/>
              </w:rPr>
            </w:pPr>
          </w:p>
        </w:tc>
        <w:tc>
          <w:tcPr>
            <w:tcW w:w="6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gridSpan w:val="2"/>
            <w:shd w:val="clear" w:color="auto" w:fill="CCEEFF"/>
          </w:tcPr>
          <w:p>
            <w:pPr>
              <w:jc w:val="right"/>
              <w:ind w:right="4"/>
              <w:spacing w:after="0"/>
              <w:rPr>
                <w:sz w:val="20"/>
                <w:szCs w:val="20"/>
                <w:color w:val="auto"/>
              </w:rPr>
            </w:pPr>
            <w:r>
              <w:rPr>
                <w:rFonts w:ascii="Arial" w:cs="Arial" w:eastAsia="Arial" w:hAnsi="Arial"/>
                <w:sz w:val="17"/>
                <w:szCs w:val="17"/>
                <w:color w:val="auto"/>
              </w:rPr>
              <w:t>602,387</w:t>
            </w:r>
            <w:r>
              <w:rPr>
                <w:rFonts w:ascii="Arial" w:cs="Arial" w:eastAsia="Arial" w:hAnsi="Arial"/>
                <w:sz w:val="22"/>
                <w:szCs w:val="22"/>
                <w:color w:val="auto"/>
                <w:vertAlign w:val="superscript"/>
              </w:rPr>
              <w:t>(11)</w:t>
            </w:r>
          </w:p>
        </w:tc>
        <w:tc>
          <w:tcPr>
            <w:tcW w:w="2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7B8FAA"/>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7B8FAA"/>
            </w:tcBorders>
            <w:shd w:val="clear" w:color="auto" w:fill="CCEEFF"/>
          </w:tcPr>
          <w:p>
            <w:pPr>
              <w:jc w:val="right"/>
              <w:ind w:right="9"/>
              <w:spacing w:after="0"/>
              <w:rPr>
                <w:sz w:val="20"/>
                <w:szCs w:val="20"/>
                <w:color w:val="auto"/>
              </w:rPr>
            </w:pPr>
            <w:r>
              <w:rPr>
                <w:rFonts w:ascii="Arial" w:cs="Arial" w:eastAsia="Arial" w:hAnsi="Arial"/>
                <w:sz w:val="17"/>
                <w:szCs w:val="17"/>
                <w:color w:val="auto"/>
              </w:rPr>
              <w:t>6.37</w:t>
            </w:r>
          </w:p>
        </w:tc>
        <w:tc>
          <w:tcPr>
            <w:tcW w:w="2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7B8FAA"/>
            </w:tcBorders>
            <w:gridSpan w:val="4"/>
            <w:shd w:val="clear" w:color="auto" w:fill="CCEEFF"/>
          </w:tcPr>
          <w:p>
            <w:pPr>
              <w:jc w:val="right"/>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11/7/2032 </w:t>
            </w:r>
            <w:r>
              <w:rPr>
                <w:rFonts w:ascii="Arial" w:cs="Arial" w:eastAsia="Arial" w:hAnsi="Arial"/>
                <w:sz w:val="33"/>
                <w:szCs w:val="33"/>
                <w:color w:val="auto"/>
                <w:vertAlign w:val="superscript"/>
              </w:rPr>
              <w:t>​</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shd w:val="clear" w:color="auto" w:fill="CCEEFF"/>
          </w:tcPr>
          <w:p>
            <w:pPr>
              <w:spacing w:after="0"/>
              <w:rPr>
                <w:sz w:val="24"/>
                <w:szCs w:val="24"/>
                <w:color w:val="auto"/>
              </w:rPr>
            </w:pPr>
          </w:p>
        </w:tc>
        <w:tc>
          <w:tcPr>
            <w:tcW w:w="1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4"/>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102,095</w:t>
            </w:r>
            <w:r>
              <w:rPr>
                <w:rFonts w:ascii="Arial" w:cs="Arial" w:eastAsia="Arial" w:hAnsi="Arial"/>
                <w:sz w:val="19"/>
                <w:szCs w:val="19"/>
                <w:color w:val="auto"/>
                <w:vertAlign w:val="superscript"/>
              </w:rPr>
              <w:t>(5)</w:t>
            </w:r>
            <w:r>
              <w:rPr>
                <w:rFonts w:ascii="Arial" w:cs="Arial" w:eastAsia="Arial" w:hAnsi="Arial"/>
                <w:sz w:val="16"/>
                <w:szCs w:val="16"/>
                <w:color w:val="auto"/>
              </w:rPr>
              <w:t>​</w:t>
            </w:r>
          </w:p>
        </w:tc>
        <w:tc>
          <w:tcPr>
            <w:tcW w:w="800" w:type="dxa"/>
            <w:vAlign w:val="bottom"/>
            <w:gridSpan w:val="2"/>
            <w:shd w:val="clear" w:color="auto" w:fill="CCEEFF"/>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14.59</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line="252" w:lineRule="exact"/>
              <w:rPr>
                <w:sz w:val="20"/>
                <w:szCs w:val="20"/>
                <w:color w:val="auto"/>
              </w:rPr>
            </w:pPr>
            <w:r>
              <w:rPr>
                <w:rFonts w:ascii="Arial" w:cs="Arial" w:eastAsia="Arial" w:hAnsi="Arial"/>
                <w:sz w:val="16"/>
                <w:szCs w:val="16"/>
                <w:color w:val="auto"/>
              </w:rPr>
              <w:t xml:space="preserve">3/4/2034 </w:t>
            </w:r>
            <w:r>
              <w:rPr>
                <w:rFonts w:ascii="Arial" w:cs="Arial" w:eastAsia="Arial" w:hAnsi="Arial"/>
                <w:sz w:val="29"/>
                <w:szCs w:val="29"/>
                <w:color w:val="auto"/>
                <w:vertAlign w:val="superscript"/>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
        </w:trPr>
        <w:tc>
          <w:tcPr>
            <w:tcW w:w="1780" w:type="dxa"/>
            <w:vAlign w:val="bottom"/>
            <w:shd w:val="clear" w:color="auto" w:fill="CCEEFF"/>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rPr>
                <w:sz w:val="20"/>
                <w:szCs w:val="20"/>
                <w:color w:val="auto"/>
              </w:rPr>
            </w:pPr>
            <w:r>
              <w:rPr>
                <w:rFonts w:ascii="Arial" w:cs="Arial" w:eastAsia="Arial" w:hAnsi="Arial"/>
                <w:sz w:val="1"/>
                <w:szCs w:val="1"/>
                <w:color w:val="auto"/>
              </w:rPr>
              <w:t>​</w:t>
            </w:r>
          </w:p>
        </w:tc>
        <w:tc>
          <w:tcPr>
            <w:tcW w:w="76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spacing w:after="0" w:line="20" w:lineRule="exact"/>
              <w:rPr>
                <w:sz w:val="1"/>
                <w:szCs w:val="1"/>
                <w:color w:val="auto"/>
              </w:rPr>
            </w:pPr>
          </w:p>
        </w:tc>
        <w:tc>
          <w:tcPr>
            <w:tcW w:w="2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6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jc w:val="right"/>
              <w:ind w:right="64"/>
              <w:spacing w:after="0"/>
              <w:rPr>
                <w:sz w:val="20"/>
                <w:szCs w:val="20"/>
                <w:color w:val="auto"/>
              </w:rPr>
            </w:pPr>
            <w:r>
              <w:rPr>
                <w:rFonts w:ascii="Arial" w:cs="Arial" w:eastAsia="Arial" w:hAnsi="Arial"/>
                <w:sz w:val="1"/>
                <w:szCs w:val="1"/>
                <w:color w:val="auto"/>
              </w:rPr>
              <w:t>​</w:t>
            </w:r>
          </w:p>
        </w:tc>
        <w:tc>
          <w:tcPr>
            <w:tcW w:w="240" w:type="dxa"/>
            <w:vAlign w:val="bottom"/>
            <w:shd w:val="clear" w:color="auto" w:fill="7B8FAA"/>
          </w:tcPr>
          <w:p>
            <w:pPr>
              <w:ind w:left="200"/>
              <w:spacing w:after="0"/>
              <w:rPr>
                <w:sz w:val="20"/>
                <w:szCs w:val="20"/>
                <w:color w:val="auto"/>
              </w:rPr>
            </w:pPr>
            <w:r>
              <w:rPr>
                <w:rFonts w:ascii="Arial" w:cs="Arial" w:eastAsia="Arial" w:hAnsi="Arial"/>
                <w:sz w:val="1"/>
                <w:szCs w:val="1"/>
                <w:color w:val="auto"/>
              </w:rPr>
              <w:t>​</w:t>
            </w:r>
          </w:p>
        </w:tc>
        <w:tc>
          <w:tcPr>
            <w:tcW w:w="560" w:type="dxa"/>
            <w:vAlign w:val="bottom"/>
            <w:shd w:val="clear" w:color="auto" w:fill="7B8FAA"/>
          </w:tcPr>
          <w:p>
            <w:pPr>
              <w:jc w:val="right"/>
              <w:ind w:right="9"/>
              <w:spacing w:after="0"/>
              <w:rPr>
                <w:sz w:val="20"/>
                <w:szCs w:val="20"/>
                <w:color w:val="auto"/>
              </w:rPr>
            </w:pPr>
            <w:r>
              <w:rPr>
                <w:rFonts w:ascii="Arial" w:cs="Arial" w:eastAsia="Arial" w:hAnsi="Arial"/>
                <w:sz w:val="1"/>
                <w:szCs w:val="1"/>
                <w:color w:val="auto"/>
              </w:rPr>
              <w:t>—</w:t>
            </w:r>
          </w:p>
        </w:tc>
        <w:tc>
          <w:tcPr>
            <w:tcW w:w="200" w:type="dxa"/>
            <w:vAlign w:val="bottom"/>
            <w:shd w:val="clear" w:color="auto" w:fill="7B8FAA"/>
          </w:tcPr>
          <w:p>
            <w:pPr>
              <w:ind w:left="4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960" w:type="dxa"/>
            <w:vAlign w:val="bottom"/>
            <w:gridSpan w:val="3"/>
            <w:shd w:val="clear" w:color="auto" w:fill="7B8FAA"/>
          </w:tcPr>
          <w:p>
            <w:pPr>
              <w:jc w:val="right"/>
              <w:spacing w:after="0"/>
              <w:rPr>
                <w:sz w:val="20"/>
                <w:szCs w:val="20"/>
                <w:color w:val="auto"/>
              </w:rPr>
            </w:pPr>
            <w:r>
              <w:rPr>
                <w:rFonts w:ascii="Arial" w:cs="Arial" w:eastAsia="Arial" w:hAnsi="Arial"/>
                <w:sz w:val="1"/>
                <w:szCs w:val="1"/>
                <w:color w:val="auto"/>
                <w:vertAlign w:val="subscript"/>
              </w:rPr>
              <w:t>—</w:t>
            </w:r>
            <w:r>
              <w:rPr>
                <w:rFonts w:ascii="Arial" w:cs="Arial" w:eastAsia="Arial" w:hAnsi="Arial"/>
                <w:sz w:val="1"/>
                <w:szCs w:val="1"/>
                <w:color w:val="auto"/>
              </w:rPr>
              <w:t xml:space="preserve"> ​</w:t>
            </w:r>
          </w:p>
        </w:tc>
        <w:tc>
          <w:tcPr>
            <w:tcW w:w="12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22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580" w:type="dxa"/>
            <w:vAlign w:val="bottom"/>
            <w:shd w:val="clear" w:color="auto" w:fill="7B8FAA"/>
          </w:tcPr>
          <w:p>
            <w:pPr>
              <w:jc w:val="right"/>
              <w:spacing w:after="0"/>
              <w:rPr>
                <w:sz w:val="20"/>
                <w:szCs w:val="20"/>
                <w:color w:val="auto"/>
              </w:rPr>
            </w:pPr>
            <w:r>
              <w:rPr>
                <w:rFonts w:ascii="Arial" w:cs="Arial" w:eastAsia="Arial" w:hAnsi="Arial"/>
                <w:sz w:val="1"/>
                <w:szCs w:val="1"/>
                <w:color w:val="auto"/>
              </w:rPr>
              <w:t>51,405</w:t>
            </w:r>
          </w:p>
        </w:tc>
        <w:tc>
          <w:tcPr>
            <w:tcW w:w="12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jc w:val="right"/>
              <w:spacing w:after="0"/>
              <w:rPr>
                <w:sz w:val="20"/>
                <w:szCs w:val="20"/>
                <w:color w:val="auto"/>
              </w:rPr>
            </w:pPr>
            <w:r>
              <w:rPr>
                <w:rFonts w:ascii="Arial" w:cs="Arial" w:eastAsia="Arial" w:hAnsi="Arial"/>
                <w:sz w:val="1"/>
                <w:szCs w:val="1"/>
                <w:color w:val="auto"/>
              </w:rPr>
              <w:t>​ ​</w:t>
            </w:r>
          </w:p>
        </w:tc>
        <w:tc>
          <w:tcPr>
            <w:tcW w:w="16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860" w:type="dxa"/>
            <w:vAlign w:val="bottom"/>
            <w:shd w:val="clear" w:color="auto" w:fill="7B8FAA"/>
          </w:tcPr>
          <w:p>
            <w:pPr>
              <w:jc w:val="right"/>
              <w:ind w:right="12"/>
              <w:spacing w:after="0"/>
              <w:rPr>
                <w:sz w:val="20"/>
                <w:szCs w:val="20"/>
                <w:color w:val="auto"/>
              </w:rPr>
            </w:pPr>
            <w:r>
              <w:rPr>
                <w:rFonts w:ascii="Arial" w:cs="Arial" w:eastAsia="Arial" w:hAnsi="Arial"/>
                <w:sz w:val="1"/>
                <w:szCs w:val="1"/>
                <w:color w:val="auto"/>
              </w:rPr>
              <w:t>703,220</w:t>
            </w:r>
          </w:p>
        </w:tc>
        <w:tc>
          <w:tcPr>
            <w:tcW w:w="100" w:type="dxa"/>
            <w:vAlign w:val="bottom"/>
            <w:gridSpan w:val="2"/>
            <w:shd w:val="clear" w:color="auto" w:fill="7B8FAA"/>
          </w:tcPr>
          <w:p>
            <w:pPr>
              <w:jc w:val="right"/>
              <w:spacing w:after="0"/>
              <w:rPr>
                <w:sz w:val="20"/>
                <w:szCs w:val="20"/>
                <w:color w:val="auto"/>
              </w:rPr>
            </w:pPr>
            <w:r>
              <w:rPr>
                <w:rFonts w:ascii="Arial" w:cs="Arial" w:eastAsia="Arial" w:hAnsi="Arial"/>
                <w:sz w:val="1"/>
                <w:szCs w:val="1"/>
                <w:color w:val="auto"/>
              </w:rPr>
              <w:t>​​</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1"/>
                <w:szCs w:val="11"/>
                <w:color w:val="auto"/>
                <w:w w:val="91"/>
              </w:rPr>
              <w:t>(12)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80" w:type="dxa"/>
            <w:vAlign w:val="bottom"/>
            <w:tcBorders>
              <w:bottom w:val="single" w:sz="8" w:color="7B8FAA"/>
            </w:tcBorders>
            <w:shd w:val="clear" w:color="auto" w:fill="CCEEFF"/>
          </w:tcPr>
          <w:p>
            <w:pPr>
              <w:spacing w:after="0"/>
              <w:rPr>
                <w:sz w:val="9"/>
                <w:szCs w:val="9"/>
                <w:color w:val="auto"/>
              </w:rPr>
            </w:pPr>
          </w:p>
        </w:tc>
        <w:tc>
          <w:tcPr>
            <w:tcW w:w="140" w:type="dxa"/>
            <w:vAlign w:val="bottom"/>
            <w:tcBorders>
              <w:bottom w:val="single" w:sz="8" w:color="7B8FAA"/>
            </w:tcBorders>
            <w:shd w:val="clear" w:color="auto" w:fill="CCEEFF"/>
          </w:tcPr>
          <w:p>
            <w:pPr>
              <w:spacing w:after="0"/>
              <w:rPr>
                <w:sz w:val="9"/>
                <w:szCs w:val="9"/>
                <w:color w:val="auto"/>
              </w:rPr>
            </w:pPr>
          </w:p>
        </w:tc>
        <w:tc>
          <w:tcPr>
            <w:tcW w:w="60" w:type="dxa"/>
            <w:vAlign w:val="bottom"/>
            <w:tcBorders>
              <w:bottom w:val="single" w:sz="8" w:color="7B8FAA"/>
            </w:tcBorders>
            <w:shd w:val="clear" w:color="auto" w:fill="CCEEFF"/>
          </w:tcPr>
          <w:p>
            <w:pPr>
              <w:spacing w:after="0"/>
              <w:rPr>
                <w:sz w:val="9"/>
                <w:szCs w:val="9"/>
                <w:color w:val="auto"/>
              </w:rPr>
            </w:pPr>
          </w:p>
        </w:tc>
        <w:tc>
          <w:tcPr>
            <w:tcW w:w="1020" w:type="dxa"/>
            <w:vAlign w:val="bottom"/>
            <w:tcBorders>
              <w:bottom w:val="single" w:sz="8" w:color="7B8FAA"/>
            </w:tcBorders>
            <w:gridSpan w:val="2"/>
            <w:shd w:val="clear" w:color="auto" w:fill="CCEEFF"/>
          </w:tcPr>
          <w:p>
            <w:pPr>
              <w:spacing w:after="0"/>
              <w:rPr>
                <w:sz w:val="9"/>
                <w:szCs w:val="9"/>
                <w:color w:val="auto"/>
              </w:rPr>
            </w:pPr>
          </w:p>
        </w:tc>
        <w:tc>
          <w:tcPr>
            <w:tcW w:w="200" w:type="dxa"/>
            <w:vAlign w:val="bottom"/>
            <w:tcBorders>
              <w:bottom w:val="single" w:sz="8" w:color="7B8FAA"/>
            </w:tcBorders>
            <w:shd w:val="clear" w:color="auto" w:fill="CCEEFF"/>
          </w:tcPr>
          <w:p>
            <w:pPr>
              <w:spacing w:after="0"/>
              <w:rPr>
                <w:sz w:val="9"/>
                <w:szCs w:val="9"/>
                <w:color w:val="auto"/>
              </w:rPr>
            </w:pPr>
          </w:p>
        </w:tc>
        <w:tc>
          <w:tcPr>
            <w:tcW w:w="600" w:type="dxa"/>
            <w:vAlign w:val="bottom"/>
            <w:tcBorders>
              <w:bottom w:val="single" w:sz="8" w:color="7B8FAA"/>
            </w:tcBorders>
            <w:shd w:val="clear" w:color="auto" w:fill="CCEEFF"/>
          </w:tcPr>
          <w:p>
            <w:pPr>
              <w:spacing w:after="0"/>
              <w:rPr>
                <w:sz w:val="9"/>
                <w:szCs w:val="9"/>
                <w:color w:val="auto"/>
              </w:rPr>
            </w:pPr>
          </w:p>
        </w:tc>
        <w:tc>
          <w:tcPr>
            <w:tcW w:w="260" w:type="dxa"/>
            <w:vAlign w:val="bottom"/>
            <w:tcBorders>
              <w:bottom w:val="single" w:sz="8" w:color="7B8FAA"/>
            </w:tcBorders>
            <w:shd w:val="clear" w:color="auto" w:fill="CCEEFF"/>
          </w:tcPr>
          <w:p>
            <w:pPr>
              <w:spacing w:after="0"/>
              <w:rPr>
                <w:sz w:val="9"/>
                <w:szCs w:val="9"/>
                <w:color w:val="auto"/>
              </w:rPr>
            </w:pPr>
          </w:p>
        </w:tc>
        <w:tc>
          <w:tcPr>
            <w:tcW w:w="800" w:type="dxa"/>
            <w:vAlign w:val="bottom"/>
            <w:tcBorders>
              <w:bottom w:val="single" w:sz="8" w:color="7B8FAA"/>
            </w:tcBorders>
            <w:gridSpan w:val="2"/>
            <w:shd w:val="clear" w:color="auto" w:fill="CCEEFF"/>
          </w:tcPr>
          <w:p>
            <w:pPr>
              <w:spacing w:after="0"/>
              <w:rPr>
                <w:sz w:val="9"/>
                <w:szCs w:val="9"/>
                <w:color w:val="auto"/>
              </w:rPr>
            </w:pPr>
          </w:p>
        </w:tc>
        <w:tc>
          <w:tcPr>
            <w:tcW w:w="200" w:type="dxa"/>
            <w:vAlign w:val="bottom"/>
            <w:tcBorders>
              <w:bottom w:val="single" w:sz="8" w:color="7B8FAA"/>
            </w:tcBorders>
            <w:shd w:val="clear" w:color="auto" w:fill="CCEEFF"/>
          </w:tcPr>
          <w:p>
            <w:pPr>
              <w:spacing w:after="0"/>
              <w:rPr>
                <w:sz w:val="9"/>
                <w:szCs w:val="9"/>
                <w:color w:val="auto"/>
              </w:rPr>
            </w:pPr>
          </w:p>
        </w:tc>
        <w:tc>
          <w:tcPr>
            <w:tcW w:w="980" w:type="dxa"/>
            <w:vAlign w:val="bottom"/>
            <w:tcBorders>
              <w:bottom w:val="single" w:sz="8" w:color="7B8FAA"/>
            </w:tcBorders>
            <w:gridSpan w:val="2"/>
            <w:shd w:val="clear" w:color="auto" w:fill="CCEEFF"/>
          </w:tcPr>
          <w:p>
            <w:pPr>
              <w:spacing w:after="0"/>
              <w:rPr>
                <w:sz w:val="9"/>
                <w:szCs w:val="9"/>
                <w:color w:val="auto"/>
              </w:rPr>
            </w:pPr>
          </w:p>
        </w:tc>
        <w:tc>
          <w:tcPr>
            <w:tcW w:w="160" w:type="dxa"/>
            <w:vAlign w:val="bottom"/>
            <w:tcBorders>
              <w:bottom w:val="single" w:sz="8" w:color="7B8FAA"/>
            </w:tcBorders>
            <w:gridSpan w:val="2"/>
            <w:shd w:val="clear" w:color="auto" w:fill="CCEEFF"/>
          </w:tcPr>
          <w:p>
            <w:pPr>
              <w:spacing w:after="0"/>
              <w:rPr>
                <w:sz w:val="9"/>
                <w:szCs w:val="9"/>
                <w:color w:val="auto"/>
              </w:rPr>
            </w:pPr>
          </w:p>
        </w:tc>
        <w:tc>
          <w:tcPr>
            <w:tcW w:w="120" w:type="dxa"/>
            <w:vAlign w:val="bottom"/>
            <w:tcBorders>
              <w:bottom w:val="single" w:sz="8" w:color="7B8FAA"/>
            </w:tcBorders>
            <w:shd w:val="clear" w:color="auto" w:fill="CCEEFF"/>
          </w:tcPr>
          <w:p>
            <w:pPr>
              <w:spacing w:after="0"/>
              <w:rPr>
                <w:sz w:val="9"/>
                <w:szCs w:val="9"/>
                <w:color w:val="auto"/>
              </w:rPr>
            </w:pPr>
          </w:p>
        </w:tc>
        <w:tc>
          <w:tcPr>
            <w:tcW w:w="220" w:type="dxa"/>
            <w:vAlign w:val="bottom"/>
            <w:tcBorders>
              <w:bottom w:val="single" w:sz="8" w:color="7B8FAA"/>
            </w:tcBorders>
            <w:shd w:val="clear" w:color="auto" w:fill="CCEEFF"/>
          </w:tcPr>
          <w:p>
            <w:pPr>
              <w:spacing w:after="0"/>
              <w:rPr>
                <w:sz w:val="9"/>
                <w:szCs w:val="9"/>
                <w:color w:val="auto"/>
              </w:rPr>
            </w:pPr>
          </w:p>
        </w:tc>
        <w:tc>
          <w:tcPr>
            <w:tcW w:w="580" w:type="dxa"/>
            <w:vAlign w:val="bottom"/>
            <w:tcBorders>
              <w:bottom w:val="single" w:sz="8" w:color="7B8FAA"/>
            </w:tcBorders>
            <w:shd w:val="clear" w:color="auto" w:fill="CCEEFF"/>
          </w:tcPr>
          <w:p>
            <w:pPr>
              <w:spacing w:after="0"/>
              <w:rPr>
                <w:sz w:val="9"/>
                <w:szCs w:val="9"/>
                <w:color w:val="auto"/>
              </w:rPr>
            </w:pPr>
          </w:p>
        </w:tc>
        <w:tc>
          <w:tcPr>
            <w:tcW w:w="120" w:type="dxa"/>
            <w:vAlign w:val="bottom"/>
            <w:tcBorders>
              <w:bottom w:val="single" w:sz="8" w:color="7B8FAA"/>
            </w:tcBorders>
            <w:shd w:val="clear" w:color="auto" w:fill="CCEEFF"/>
          </w:tcPr>
          <w:p>
            <w:pPr>
              <w:spacing w:after="0"/>
              <w:rPr>
                <w:sz w:val="9"/>
                <w:szCs w:val="9"/>
                <w:color w:val="auto"/>
              </w:rPr>
            </w:pPr>
          </w:p>
        </w:tc>
        <w:tc>
          <w:tcPr>
            <w:tcW w:w="180" w:type="dxa"/>
            <w:vAlign w:val="bottom"/>
            <w:tcBorders>
              <w:bottom w:val="single" w:sz="8" w:color="7B8FAA"/>
            </w:tcBorders>
            <w:shd w:val="clear" w:color="auto" w:fill="CCEEFF"/>
          </w:tcPr>
          <w:p>
            <w:pPr>
              <w:spacing w:after="0"/>
              <w:rPr>
                <w:sz w:val="9"/>
                <w:szCs w:val="9"/>
                <w:color w:val="auto"/>
              </w:rPr>
            </w:pPr>
          </w:p>
        </w:tc>
        <w:tc>
          <w:tcPr>
            <w:tcW w:w="160" w:type="dxa"/>
            <w:vAlign w:val="bottom"/>
            <w:tcBorders>
              <w:bottom w:val="single" w:sz="8" w:color="7B8FAA"/>
            </w:tcBorders>
            <w:shd w:val="clear" w:color="auto" w:fill="CCEEFF"/>
          </w:tcPr>
          <w:p>
            <w:pPr>
              <w:spacing w:after="0"/>
              <w:rPr>
                <w:sz w:val="9"/>
                <w:szCs w:val="9"/>
                <w:color w:val="auto"/>
              </w:rPr>
            </w:pPr>
          </w:p>
        </w:tc>
        <w:tc>
          <w:tcPr>
            <w:tcW w:w="180" w:type="dxa"/>
            <w:vAlign w:val="bottom"/>
            <w:tcBorders>
              <w:bottom w:val="single" w:sz="8" w:color="7B8FAA"/>
            </w:tcBorders>
            <w:shd w:val="clear" w:color="auto" w:fill="CCEEFF"/>
          </w:tcPr>
          <w:p>
            <w:pPr>
              <w:spacing w:after="0"/>
              <w:rPr>
                <w:sz w:val="9"/>
                <w:szCs w:val="9"/>
                <w:color w:val="auto"/>
              </w:rPr>
            </w:pPr>
          </w:p>
        </w:tc>
        <w:tc>
          <w:tcPr>
            <w:tcW w:w="860" w:type="dxa"/>
            <w:vAlign w:val="bottom"/>
            <w:tcBorders>
              <w:bottom w:val="single" w:sz="8" w:color="7B8FAA"/>
            </w:tcBorders>
            <w:shd w:val="clear" w:color="auto" w:fill="CCEEFF"/>
          </w:tcPr>
          <w:p>
            <w:pPr>
              <w:spacing w:after="0"/>
              <w:rPr>
                <w:sz w:val="9"/>
                <w:szCs w:val="9"/>
                <w:color w:val="auto"/>
              </w:rPr>
            </w:pPr>
          </w:p>
        </w:tc>
        <w:tc>
          <w:tcPr>
            <w:tcW w:w="20" w:type="dxa"/>
            <w:vAlign w:val="bottom"/>
            <w:tcBorders>
              <w:bottom w:val="single" w:sz="8" w:color="7B8FAA"/>
            </w:tcBorders>
            <w:shd w:val="clear" w:color="auto" w:fill="CCEEFF"/>
          </w:tcPr>
          <w:p>
            <w:pPr>
              <w:spacing w:after="0"/>
              <w:rPr>
                <w:sz w:val="9"/>
                <w:szCs w:val="9"/>
                <w:color w:val="auto"/>
              </w:rPr>
            </w:pPr>
          </w:p>
        </w:tc>
        <w:tc>
          <w:tcPr>
            <w:tcW w:w="80" w:type="dxa"/>
            <w:vAlign w:val="bottom"/>
            <w:tcBorders>
              <w:bottom w:val="single" w:sz="8" w:color="7B8FAA"/>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1780" w:type="dxa"/>
            <w:vAlign w:val="bottom"/>
          </w:tcPr>
          <w:p>
            <w:pPr>
              <w:ind w:left="100"/>
              <w:spacing w:after="0"/>
              <w:rPr>
                <w:sz w:val="20"/>
                <w:szCs w:val="20"/>
                <w:color w:val="auto"/>
              </w:rPr>
            </w:pPr>
            <w:r>
              <w:rPr>
                <w:rFonts w:ascii="Arial" w:cs="Arial" w:eastAsia="Arial" w:hAnsi="Arial"/>
                <w:sz w:val="17"/>
                <w:szCs w:val="17"/>
                <w:color w:val="auto"/>
              </w:rPr>
              <w:t>Michael P. Rutz</w:t>
            </w:r>
          </w:p>
        </w:tc>
        <w:tc>
          <w:tcPr>
            <w:tcW w:w="140" w:type="dxa"/>
            <w:vAlign w:val="bottom"/>
            <w:tcBorders>
              <w:bottom w:val="single" w:sz="8" w:color="7B8FAA"/>
            </w:tcBorders>
          </w:tcPr>
          <w:p>
            <w:pPr>
              <w:spacing w:after="0"/>
              <w:rPr>
                <w:sz w:val="24"/>
                <w:szCs w:val="24"/>
                <w:color w:val="auto"/>
              </w:rPr>
            </w:pPr>
          </w:p>
        </w:tc>
        <w:tc>
          <w:tcPr>
            <w:tcW w:w="6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gridSpan w:val="2"/>
          </w:tcPr>
          <w:p>
            <w:pPr>
              <w:jc w:val="right"/>
              <w:ind w:right="64"/>
              <w:spacing w:after="0"/>
              <w:rPr>
                <w:sz w:val="20"/>
                <w:szCs w:val="20"/>
                <w:color w:val="auto"/>
              </w:rPr>
            </w:pPr>
            <w:r>
              <w:rPr>
                <w:rFonts w:ascii="Arial" w:cs="Arial" w:eastAsia="Arial" w:hAnsi="Arial"/>
                <w:sz w:val="17"/>
                <w:szCs w:val="17"/>
                <w:color w:val="auto"/>
              </w:rPr>
              <w:t>111,801</w:t>
            </w:r>
            <w:r>
              <w:rPr>
                <w:rFonts w:ascii="Arial" w:cs="Arial" w:eastAsia="Arial" w:hAnsi="Arial"/>
                <w:sz w:val="22"/>
                <w:szCs w:val="22"/>
                <w:color w:val="auto"/>
                <w:vertAlign w:val="superscript"/>
              </w:rPr>
              <w:t>(1)</w:t>
            </w: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7B8FAA"/>
            </w:tcBorders>
          </w:tcPr>
          <w:p>
            <w:pPr>
              <w:spacing w:after="0"/>
              <w:rPr>
                <w:sz w:val="24"/>
                <w:szCs w:val="24"/>
                <w:color w:val="auto"/>
              </w:rPr>
            </w:pPr>
          </w:p>
        </w:tc>
        <w:tc>
          <w:tcPr>
            <w:tcW w:w="260" w:type="dxa"/>
            <w:vAlign w:val="bottom"/>
            <w:tcBorders>
              <w:bottom w:val="single" w:sz="8" w:color="7B8FAA"/>
            </w:tcBorders>
          </w:tcPr>
          <w:p>
            <w:pPr>
              <w:jc w:val="right"/>
              <w:ind w:right="6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7B8FAA"/>
            </w:tcBorders>
            <w:gridSpan w:val="2"/>
          </w:tcPr>
          <w:p>
            <w:pPr>
              <w:jc w:val="right"/>
              <w:ind w:right="9"/>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23.00</w:t>
            </w:r>
          </w:p>
        </w:tc>
        <w:tc>
          <w:tcPr>
            <w:tcW w:w="2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7B8FAA"/>
            </w:tcBorders>
            <w:gridSpan w:val="4"/>
          </w:tcPr>
          <w:p>
            <w:pPr>
              <w:jc w:val="right"/>
              <w:spacing w:after="0" w:line="291"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11/20/2030 </w:t>
            </w:r>
            <w:r>
              <w:rPr>
                <w:rFonts w:ascii="Arial" w:cs="Arial" w:eastAsia="Arial" w:hAnsi="Arial"/>
                <w:sz w:val="33"/>
                <w:szCs w:val="33"/>
                <w:color w:val="auto"/>
                <w:vertAlign w:val="superscript"/>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tcPr>
          <w:p>
            <w:pPr>
              <w:spacing w:after="0"/>
              <w:rPr>
                <w:sz w:val="24"/>
                <w:szCs w:val="24"/>
                <w:color w:val="auto"/>
              </w:rPr>
            </w:pPr>
          </w:p>
        </w:tc>
        <w:tc>
          <w:tcPr>
            <w:tcW w:w="1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2"/>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7B8FAA"/>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Borders>
              <w:bottom w:val="single" w:sz="8" w:color="7B8FAA"/>
            </w:tcBorders>
          </w:tcPr>
          <w:p>
            <w:pPr>
              <w:spacing w:after="0"/>
              <w:rPr>
                <w:sz w:val="21"/>
                <w:szCs w:val="21"/>
                <w:color w:val="auto"/>
              </w:rPr>
            </w:pPr>
          </w:p>
        </w:tc>
        <w:tc>
          <w:tcPr>
            <w:tcW w:w="6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gridSpan w:val="2"/>
          </w:tcPr>
          <w:p>
            <w:pPr>
              <w:jc w:val="right"/>
              <w:ind w:right="64"/>
              <w:spacing w:after="0"/>
              <w:rPr>
                <w:sz w:val="20"/>
                <w:szCs w:val="20"/>
                <w:color w:val="auto"/>
              </w:rPr>
            </w:pPr>
            <w:r>
              <w:rPr>
                <w:rFonts w:ascii="Arial" w:cs="Arial" w:eastAsia="Arial" w:hAnsi="Arial"/>
                <w:sz w:val="17"/>
                <w:szCs w:val="17"/>
                <w:color w:val="auto"/>
              </w:rPr>
              <w:t>42,570</w:t>
            </w:r>
            <w:r>
              <w:rPr>
                <w:rFonts w:ascii="Arial" w:cs="Arial" w:eastAsia="Arial" w:hAnsi="Arial"/>
                <w:sz w:val="22"/>
                <w:szCs w:val="22"/>
                <w:color w:val="auto"/>
                <w:vertAlign w:val="superscript"/>
              </w:rPr>
              <w:t>(2)</w:t>
            </w: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gridSpan w:val="2"/>
          </w:tcPr>
          <w:p>
            <w:pPr>
              <w:jc w:val="right"/>
              <w:ind w:right="64"/>
              <w:spacing w:after="0" w:line="252" w:lineRule="exact"/>
              <w:rPr>
                <w:sz w:val="20"/>
                <w:szCs w:val="20"/>
                <w:color w:val="auto"/>
              </w:rPr>
            </w:pPr>
            <w:r>
              <w:rPr>
                <w:rFonts w:ascii="Arial" w:cs="Arial" w:eastAsia="Arial" w:hAnsi="Arial"/>
                <w:sz w:val="29"/>
                <w:szCs w:val="29"/>
                <w:color w:val="auto"/>
                <w:w w:val="96"/>
                <w:vertAlign w:val="subscript"/>
              </w:rPr>
              <w:t>21,287</w:t>
            </w:r>
            <w:r>
              <w:rPr>
                <w:rFonts w:ascii="Arial" w:cs="Arial" w:eastAsia="Arial" w:hAnsi="Arial"/>
                <w:sz w:val="19"/>
                <w:szCs w:val="19"/>
                <w:color w:val="auto"/>
                <w:w w:val="96"/>
                <w:vertAlign w:val="superscript"/>
              </w:rPr>
              <w:t>(2)</w:t>
            </w:r>
            <w:r>
              <w:rPr>
                <w:rFonts w:ascii="Arial" w:cs="Arial" w:eastAsia="Arial" w:hAnsi="Arial"/>
                <w:sz w:val="16"/>
                <w:szCs w:val="16"/>
                <w:color w:val="auto"/>
                <w:w w:val="96"/>
              </w:rPr>
              <w:t>​</w:t>
            </w:r>
          </w:p>
        </w:tc>
        <w:tc>
          <w:tcPr>
            <w:tcW w:w="800" w:type="dxa"/>
            <w:vAlign w:val="bottom"/>
            <w:tcBorders>
              <w:bottom w:val="single" w:sz="8" w:color="7B8FAA"/>
            </w:tcBorders>
            <w:gridSpan w:val="2"/>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20.03</w:t>
            </w:r>
          </w:p>
        </w:tc>
        <w:tc>
          <w:tcPr>
            <w:tcW w:w="2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7B8FAA"/>
            </w:tcBorders>
            <w:gridSpan w:val="3"/>
          </w:tcPr>
          <w:p>
            <w:pPr>
              <w:jc w:val="right"/>
              <w:spacing w:after="0" w:line="252" w:lineRule="exact"/>
              <w:rPr>
                <w:sz w:val="20"/>
                <w:szCs w:val="20"/>
                <w:color w:val="auto"/>
              </w:rPr>
            </w:pPr>
            <w:r>
              <w:rPr>
                <w:rFonts w:ascii="Arial" w:cs="Arial" w:eastAsia="Arial" w:hAnsi="Arial"/>
                <w:sz w:val="16"/>
                <w:szCs w:val="16"/>
                <w:color w:val="auto"/>
              </w:rPr>
              <w:t xml:space="preserve">3/2/2032 </w:t>
            </w:r>
            <w:r>
              <w:rPr>
                <w:rFonts w:ascii="Arial" w:cs="Arial" w:eastAsia="Arial" w:hAnsi="Arial"/>
                <w:sz w:val="29"/>
                <w:szCs w:val="29"/>
                <w:color w:val="auto"/>
                <w:vertAlign w:val="superscript"/>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tcPr>
          <w:p>
            <w:pPr>
              <w:spacing w:after="0"/>
              <w:rPr>
                <w:sz w:val="21"/>
                <w:szCs w:val="21"/>
                <w:color w:val="auto"/>
              </w:rPr>
            </w:pPr>
          </w:p>
        </w:tc>
        <w:tc>
          <w:tcPr>
            <w:tcW w:w="1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2"/>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Borders>
              <w:bottom w:val="single" w:sz="8" w:color="7B8FAA"/>
            </w:tcBorders>
          </w:tcPr>
          <w:p>
            <w:pPr>
              <w:spacing w:after="0"/>
              <w:rPr>
                <w:sz w:val="21"/>
                <w:szCs w:val="21"/>
                <w:color w:val="auto"/>
              </w:rPr>
            </w:pPr>
          </w:p>
        </w:tc>
        <w:tc>
          <w:tcPr>
            <w:tcW w:w="6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17,959</w:t>
            </w:r>
          </w:p>
        </w:tc>
        <w:tc>
          <w:tcPr>
            <w:tcW w:w="260" w:type="dxa"/>
            <w:vAlign w:val="bottom"/>
            <w:tcBorders>
              <w:bottom w:val="single" w:sz="8" w:color="7B8FAA"/>
            </w:tcBorders>
          </w:tcPr>
          <w:p>
            <w:pPr>
              <w:spacing w:after="0"/>
              <w:rPr>
                <w:sz w:val="21"/>
                <w:szCs w:val="21"/>
                <w:color w:val="auto"/>
              </w:rPr>
            </w:pP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gridSpan w:val="2"/>
          </w:tcPr>
          <w:p>
            <w:pPr>
              <w:jc w:val="right"/>
              <w:ind w:right="64"/>
              <w:spacing w:after="0" w:line="252" w:lineRule="exact"/>
              <w:rPr>
                <w:sz w:val="20"/>
                <w:szCs w:val="20"/>
                <w:color w:val="auto"/>
              </w:rPr>
            </w:pPr>
            <w:r>
              <w:rPr>
                <w:rFonts w:ascii="Arial" w:cs="Arial" w:eastAsia="Arial" w:hAnsi="Arial"/>
                <w:sz w:val="29"/>
                <w:szCs w:val="29"/>
                <w:color w:val="auto"/>
                <w:w w:val="96"/>
                <w:vertAlign w:val="subscript"/>
              </w:rPr>
              <w:t>35,920</w:t>
            </w:r>
            <w:r>
              <w:rPr>
                <w:rFonts w:ascii="Arial" w:cs="Arial" w:eastAsia="Arial" w:hAnsi="Arial"/>
                <w:sz w:val="19"/>
                <w:szCs w:val="19"/>
                <w:color w:val="auto"/>
                <w:w w:val="96"/>
                <w:vertAlign w:val="superscript"/>
              </w:rPr>
              <w:t>(4)</w:t>
            </w:r>
            <w:r>
              <w:rPr>
                <w:rFonts w:ascii="Arial" w:cs="Arial" w:eastAsia="Arial" w:hAnsi="Arial"/>
                <w:sz w:val="16"/>
                <w:szCs w:val="16"/>
                <w:color w:val="auto"/>
                <w:w w:val="96"/>
              </w:rPr>
              <w:t>​</w:t>
            </w:r>
          </w:p>
        </w:tc>
        <w:tc>
          <w:tcPr>
            <w:tcW w:w="800" w:type="dxa"/>
            <w:vAlign w:val="bottom"/>
            <w:tcBorders>
              <w:bottom w:val="single" w:sz="8" w:color="7B8FAA"/>
            </w:tcBorders>
            <w:gridSpan w:val="2"/>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17.59</w:t>
            </w:r>
          </w:p>
        </w:tc>
        <w:tc>
          <w:tcPr>
            <w:tcW w:w="2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7B8FAA"/>
            </w:tcBorders>
            <w:gridSpan w:val="3"/>
          </w:tcPr>
          <w:p>
            <w:pPr>
              <w:jc w:val="right"/>
              <w:spacing w:after="0" w:line="252" w:lineRule="exact"/>
              <w:rPr>
                <w:sz w:val="20"/>
                <w:szCs w:val="20"/>
                <w:color w:val="auto"/>
              </w:rPr>
            </w:pPr>
            <w:r>
              <w:rPr>
                <w:rFonts w:ascii="Arial" w:cs="Arial" w:eastAsia="Arial" w:hAnsi="Arial"/>
                <w:sz w:val="16"/>
                <w:szCs w:val="16"/>
                <w:color w:val="auto"/>
              </w:rPr>
              <w:t xml:space="preserve">3/6/2033 </w:t>
            </w:r>
            <w:r>
              <w:rPr>
                <w:rFonts w:ascii="Arial" w:cs="Arial" w:eastAsia="Arial" w:hAnsi="Arial"/>
                <w:sz w:val="29"/>
                <w:szCs w:val="29"/>
                <w:color w:val="auto"/>
                <w:vertAlign w:val="superscript"/>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tcPr>
          <w:p>
            <w:pPr>
              <w:spacing w:after="0"/>
              <w:rPr>
                <w:sz w:val="21"/>
                <w:szCs w:val="21"/>
                <w:color w:val="auto"/>
              </w:rPr>
            </w:pPr>
          </w:p>
        </w:tc>
        <w:tc>
          <w:tcPr>
            <w:tcW w:w="1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2"/>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Borders>
              <w:bottom w:val="single" w:sz="8" w:color="7B8FAA"/>
            </w:tcBorders>
          </w:tcPr>
          <w:p>
            <w:pPr>
              <w:spacing w:after="0"/>
              <w:rPr>
                <w:sz w:val="21"/>
                <w:szCs w:val="21"/>
                <w:color w:val="auto"/>
              </w:rPr>
            </w:pPr>
          </w:p>
        </w:tc>
        <w:tc>
          <w:tcPr>
            <w:tcW w:w="6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tcPr>
          <w:p>
            <w:pPr>
              <w:spacing w:after="0"/>
              <w:rPr>
                <w:sz w:val="21"/>
                <w:szCs w:val="21"/>
                <w:color w:val="auto"/>
              </w:rPr>
            </w:pP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gridSpan w:val="2"/>
          </w:tcPr>
          <w:p>
            <w:pPr>
              <w:jc w:val="right"/>
              <w:ind w:right="64"/>
              <w:spacing w:after="0" w:line="252" w:lineRule="exact"/>
              <w:rPr>
                <w:sz w:val="20"/>
                <w:szCs w:val="20"/>
                <w:color w:val="auto"/>
              </w:rPr>
            </w:pPr>
            <w:r>
              <w:rPr>
                <w:rFonts w:ascii="Arial" w:cs="Arial" w:eastAsia="Arial" w:hAnsi="Arial"/>
                <w:sz w:val="29"/>
                <w:szCs w:val="29"/>
                <w:color w:val="auto"/>
                <w:w w:val="96"/>
                <w:vertAlign w:val="subscript"/>
              </w:rPr>
              <w:t>68,063</w:t>
            </w:r>
            <w:r>
              <w:rPr>
                <w:rFonts w:ascii="Arial" w:cs="Arial" w:eastAsia="Arial" w:hAnsi="Arial"/>
                <w:sz w:val="19"/>
                <w:szCs w:val="19"/>
                <w:color w:val="auto"/>
                <w:w w:val="96"/>
                <w:vertAlign w:val="superscript"/>
              </w:rPr>
              <w:t>(5)</w:t>
            </w:r>
            <w:r>
              <w:rPr>
                <w:rFonts w:ascii="Arial" w:cs="Arial" w:eastAsia="Arial" w:hAnsi="Arial"/>
                <w:sz w:val="16"/>
                <w:szCs w:val="16"/>
                <w:color w:val="auto"/>
                <w:w w:val="96"/>
              </w:rPr>
              <w:t>​</w:t>
            </w:r>
          </w:p>
        </w:tc>
        <w:tc>
          <w:tcPr>
            <w:tcW w:w="800" w:type="dxa"/>
            <w:vAlign w:val="bottom"/>
            <w:tcBorders>
              <w:bottom w:val="single" w:sz="8" w:color="7B8FAA"/>
            </w:tcBorders>
            <w:gridSpan w:val="2"/>
          </w:tcPr>
          <w:p>
            <w:pPr>
              <w:jc w:val="right"/>
              <w:ind w:right="9"/>
              <w:spacing w:after="0" w:line="252"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14.59</w:t>
            </w:r>
          </w:p>
        </w:tc>
        <w:tc>
          <w:tcPr>
            <w:tcW w:w="2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7B8FAA"/>
            </w:tcBorders>
            <w:gridSpan w:val="3"/>
          </w:tcPr>
          <w:p>
            <w:pPr>
              <w:jc w:val="right"/>
              <w:spacing w:after="0" w:line="252" w:lineRule="exact"/>
              <w:rPr>
                <w:sz w:val="20"/>
                <w:szCs w:val="20"/>
                <w:color w:val="auto"/>
              </w:rPr>
            </w:pPr>
            <w:r>
              <w:rPr>
                <w:rFonts w:ascii="Arial" w:cs="Arial" w:eastAsia="Arial" w:hAnsi="Arial"/>
                <w:sz w:val="16"/>
                <w:szCs w:val="16"/>
                <w:color w:val="auto"/>
              </w:rPr>
              <w:t xml:space="preserve">3/4/2034 </w:t>
            </w:r>
            <w:r>
              <w:rPr>
                <w:rFonts w:ascii="Arial" w:cs="Arial" w:eastAsia="Arial" w:hAnsi="Arial"/>
                <w:sz w:val="29"/>
                <w:szCs w:val="29"/>
                <w:color w:val="auto"/>
                <w:vertAlign w:val="superscript"/>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tcPr>
          <w:p>
            <w:pPr>
              <w:spacing w:after="0"/>
              <w:rPr>
                <w:sz w:val="21"/>
                <w:szCs w:val="21"/>
                <w:color w:val="auto"/>
              </w:rPr>
            </w:pPr>
          </w:p>
        </w:tc>
        <w:tc>
          <w:tcPr>
            <w:tcW w:w="1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2"/>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Borders>
              <w:bottom w:val="single" w:sz="8" w:color="7B8FAA"/>
            </w:tcBorders>
          </w:tcPr>
          <w:p>
            <w:pPr>
              <w:spacing w:after="0"/>
              <w:rPr>
                <w:sz w:val="21"/>
                <w:szCs w:val="21"/>
                <w:color w:val="auto"/>
              </w:rPr>
            </w:pPr>
          </w:p>
        </w:tc>
        <w:tc>
          <w:tcPr>
            <w:tcW w:w="6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tcPr>
          <w:p>
            <w:pPr>
              <w:spacing w:after="0"/>
              <w:rPr>
                <w:sz w:val="21"/>
                <w:szCs w:val="21"/>
                <w:color w:val="auto"/>
              </w:rPr>
            </w:pP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7B8FAA"/>
            </w:tcBorders>
          </w:tcPr>
          <w:p>
            <w:pPr>
              <w:ind w:left="20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7B8FAA"/>
            </w:tcBorders>
          </w:tcPr>
          <w:p>
            <w:pPr>
              <w:jc w:val="right"/>
              <w:ind w:right="9"/>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7B8FAA"/>
            </w:tcBorders>
            <w:gridSpan w:val="3"/>
          </w:tcPr>
          <w:p>
            <w:pPr>
              <w:jc w:val="right"/>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7B8FAA"/>
            </w:tcBorders>
            <w:gridSpan w:val="3"/>
          </w:tcPr>
          <w:p>
            <w:pPr>
              <w:jc w:val="right"/>
              <w:spacing w:after="0" w:line="252" w:lineRule="exact"/>
              <w:rPr>
                <w:sz w:val="20"/>
                <w:szCs w:val="20"/>
                <w:color w:val="auto"/>
              </w:rPr>
            </w:pPr>
            <w:r>
              <w:rPr>
                <w:rFonts w:ascii="Arial" w:cs="Arial" w:eastAsia="Arial" w:hAnsi="Arial"/>
                <w:sz w:val="29"/>
                <w:szCs w:val="29"/>
                <w:color w:val="auto"/>
                <w:vertAlign w:val="subscript"/>
              </w:rPr>
              <w:t>8,322</w:t>
            </w:r>
            <w:r>
              <w:rPr>
                <w:rFonts w:ascii="Arial" w:cs="Arial" w:eastAsia="Arial" w:hAnsi="Arial"/>
                <w:sz w:val="19"/>
                <w:szCs w:val="19"/>
                <w:color w:val="auto"/>
                <w:vertAlign w:val="superscript"/>
              </w:rPr>
              <w:t>(6)</w:t>
            </w:r>
            <w:r>
              <w:rPr>
                <w:rFonts w:ascii="Arial" w:cs="Arial" w:eastAsia="Arial" w:hAnsi="Arial"/>
                <w:sz w:val="16"/>
                <w:szCs w:val="16"/>
                <w:color w:val="auto"/>
              </w:rPr>
              <w:t>​ ​</w:t>
            </w:r>
          </w:p>
        </w:tc>
        <w:tc>
          <w:tcPr>
            <w:tcW w:w="1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2"/>
              <w:spacing w:after="0"/>
              <w:rPr>
                <w:sz w:val="20"/>
                <w:szCs w:val="20"/>
                <w:color w:val="auto"/>
              </w:rPr>
            </w:pPr>
            <w:r>
              <w:rPr>
                <w:rFonts w:ascii="Arial" w:cs="Arial" w:eastAsia="Arial" w:hAnsi="Arial"/>
                <w:sz w:val="17"/>
                <w:szCs w:val="17"/>
                <w:color w:val="auto"/>
              </w:rPr>
              <w:t>113,845</w:t>
            </w:r>
          </w:p>
        </w:tc>
        <w:tc>
          <w:tcPr>
            <w:tcW w:w="120" w:type="dxa"/>
            <w:vAlign w:val="bottom"/>
            <w:tcBorders>
              <w:bottom w:val="single" w:sz="8" w:color="7B8FAA"/>
            </w:tcBorders>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64"/>
              <w:spacing w:after="0"/>
              <w:rPr>
                <w:sz w:val="20"/>
                <w:szCs w:val="20"/>
                <w:color w:val="auto"/>
              </w:rPr>
            </w:pPr>
            <w:r>
              <w:rPr>
                <w:rFonts w:ascii="Arial" w:cs="Arial" w:eastAsia="Arial" w:hAnsi="Arial"/>
                <w:sz w:val="17"/>
                <w:szCs w:val="17"/>
                <w:color w:val="auto"/>
              </w:rPr>
              <w:t>​</w:t>
            </w:r>
          </w:p>
        </w:tc>
        <w:tc>
          <w:tcPr>
            <w:tcW w:w="240" w:type="dxa"/>
            <w:vAlign w:val="bottom"/>
          </w:tcPr>
          <w:p>
            <w:pPr>
              <w:ind w:left="2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9"/>
              <w:spacing w:after="0"/>
              <w:rPr>
                <w:sz w:val="20"/>
                <w:szCs w:val="20"/>
                <w:color w:val="auto"/>
              </w:rPr>
            </w:pPr>
            <w:r>
              <w:rPr>
                <w:rFonts w:ascii="Arial" w:cs="Arial" w:eastAsia="Arial" w:hAnsi="Arial"/>
                <w:sz w:val="17"/>
                <w:szCs w:val="17"/>
                <w:color w:val="auto"/>
              </w:rPr>
              <w:t>—</w:t>
            </w:r>
          </w:p>
        </w:tc>
        <w:tc>
          <w:tcPr>
            <w:tcW w:w="200" w:type="dxa"/>
            <w:vAlign w:val="bottom"/>
          </w:tcPr>
          <w:p>
            <w:pPr>
              <w:ind w:left="40"/>
              <w:spacing w:after="0"/>
              <w:rPr>
                <w:sz w:val="20"/>
                <w:szCs w:val="20"/>
                <w:color w:val="auto"/>
              </w:rPr>
            </w:pPr>
            <w:r>
              <w:rPr>
                <w:rFonts w:ascii="Arial" w:cs="Arial" w:eastAsia="Arial" w:hAnsi="Arial"/>
                <w:sz w:val="17"/>
                <w:szCs w:val="17"/>
                <w:color w:val="auto"/>
              </w:rPr>
              <w:t>​</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p>
        </w:tc>
        <w:tc>
          <w:tcPr>
            <w:tcW w:w="120" w:type="dxa"/>
            <w:vAlign w:val="bottom"/>
          </w:tcPr>
          <w:p>
            <w:pPr>
              <w:ind w:left="60"/>
              <w:spacing w:after="0"/>
              <w:rPr>
                <w:sz w:val="20"/>
                <w:szCs w:val="20"/>
                <w:color w:val="auto"/>
              </w:rPr>
            </w:pPr>
            <w:r>
              <w:rPr>
                <w:rFonts w:ascii="Arial" w:cs="Arial" w:eastAsia="Arial" w:hAnsi="Arial"/>
                <w:sz w:val="17"/>
                <w:szCs w:val="17"/>
                <w:color w:val="auto"/>
              </w:rPr>
              <w:t>​</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spacing w:after="0" w:line="252" w:lineRule="exact"/>
              <w:rPr>
                <w:sz w:val="20"/>
                <w:szCs w:val="20"/>
                <w:color w:val="auto"/>
              </w:rPr>
            </w:pPr>
            <w:r>
              <w:rPr>
                <w:rFonts w:ascii="Arial" w:cs="Arial" w:eastAsia="Arial" w:hAnsi="Arial"/>
                <w:sz w:val="29"/>
                <w:szCs w:val="29"/>
                <w:color w:val="auto"/>
                <w:vertAlign w:val="subscript"/>
              </w:rPr>
              <w:t>18,950</w:t>
            </w:r>
            <w:r>
              <w:rPr>
                <w:rFonts w:ascii="Arial" w:cs="Arial" w:eastAsia="Arial" w:hAnsi="Arial"/>
                <w:sz w:val="19"/>
                <w:szCs w:val="19"/>
                <w:color w:val="auto"/>
                <w:vertAlign w:val="superscript"/>
              </w:rPr>
              <w:t>(7)</w:t>
            </w:r>
            <w:r>
              <w:rPr>
                <w:rFonts w:ascii="Arial" w:cs="Arial" w:eastAsia="Arial" w:hAnsi="Arial"/>
                <w:sz w:val="16"/>
                <w:szCs w:val="16"/>
                <w:color w:val="auto"/>
              </w:rPr>
              <w:t>​ ​</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2"/>
              <w:spacing w:after="0"/>
              <w:rPr>
                <w:sz w:val="20"/>
                <w:szCs w:val="20"/>
                <w:color w:val="auto"/>
              </w:rPr>
            </w:pPr>
            <w:r>
              <w:rPr>
                <w:rFonts w:ascii="Arial" w:cs="Arial" w:eastAsia="Arial" w:hAnsi="Arial"/>
                <w:sz w:val="17"/>
                <w:szCs w:val="17"/>
                <w:color w:val="auto"/>
              </w:rPr>
              <w:t>259,236</w:t>
            </w:r>
          </w:p>
        </w:tc>
        <w:tc>
          <w:tcPr>
            <w:tcW w:w="12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
        </w:trPr>
        <w:tc>
          <w:tcPr>
            <w:tcW w:w="1780" w:type="dxa"/>
            <w:vAlign w:val="bottom"/>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rPr>
                <w:sz w:val="20"/>
                <w:szCs w:val="20"/>
                <w:color w:val="auto"/>
              </w:rPr>
            </w:pPr>
            <w:r>
              <w:rPr>
                <w:rFonts w:ascii="Arial" w:cs="Arial" w:eastAsia="Arial" w:hAnsi="Arial"/>
                <w:sz w:val="1"/>
                <w:szCs w:val="1"/>
                <w:color w:val="auto"/>
              </w:rPr>
              <w:t>​</w:t>
            </w:r>
          </w:p>
        </w:tc>
        <w:tc>
          <w:tcPr>
            <w:tcW w:w="76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spacing w:after="0" w:line="20" w:lineRule="exact"/>
              <w:rPr>
                <w:sz w:val="1"/>
                <w:szCs w:val="1"/>
                <w:color w:val="auto"/>
              </w:rPr>
            </w:pPr>
          </w:p>
        </w:tc>
        <w:tc>
          <w:tcPr>
            <w:tcW w:w="2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6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jc w:val="right"/>
              <w:ind w:right="64"/>
              <w:spacing w:after="0"/>
              <w:rPr>
                <w:sz w:val="20"/>
                <w:szCs w:val="20"/>
                <w:color w:val="auto"/>
              </w:rPr>
            </w:pPr>
            <w:r>
              <w:rPr>
                <w:rFonts w:ascii="Arial" w:cs="Arial" w:eastAsia="Arial" w:hAnsi="Arial"/>
                <w:sz w:val="1"/>
                <w:szCs w:val="1"/>
                <w:color w:val="auto"/>
              </w:rPr>
              <w:t>​</w:t>
            </w:r>
          </w:p>
        </w:tc>
        <w:tc>
          <w:tcPr>
            <w:tcW w:w="240" w:type="dxa"/>
            <w:vAlign w:val="bottom"/>
            <w:shd w:val="clear" w:color="auto" w:fill="7B8FAA"/>
          </w:tcPr>
          <w:p>
            <w:pPr>
              <w:ind w:left="200"/>
              <w:spacing w:after="0"/>
              <w:rPr>
                <w:sz w:val="20"/>
                <w:szCs w:val="20"/>
                <w:color w:val="auto"/>
              </w:rPr>
            </w:pPr>
            <w:r>
              <w:rPr>
                <w:rFonts w:ascii="Arial" w:cs="Arial" w:eastAsia="Arial" w:hAnsi="Arial"/>
                <w:sz w:val="1"/>
                <w:szCs w:val="1"/>
                <w:color w:val="auto"/>
              </w:rPr>
              <w:t>​</w:t>
            </w:r>
          </w:p>
        </w:tc>
        <w:tc>
          <w:tcPr>
            <w:tcW w:w="560" w:type="dxa"/>
            <w:vAlign w:val="bottom"/>
            <w:shd w:val="clear" w:color="auto" w:fill="7B8FAA"/>
          </w:tcPr>
          <w:p>
            <w:pPr>
              <w:jc w:val="right"/>
              <w:ind w:right="9"/>
              <w:spacing w:after="0"/>
              <w:rPr>
                <w:sz w:val="20"/>
                <w:szCs w:val="20"/>
                <w:color w:val="auto"/>
              </w:rPr>
            </w:pPr>
            <w:r>
              <w:rPr>
                <w:rFonts w:ascii="Arial" w:cs="Arial" w:eastAsia="Arial" w:hAnsi="Arial"/>
                <w:sz w:val="1"/>
                <w:szCs w:val="1"/>
                <w:color w:val="auto"/>
              </w:rPr>
              <w:t>—</w:t>
            </w:r>
          </w:p>
        </w:tc>
        <w:tc>
          <w:tcPr>
            <w:tcW w:w="200" w:type="dxa"/>
            <w:vAlign w:val="bottom"/>
            <w:shd w:val="clear" w:color="auto" w:fill="7B8FAA"/>
          </w:tcPr>
          <w:p>
            <w:pPr>
              <w:ind w:left="4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960" w:type="dxa"/>
            <w:vAlign w:val="bottom"/>
            <w:gridSpan w:val="3"/>
            <w:shd w:val="clear" w:color="auto" w:fill="7B8FAA"/>
          </w:tcPr>
          <w:p>
            <w:pPr>
              <w:jc w:val="right"/>
              <w:spacing w:after="0"/>
              <w:rPr>
                <w:sz w:val="20"/>
                <w:szCs w:val="20"/>
                <w:color w:val="auto"/>
              </w:rPr>
            </w:pPr>
            <w:r>
              <w:rPr>
                <w:rFonts w:ascii="Arial" w:cs="Arial" w:eastAsia="Arial" w:hAnsi="Arial"/>
                <w:sz w:val="1"/>
                <w:szCs w:val="1"/>
                <w:color w:val="auto"/>
                <w:vertAlign w:val="subscript"/>
              </w:rPr>
              <w:t>—</w:t>
            </w:r>
            <w:r>
              <w:rPr>
                <w:rFonts w:ascii="Arial" w:cs="Arial" w:eastAsia="Arial" w:hAnsi="Arial"/>
                <w:sz w:val="1"/>
                <w:szCs w:val="1"/>
                <w:color w:val="auto"/>
              </w:rPr>
              <w:t xml:space="preserve"> ​</w:t>
            </w:r>
          </w:p>
        </w:tc>
        <w:tc>
          <w:tcPr>
            <w:tcW w:w="12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22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580" w:type="dxa"/>
            <w:vAlign w:val="bottom"/>
            <w:shd w:val="clear" w:color="auto" w:fill="7B8FAA"/>
          </w:tcPr>
          <w:p>
            <w:pPr>
              <w:jc w:val="right"/>
              <w:spacing w:after="0"/>
              <w:rPr>
                <w:sz w:val="20"/>
                <w:szCs w:val="20"/>
                <w:color w:val="auto"/>
              </w:rPr>
            </w:pPr>
            <w:r>
              <w:rPr>
                <w:rFonts w:ascii="Arial" w:cs="Arial" w:eastAsia="Arial" w:hAnsi="Arial"/>
                <w:sz w:val="1"/>
                <w:szCs w:val="1"/>
                <w:color w:val="auto"/>
              </w:rPr>
              <w:t>34,270</w:t>
            </w:r>
          </w:p>
        </w:tc>
        <w:tc>
          <w:tcPr>
            <w:tcW w:w="12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jc w:val="right"/>
              <w:spacing w:after="0"/>
              <w:rPr>
                <w:sz w:val="20"/>
                <w:szCs w:val="20"/>
                <w:color w:val="auto"/>
              </w:rPr>
            </w:pPr>
            <w:r>
              <w:rPr>
                <w:rFonts w:ascii="Arial" w:cs="Arial" w:eastAsia="Arial" w:hAnsi="Arial"/>
                <w:sz w:val="1"/>
                <w:szCs w:val="1"/>
                <w:color w:val="auto"/>
              </w:rPr>
              <w:t>​ ​</w:t>
            </w:r>
          </w:p>
        </w:tc>
        <w:tc>
          <w:tcPr>
            <w:tcW w:w="16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860" w:type="dxa"/>
            <w:vAlign w:val="bottom"/>
            <w:shd w:val="clear" w:color="auto" w:fill="7B8FAA"/>
          </w:tcPr>
          <w:p>
            <w:pPr>
              <w:jc w:val="right"/>
              <w:ind w:right="12"/>
              <w:spacing w:after="0"/>
              <w:rPr>
                <w:sz w:val="20"/>
                <w:szCs w:val="20"/>
                <w:color w:val="auto"/>
              </w:rPr>
            </w:pPr>
            <w:r>
              <w:rPr>
                <w:rFonts w:ascii="Arial" w:cs="Arial" w:eastAsia="Arial" w:hAnsi="Arial"/>
                <w:sz w:val="1"/>
                <w:szCs w:val="1"/>
                <w:color w:val="auto"/>
              </w:rPr>
              <w:t>468,813</w:t>
            </w:r>
          </w:p>
        </w:tc>
        <w:tc>
          <w:tcPr>
            <w:tcW w:w="120" w:type="dxa"/>
            <w:vAlign w:val="bottom"/>
            <w:gridSpan w:val="3"/>
            <w:shd w:val="clear" w:color="auto" w:fill="7B8FAA"/>
          </w:tcPr>
          <w:p>
            <w:pPr>
              <w:jc w:val="right"/>
              <w:ind w:right="20"/>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39"/>
              <w:spacing w:after="0"/>
              <w:rPr>
                <w:sz w:val="20"/>
                <w:szCs w:val="20"/>
                <w:color w:val="auto"/>
              </w:rPr>
            </w:pPr>
            <w:r>
              <w:rPr>
                <w:rFonts w:ascii="Arial" w:cs="Arial" w:eastAsia="Arial" w:hAnsi="Arial"/>
                <w:sz w:val="11"/>
                <w:szCs w:val="11"/>
                <w:color w:val="auto"/>
                <w:w w:val="91"/>
              </w:rPr>
              <w:t>(12)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
        </w:trPr>
        <w:tc>
          <w:tcPr>
            <w:tcW w:w="1780" w:type="dxa"/>
            <w:vAlign w:val="bottom"/>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rPr>
                <w:sz w:val="20"/>
                <w:szCs w:val="20"/>
                <w:color w:val="auto"/>
              </w:rPr>
            </w:pPr>
            <w:r>
              <w:rPr>
                <w:rFonts w:ascii="Arial" w:cs="Arial" w:eastAsia="Arial" w:hAnsi="Arial"/>
                <w:sz w:val="1"/>
                <w:szCs w:val="1"/>
                <w:color w:val="auto"/>
              </w:rPr>
              <w:t>​</w:t>
            </w:r>
          </w:p>
        </w:tc>
        <w:tc>
          <w:tcPr>
            <w:tcW w:w="76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spacing w:after="0" w:line="20" w:lineRule="exact"/>
              <w:rPr>
                <w:sz w:val="1"/>
                <w:szCs w:val="1"/>
                <w:color w:val="auto"/>
              </w:rPr>
            </w:pPr>
          </w:p>
        </w:tc>
        <w:tc>
          <w:tcPr>
            <w:tcW w:w="2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600" w:type="dxa"/>
            <w:vAlign w:val="bottom"/>
            <w:shd w:val="clear" w:color="auto" w:fill="7B8FAA"/>
          </w:tcPr>
          <w:p>
            <w:pPr>
              <w:jc w:val="right"/>
              <w:spacing w:after="0"/>
              <w:rPr>
                <w:sz w:val="20"/>
                <w:szCs w:val="20"/>
                <w:color w:val="auto"/>
              </w:rPr>
            </w:pPr>
            <w:r>
              <w:rPr>
                <w:rFonts w:ascii="Arial" w:cs="Arial" w:eastAsia="Arial" w:hAnsi="Arial"/>
                <w:sz w:val="1"/>
                <w:szCs w:val="1"/>
                <w:color w:val="auto"/>
              </w:rPr>
              <w:t>—</w:t>
            </w:r>
          </w:p>
        </w:tc>
        <w:tc>
          <w:tcPr>
            <w:tcW w:w="260" w:type="dxa"/>
            <w:vAlign w:val="bottom"/>
            <w:shd w:val="clear" w:color="auto" w:fill="7B8FAA"/>
          </w:tcPr>
          <w:p>
            <w:pPr>
              <w:jc w:val="right"/>
              <w:ind w:right="64"/>
              <w:spacing w:after="0"/>
              <w:rPr>
                <w:sz w:val="20"/>
                <w:szCs w:val="20"/>
                <w:color w:val="auto"/>
              </w:rPr>
            </w:pPr>
            <w:r>
              <w:rPr>
                <w:rFonts w:ascii="Arial" w:cs="Arial" w:eastAsia="Arial" w:hAnsi="Arial"/>
                <w:sz w:val="1"/>
                <w:szCs w:val="1"/>
                <w:color w:val="auto"/>
              </w:rPr>
              <w:t>​</w:t>
            </w:r>
          </w:p>
        </w:tc>
        <w:tc>
          <w:tcPr>
            <w:tcW w:w="240" w:type="dxa"/>
            <w:vAlign w:val="bottom"/>
            <w:shd w:val="clear" w:color="auto" w:fill="7B8FAA"/>
          </w:tcPr>
          <w:p>
            <w:pPr>
              <w:ind w:left="200"/>
              <w:spacing w:after="0"/>
              <w:rPr>
                <w:sz w:val="20"/>
                <w:szCs w:val="20"/>
                <w:color w:val="auto"/>
              </w:rPr>
            </w:pPr>
            <w:r>
              <w:rPr>
                <w:rFonts w:ascii="Arial" w:cs="Arial" w:eastAsia="Arial" w:hAnsi="Arial"/>
                <w:sz w:val="1"/>
                <w:szCs w:val="1"/>
                <w:color w:val="auto"/>
              </w:rPr>
              <w:t>​</w:t>
            </w:r>
          </w:p>
        </w:tc>
        <w:tc>
          <w:tcPr>
            <w:tcW w:w="560" w:type="dxa"/>
            <w:vAlign w:val="bottom"/>
            <w:shd w:val="clear" w:color="auto" w:fill="7B8FAA"/>
          </w:tcPr>
          <w:p>
            <w:pPr>
              <w:jc w:val="right"/>
              <w:ind w:right="9"/>
              <w:spacing w:after="0"/>
              <w:rPr>
                <w:sz w:val="20"/>
                <w:szCs w:val="20"/>
                <w:color w:val="auto"/>
              </w:rPr>
            </w:pPr>
            <w:r>
              <w:rPr>
                <w:rFonts w:ascii="Arial" w:cs="Arial" w:eastAsia="Arial" w:hAnsi="Arial"/>
                <w:sz w:val="1"/>
                <w:szCs w:val="1"/>
                <w:color w:val="auto"/>
              </w:rPr>
              <w:t>—</w:t>
            </w:r>
          </w:p>
        </w:tc>
        <w:tc>
          <w:tcPr>
            <w:tcW w:w="200" w:type="dxa"/>
            <w:vAlign w:val="bottom"/>
            <w:shd w:val="clear" w:color="auto" w:fill="7B8FAA"/>
          </w:tcPr>
          <w:p>
            <w:pPr>
              <w:ind w:left="4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960" w:type="dxa"/>
            <w:vAlign w:val="bottom"/>
            <w:gridSpan w:val="3"/>
            <w:shd w:val="clear" w:color="auto" w:fill="7B8FAA"/>
          </w:tcPr>
          <w:p>
            <w:pPr>
              <w:jc w:val="right"/>
              <w:spacing w:after="0"/>
              <w:rPr>
                <w:sz w:val="20"/>
                <w:szCs w:val="20"/>
                <w:color w:val="auto"/>
              </w:rPr>
            </w:pPr>
            <w:r>
              <w:rPr>
                <w:rFonts w:ascii="Arial" w:cs="Arial" w:eastAsia="Arial" w:hAnsi="Arial"/>
                <w:sz w:val="1"/>
                <w:szCs w:val="1"/>
                <w:color w:val="auto"/>
              </w:rPr>
              <w:t xml:space="preserve">— </w:t>
            </w:r>
            <w:r>
              <w:rPr>
                <w:rFonts w:ascii="Arial" w:cs="Arial" w:eastAsia="Arial" w:hAnsi="Arial"/>
                <w:sz w:val="1"/>
                <w:szCs w:val="1"/>
                <w:color w:val="auto"/>
                <w:vertAlign w:val="superscript"/>
              </w:rPr>
              <w:t>​</w:t>
            </w:r>
          </w:p>
        </w:tc>
        <w:tc>
          <w:tcPr>
            <w:tcW w:w="12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220" w:type="dxa"/>
            <w:vAlign w:val="bottom"/>
            <w:shd w:val="clear" w:color="auto" w:fill="7B8FAA"/>
          </w:tcPr>
          <w:p>
            <w:pPr>
              <w:ind w:left="120"/>
              <w:spacing w:after="0"/>
              <w:rPr>
                <w:sz w:val="20"/>
                <w:szCs w:val="20"/>
                <w:color w:val="auto"/>
              </w:rPr>
            </w:pPr>
            <w:r>
              <w:rPr>
                <w:rFonts w:ascii="Arial" w:cs="Arial" w:eastAsia="Arial" w:hAnsi="Arial"/>
                <w:sz w:val="1"/>
                <w:szCs w:val="1"/>
                <w:color w:val="auto"/>
              </w:rPr>
              <w:t>​</w:t>
            </w:r>
          </w:p>
        </w:tc>
        <w:tc>
          <w:tcPr>
            <w:tcW w:w="580" w:type="dxa"/>
            <w:vAlign w:val="bottom"/>
            <w:shd w:val="clear" w:color="auto" w:fill="7B8FAA"/>
          </w:tcPr>
          <w:p>
            <w:pPr>
              <w:jc w:val="right"/>
              <w:spacing w:after="0"/>
              <w:rPr>
                <w:sz w:val="20"/>
                <w:szCs w:val="20"/>
                <w:color w:val="auto"/>
              </w:rPr>
            </w:pPr>
            <w:r>
              <w:rPr>
                <w:rFonts w:ascii="Arial" w:cs="Arial" w:eastAsia="Arial" w:hAnsi="Arial"/>
                <w:sz w:val="1"/>
                <w:szCs w:val="1"/>
                <w:color w:val="auto"/>
              </w:rPr>
              <w:t>41,861</w:t>
            </w:r>
          </w:p>
        </w:tc>
        <w:tc>
          <w:tcPr>
            <w:tcW w:w="12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jc w:val="right"/>
              <w:spacing w:after="0"/>
              <w:rPr>
                <w:sz w:val="20"/>
                <w:szCs w:val="20"/>
                <w:color w:val="auto"/>
              </w:rPr>
            </w:pPr>
            <w:r>
              <w:rPr>
                <w:rFonts w:ascii="Arial" w:cs="Arial" w:eastAsia="Arial" w:hAnsi="Arial"/>
                <w:sz w:val="1"/>
                <w:szCs w:val="1"/>
                <w:color w:val="auto"/>
              </w:rPr>
              <w:t>​ ​</w:t>
            </w:r>
          </w:p>
        </w:tc>
        <w:tc>
          <w:tcPr>
            <w:tcW w:w="16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180" w:type="dxa"/>
            <w:vAlign w:val="bottom"/>
            <w:shd w:val="clear" w:color="auto" w:fill="7B8FAA"/>
          </w:tcPr>
          <w:p>
            <w:pPr>
              <w:ind w:left="60"/>
              <w:spacing w:after="0"/>
              <w:rPr>
                <w:sz w:val="20"/>
                <w:szCs w:val="20"/>
                <w:color w:val="auto"/>
              </w:rPr>
            </w:pPr>
            <w:r>
              <w:rPr>
                <w:rFonts w:ascii="Arial" w:cs="Arial" w:eastAsia="Arial" w:hAnsi="Arial"/>
                <w:sz w:val="1"/>
                <w:szCs w:val="1"/>
                <w:color w:val="auto"/>
              </w:rPr>
              <w:t>​</w:t>
            </w:r>
          </w:p>
        </w:tc>
        <w:tc>
          <w:tcPr>
            <w:tcW w:w="860" w:type="dxa"/>
            <w:vAlign w:val="bottom"/>
            <w:shd w:val="clear" w:color="auto" w:fill="7B8FAA"/>
          </w:tcPr>
          <w:p>
            <w:pPr>
              <w:jc w:val="right"/>
              <w:ind w:right="12"/>
              <w:spacing w:after="0"/>
              <w:rPr>
                <w:sz w:val="20"/>
                <w:szCs w:val="20"/>
                <w:color w:val="auto"/>
              </w:rPr>
            </w:pPr>
            <w:r>
              <w:rPr>
                <w:rFonts w:ascii="Arial" w:cs="Arial" w:eastAsia="Arial" w:hAnsi="Arial"/>
                <w:sz w:val="1"/>
                <w:szCs w:val="1"/>
                <w:color w:val="auto"/>
              </w:rPr>
              <w:t>572,659</w:t>
            </w:r>
          </w:p>
        </w:tc>
        <w:tc>
          <w:tcPr>
            <w:tcW w:w="100" w:type="dxa"/>
            <w:vAlign w:val="bottom"/>
            <w:gridSpan w:val="2"/>
            <w:shd w:val="clear" w:color="auto" w:fill="7B8FAA"/>
          </w:tcPr>
          <w:p>
            <w:pPr>
              <w:jc w:val="right"/>
              <w:spacing w:after="0"/>
              <w:rPr>
                <w:sz w:val="20"/>
                <w:szCs w:val="20"/>
                <w:color w:val="auto"/>
              </w:rPr>
            </w:pPr>
            <w:r>
              <w:rPr>
                <w:rFonts w:ascii="Arial" w:cs="Arial" w:eastAsia="Arial" w:hAnsi="Arial"/>
                <w:sz w:val="1"/>
                <w:szCs w:val="1"/>
                <w:color w:val="auto"/>
              </w:rPr>
              <w:t>​​</w:t>
            </w: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gridSpan w:val="2"/>
          </w:tcPr>
          <w:p>
            <w:pPr>
              <w:jc w:val="right"/>
              <w:ind w:right="39"/>
              <w:spacing w:after="0"/>
              <w:rPr>
                <w:sz w:val="20"/>
                <w:szCs w:val="20"/>
                <w:color w:val="auto"/>
              </w:rPr>
            </w:pPr>
            <w:r>
              <w:rPr>
                <w:rFonts w:ascii="Arial" w:cs="Arial" w:eastAsia="Arial" w:hAnsi="Arial"/>
                <w:sz w:val="11"/>
                <w:szCs w:val="11"/>
                <w:color w:val="auto"/>
                <w:w w:val="91"/>
              </w:rPr>
              <w:t>(13)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78105</wp:posOffset>
            </wp:positionV>
            <wp:extent cx="5538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55" w:lineRule="exact"/>
        <w:rPr>
          <w:sz w:val="20"/>
          <w:szCs w:val="20"/>
          <w:color w:val="auto"/>
        </w:rPr>
      </w:pPr>
    </w:p>
    <w:p>
      <w:pPr>
        <w:ind w:left="1120" w:hanging="337"/>
        <w:spacing w:after="0"/>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options were granted in connection with our IPO.</w:t>
      </w:r>
    </w:p>
    <w:p>
      <w:pPr>
        <w:spacing w:after="0" w:line="103" w:lineRule="exact"/>
        <w:rPr>
          <w:rFonts w:ascii="Arial" w:cs="Arial" w:eastAsia="Arial" w:hAnsi="Arial"/>
          <w:sz w:val="17"/>
          <w:szCs w:val="17"/>
          <w:color w:val="auto"/>
        </w:rPr>
      </w:pPr>
    </w:p>
    <w:p>
      <w:pPr>
        <w:ind w:left="1120" w:right="259" w:hanging="337"/>
        <w:spacing w:after="0" w:line="295"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options vested or vest in substantially equal yearly installments on March 2, 2023, March 2, 2024, and March 2, 2025, subject to continued employment through each applicable vesting date.</w:t>
      </w:r>
    </w:p>
    <w:p>
      <w:pPr>
        <w:spacing w:after="0" w:line="12" w:lineRule="exact"/>
        <w:rPr>
          <w:rFonts w:ascii="Arial" w:cs="Arial" w:eastAsia="Arial" w:hAnsi="Arial"/>
          <w:sz w:val="17"/>
          <w:szCs w:val="17"/>
          <w:color w:val="auto"/>
        </w:rPr>
      </w:pPr>
    </w:p>
    <w:p>
      <w:pPr>
        <w:ind w:left="1120" w:right="479" w:hanging="337"/>
        <w:spacing w:after="0" w:line="275"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options were granted as an incentive award and vested in three installments, with 30% of the stock options vesting on each of November 7, 2023 and on May 7, 2024 and 40% of the stock options vesting on November 7, 2024.</w:t>
      </w:r>
    </w:p>
    <w:p>
      <w:pPr>
        <w:spacing w:after="0" w:line="41" w:lineRule="exact"/>
        <w:rPr>
          <w:rFonts w:ascii="Arial" w:cs="Arial" w:eastAsia="Arial" w:hAnsi="Arial"/>
          <w:sz w:val="17"/>
          <w:szCs w:val="17"/>
          <w:color w:val="auto"/>
        </w:rPr>
      </w:pPr>
    </w:p>
    <w:p>
      <w:pPr>
        <w:ind w:left="1120" w:right="319" w:hanging="337"/>
        <w:spacing w:after="0" w:line="295" w:lineRule="auto"/>
        <w:tabs>
          <w:tab w:leader="none" w:pos="11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stock options vested or vest in three substantially equal installments on March 2, 2024, March 2, 2025, and March 2, 2026, subject to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282575</wp:posOffset>
            </wp:positionV>
            <wp:extent cx="494665" cy="165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158750</wp:posOffset>
            </wp:positionV>
            <wp:extent cx="5538470" cy="16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Compensation Tables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Outstanding Equity Awards at 2024 Year-End</w:t>
      </w:r>
    </w:p>
    <w:p>
      <w:pPr>
        <w:spacing w:after="0" w:line="247" w:lineRule="exact"/>
        <w:rPr>
          <w:sz w:val="20"/>
          <w:szCs w:val="20"/>
          <w:color w:val="auto"/>
        </w:rPr>
      </w:pPr>
    </w:p>
    <w:p>
      <w:pPr>
        <w:ind w:left="1120" w:right="960" w:hanging="337"/>
        <w:spacing w:after="0" w:line="294"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stock options vested or vest in three substantially equal installments on March 2, 2025, March 2, 2026, and March 2, 2027, subject generally to continued employment through each applicable vesting date.</w:t>
      </w:r>
    </w:p>
    <w:p>
      <w:pPr>
        <w:spacing w:after="0" w:line="1" w:lineRule="exact"/>
        <w:rPr>
          <w:rFonts w:ascii="Arial" w:cs="Arial" w:eastAsia="Arial" w:hAnsi="Arial"/>
          <w:sz w:val="17"/>
          <w:szCs w:val="17"/>
          <w:color w:val="auto"/>
        </w:rPr>
      </w:pPr>
    </w:p>
    <w:p>
      <w:pPr>
        <w:ind w:left="1120" w:right="1400" w:hanging="337"/>
        <w:spacing w:after="0" w:line="294"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RSUs vested or vest in substantially equal yearly installments on March 2, 2023, March 2, 2024, and March 2, 2025, subject to continued employment through each applicable vesting date.</w:t>
      </w:r>
    </w:p>
    <w:p>
      <w:pPr>
        <w:spacing w:after="0" w:line="1" w:lineRule="exact"/>
        <w:rPr>
          <w:rFonts w:ascii="Arial" w:cs="Arial" w:eastAsia="Arial" w:hAnsi="Arial"/>
          <w:sz w:val="17"/>
          <w:szCs w:val="17"/>
          <w:color w:val="auto"/>
        </w:rPr>
      </w:pPr>
    </w:p>
    <w:p>
      <w:pPr>
        <w:ind w:left="1120" w:right="1480" w:hanging="337"/>
        <w:spacing w:after="0" w:line="294"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RSUs vested or vest in three substantially equal installments on March 2, 2024, March 2, 2025, and March 2, 2026, subject to continued employment through each applicable vesting date.</w:t>
      </w:r>
    </w:p>
    <w:p>
      <w:pPr>
        <w:spacing w:after="0" w:line="1" w:lineRule="exact"/>
        <w:rPr>
          <w:rFonts w:ascii="Arial" w:cs="Arial" w:eastAsia="Arial" w:hAnsi="Arial"/>
          <w:sz w:val="17"/>
          <w:szCs w:val="17"/>
          <w:color w:val="auto"/>
        </w:rPr>
      </w:pPr>
    </w:p>
    <w:p>
      <w:pPr>
        <w:ind w:left="1120" w:right="880" w:hanging="337"/>
        <w:spacing w:after="0" w:line="294"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stock options vested or vest in three substantially equal installments on August 5, 2024, August 5, 2025 and August 5, 2026, subject to continued employment through each applicable vesting date.</w:t>
      </w:r>
    </w:p>
    <w:p>
      <w:pPr>
        <w:spacing w:after="0" w:line="1" w:lineRule="exact"/>
        <w:rPr>
          <w:rFonts w:ascii="Arial" w:cs="Arial" w:eastAsia="Arial" w:hAnsi="Arial"/>
          <w:sz w:val="17"/>
          <w:szCs w:val="17"/>
          <w:color w:val="auto"/>
        </w:rPr>
      </w:pPr>
    </w:p>
    <w:p>
      <w:pPr>
        <w:ind w:left="1120" w:right="1400" w:hanging="337"/>
        <w:spacing w:after="0" w:line="294"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RSUs vested or vest in three substantially equal installments on August 5, 2024, August 5, 2025 and August 5, 2026, subject to continued employment through each applicable vesting date.</w:t>
      </w:r>
    </w:p>
    <w:p>
      <w:pPr>
        <w:spacing w:after="0" w:line="1" w:lineRule="exact"/>
        <w:rPr>
          <w:rFonts w:ascii="Arial" w:cs="Arial" w:eastAsia="Arial" w:hAnsi="Arial"/>
          <w:sz w:val="17"/>
          <w:szCs w:val="17"/>
          <w:color w:val="auto"/>
        </w:rPr>
      </w:pPr>
    </w:p>
    <w:p>
      <w:pPr>
        <w:jc w:val="both"/>
        <w:ind w:left="1120" w:right="940" w:hanging="337"/>
        <w:spacing w:after="0" w:line="275"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RSUs were granted in connection with the commencement of Mr. Lyons’ employment and vested or vest in three substantially equal installments on August 5, 2024, August 5, 2025 and August 5, 2026, subject to continued employment through each applicable vesting date.</w:t>
      </w:r>
    </w:p>
    <w:p>
      <w:pPr>
        <w:spacing w:after="0" w:line="15" w:lineRule="exact"/>
        <w:rPr>
          <w:rFonts w:ascii="Arial" w:cs="Arial" w:eastAsia="Arial" w:hAnsi="Arial"/>
          <w:sz w:val="17"/>
          <w:szCs w:val="17"/>
          <w:color w:val="auto"/>
        </w:rPr>
      </w:pPr>
    </w:p>
    <w:p>
      <w:pPr>
        <w:ind w:left="1120" w:hanging="337"/>
        <w:spacing w:after="0"/>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stock options were granted in connection with the commencement of Mr. Dimitrief’s employment.</w:t>
      </w:r>
    </w:p>
    <w:p>
      <w:pPr>
        <w:spacing w:after="0" w:line="77" w:lineRule="exact"/>
        <w:rPr>
          <w:rFonts w:ascii="Arial" w:cs="Arial" w:eastAsia="Arial" w:hAnsi="Arial"/>
          <w:sz w:val="17"/>
          <w:szCs w:val="17"/>
          <w:color w:val="auto"/>
        </w:rPr>
      </w:pPr>
    </w:p>
    <w:p>
      <w:pPr>
        <w:ind w:left="1120" w:right="1480" w:hanging="337"/>
        <w:spacing w:after="0" w:line="294"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These RSUs vested or vest in three substantially equal installments on March 2, 2025, March 2, 2026, and March 2, 2027, subject generally to continued employment through each applicable vesting date.</w:t>
      </w:r>
    </w:p>
    <w:p>
      <w:pPr>
        <w:spacing w:after="0" w:line="1" w:lineRule="exact"/>
        <w:rPr>
          <w:rFonts w:ascii="Arial" w:cs="Arial" w:eastAsia="Arial" w:hAnsi="Arial"/>
          <w:sz w:val="17"/>
          <w:szCs w:val="17"/>
          <w:color w:val="auto"/>
        </w:rPr>
      </w:pPr>
    </w:p>
    <w:p>
      <w:pPr>
        <w:ind w:left="1120" w:right="800" w:hanging="337"/>
        <w:spacing w:after="0" w:line="261"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shares of unvested restricted common stock distributed to Mr. Rutz in respect of the limited partnership interest in Topco Parent that Mr. Rutz was granted in connection with the commencement of his employment. These shares of unvested restricted stock were distributed in respect of Mr. Rutz’s limited partnership interest held in Topco Parent and continue to vest according to the same vesting schedule applicable to the limited partnership interest. As a result, the unvested restricted shares of our common stock vest on a daily basis pro rata through May 13, 2025, subject to continued employment through each such vesting date. See “Corporate Reorganization &amp; Distribution of Shares.”</w:t>
      </w:r>
    </w:p>
    <w:p>
      <w:pPr>
        <w:spacing w:after="0" w:line="30" w:lineRule="exact"/>
        <w:rPr>
          <w:rFonts w:ascii="Arial" w:cs="Arial" w:eastAsia="Arial" w:hAnsi="Arial"/>
          <w:sz w:val="17"/>
          <w:szCs w:val="17"/>
          <w:color w:val="auto"/>
        </w:rPr>
      </w:pPr>
    </w:p>
    <w:p>
      <w:pPr>
        <w:ind w:left="1120" w:right="960" w:hanging="337"/>
        <w:spacing w:after="0" w:line="295" w:lineRule="auto"/>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fair market value of shares unvested as of December 31, 2023, based on the closing market price of $13.68 on December 31, 2024.</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Option Exercises and Stock Vested</w:t>
      </w:r>
    </w:p>
    <w:p>
      <w:pPr>
        <w:spacing w:after="0" w:line="202" w:lineRule="exact"/>
        <w:rPr>
          <w:sz w:val="20"/>
          <w:szCs w:val="20"/>
          <w:color w:val="auto"/>
        </w:rPr>
      </w:pPr>
    </w:p>
    <w:p>
      <w:pPr>
        <w:ind w:left="780" w:right="940"/>
        <w:spacing w:after="0" w:line="248" w:lineRule="auto"/>
        <w:rPr>
          <w:sz w:val="20"/>
          <w:szCs w:val="20"/>
          <w:color w:val="auto"/>
        </w:rPr>
      </w:pPr>
      <w:r>
        <w:rPr>
          <w:rFonts w:ascii="Arial" w:cs="Arial" w:eastAsia="Arial" w:hAnsi="Arial"/>
          <w:sz w:val="21"/>
          <w:szCs w:val="21"/>
          <w:color w:val="auto"/>
        </w:rPr>
        <w:t>The following table sets forth information regarding stock vested in the fiscal year ended December 31, 2024 for each of our NEOs. None of our NEOs exercised stock option awards in the fiscal year ended December 31, 2024.</w:t>
      </w:r>
    </w:p>
    <w:p>
      <w:pPr>
        <w:spacing w:after="0" w:line="289"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800" w:type="dxa"/>
            <w:vAlign w:val="bottom"/>
            <w:tcBorders>
              <w:bottom w:val="single" w:sz="8" w:color="435F86"/>
            </w:tcBorders>
          </w:tcPr>
          <w:p>
            <w:pPr>
              <w:spacing w:after="0"/>
              <w:rPr>
                <w:sz w:val="18"/>
                <w:szCs w:val="18"/>
                <w:color w:val="auto"/>
              </w:rPr>
            </w:pPr>
          </w:p>
        </w:tc>
        <w:tc>
          <w:tcPr>
            <w:tcW w:w="1840" w:type="dxa"/>
            <w:vAlign w:val="bottom"/>
            <w:tcBorders>
              <w:bottom w:val="single" w:sz="8" w:color="435F86"/>
            </w:tcBorders>
            <w:gridSpan w:val="3"/>
          </w:tcPr>
          <w:p>
            <w:pPr>
              <w:ind w:left="580"/>
              <w:spacing w:after="0"/>
              <w:rPr>
                <w:sz w:val="20"/>
                <w:szCs w:val="20"/>
                <w:color w:val="auto"/>
              </w:rPr>
            </w:pPr>
            <w:r>
              <w:rPr>
                <w:rFonts w:ascii="Arial" w:cs="Arial" w:eastAsia="Arial" w:hAnsi="Arial"/>
                <w:sz w:val="16"/>
                <w:szCs w:val="16"/>
                <w:b w:val="1"/>
                <w:bCs w:val="1"/>
                <w:color w:val="435F86"/>
              </w:rPr>
              <w:t>Stock Awards</w:t>
            </w:r>
          </w:p>
        </w:tc>
        <w:tc>
          <w:tcPr>
            <w:tcW w:w="980" w:type="dxa"/>
            <w:vAlign w:val="bottom"/>
            <w:tcBorders>
              <w:bottom w:val="single" w:sz="8" w:color="435F86"/>
            </w:tcBorders>
          </w:tcPr>
          <w:p>
            <w:pPr>
              <w:spacing w:after="0"/>
              <w:rPr>
                <w:sz w:val="18"/>
                <w:szCs w:val="18"/>
                <w:color w:val="auto"/>
              </w:rPr>
            </w:pPr>
          </w:p>
        </w:tc>
        <w:tc>
          <w:tcPr>
            <w:tcW w:w="80" w:type="dxa"/>
            <w:vAlign w:val="bottom"/>
            <w:tcBorders>
              <w:bottom w:val="single" w:sz="8" w:color="435F86"/>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5020" w:type="dxa"/>
            <w:vAlign w:val="bottom"/>
          </w:tcPr>
          <w:p>
            <w:pPr>
              <w:spacing w:after="0"/>
              <w:rPr>
                <w:sz w:val="15"/>
                <w:szCs w:val="15"/>
                <w:color w:val="auto"/>
              </w:rPr>
            </w:pPr>
          </w:p>
        </w:tc>
        <w:tc>
          <w:tcPr>
            <w:tcW w:w="2220" w:type="dxa"/>
            <w:vAlign w:val="bottom"/>
            <w:gridSpan w:val="3"/>
          </w:tcPr>
          <w:p>
            <w:pPr>
              <w:ind w:left="100"/>
              <w:spacing w:after="0" w:line="175" w:lineRule="exact"/>
              <w:rPr>
                <w:sz w:val="20"/>
                <w:szCs w:val="20"/>
                <w:color w:val="auto"/>
              </w:rPr>
            </w:pPr>
            <w:r>
              <w:rPr>
                <w:rFonts w:ascii="Arial" w:cs="Arial" w:eastAsia="Arial" w:hAnsi="Arial"/>
                <w:sz w:val="16"/>
                <w:szCs w:val="16"/>
                <w:b w:val="1"/>
                <w:bCs w:val="1"/>
                <w:color w:val="435F86"/>
                <w:w w:val="99"/>
              </w:rPr>
              <w:t>Number of Shares Acquired</w:t>
            </w:r>
          </w:p>
        </w:tc>
        <w:tc>
          <w:tcPr>
            <w:tcW w:w="1400" w:type="dxa"/>
            <w:vAlign w:val="bottom"/>
            <w:gridSpan w:val="2"/>
          </w:tcPr>
          <w:p>
            <w:pPr>
              <w:jc w:val="center"/>
              <w:ind w:left="18"/>
              <w:spacing w:after="0" w:line="175" w:lineRule="exact"/>
              <w:rPr>
                <w:sz w:val="20"/>
                <w:szCs w:val="20"/>
                <w:color w:val="auto"/>
              </w:rPr>
            </w:pPr>
            <w:r>
              <w:rPr>
                <w:rFonts w:ascii="Arial" w:cs="Arial" w:eastAsia="Arial" w:hAnsi="Arial"/>
                <w:sz w:val="16"/>
                <w:szCs w:val="16"/>
                <w:b w:val="1"/>
                <w:bCs w:val="1"/>
                <w:color w:val="435F86"/>
                <w:w w:val="92"/>
              </w:rPr>
              <w:t>Value Realized 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5020" w:type="dxa"/>
            <w:vAlign w:val="bottom"/>
          </w:tcPr>
          <w:p>
            <w:pPr>
              <w:ind w:left="80"/>
              <w:spacing w:after="0"/>
              <w:rPr>
                <w:sz w:val="20"/>
                <w:szCs w:val="20"/>
                <w:color w:val="auto"/>
              </w:rPr>
            </w:pPr>
            <w:r>
              <w:rPr>
                <w:rFonts w:ascii="Arial" w:cs="Arial" w:eastAsia="Arial" w:hAnsi="Arial"/>
                <w:sz w:val="16"/>
                <w:szCs w:val="16"/>
                <w:b w:val="1"/>
                <w:bCs w:val="1"/>
                <w:color w:val="435F86"/>
              </w:rPr>
              <w:t>Name</w:t>
            </w:r>
          </w:p>
        </w:tc>
        <w:tc>
          <w:tcPr>
            <w:tcW w:w="1880" w:type="dxa"/>
            <w:vAlign w:val="bottom"/>
            <w:gridSpan w:val="2"/>
          </w:tcPr>
          <w:p>
            <w:pPr>
              <w:jc w:val="right"/>
              <w:ind w:right="116"/>
              <w:spacing w:after="0"/>
              <w:rPr>
                <w:sz w:val="20"/>
                <w:szCs w:val="20"/>
                <w:color w:val="auto"/>
              </w:rPr>
            </w:pPr>
            <w:r>
              <w:rPr>
                <w:rFonts w:ascii="Arial" w:cs="Arial" w:eastAsia="Arial" w:hAnsi="Arial"/>
                <w:sz w:val="16"/>
                <w:szCs w:val="16"/>
                <w:b w:val="1"/>
                <w:bCs w:val="1"/>
                <w:color w:val="435F86"/>
              </w:rPr>
              <w:t xml:space="preserve">on Vesting (#) </w:t>
            </w:r>
            <w:r>
              <w:rPr>
                <w:rFonts w:ascii="Arial" w:cs="Arial" w:eastAsia="Arial" w:hAnsi="Arial"/>
                <w:sz w:val="19"/>
                <w:szCs w:val="19"/>
                <w:b w:val="1"/>
                <w:bCs w:val="1"/>
                <w:color w:val="435F86"/>
                <w:vertAlign w:val="superscript"/>
              </w:rPr>
              <w:t>(1)</w:t>
            </w:r>
          </w:p>
        </w:tc>
        <w:tc>
          <w:tcPr>
            <w:tcW w:w="340" w:type="dxa"/>
            <w:vAlign w:val="bottom"/>
          </w:tcPr>
          <w:p>
            <w:pPr>
              <w:spacing w:after="0"/>
              <w:rPr>
                <w:sz w:val="20"/>
                <w:szCs w:val="20"/>
                <w:color w:val="auto"/>
              </w:rPr>
            </w:pPr>
          </w:p>
        </w:tc>
        <w:tc>
          <w:tcPr>
            <w:tcW w:w="1400" w:type="dxa"/>
            <w:vAlign w:val="bottom"/>
            <w:gridSpan w:val="2"/>
          </w:tcPr>
          <w:p>
            <w:pPr>
              <w:jc w:val="center"/>
              <w:ind w:left="58"/>
              <w:spacing w:after="0"/>
              <w:rPr>
                <w:sz w:val="20"/>
                <w:szCs w:val="20"/>
                <w:color w:val="auto"/>
              </w:rPr>
            </w:pPr>
            <w:r>
              <w:rPr>
                <w:rFonts w:ascii="Arial" w:cs="Arial" w:eastAsia="Arial" w:hAnsi="Arial"/>
                <w:sz w:val="16"/>
                <w:szCs w:val="16"/>
                <w:b w:val="1"/>
                <w:bCs w:val="1"/>
                <w:color w:val="435F86"/>
                <w:w w:val="88"/>
              </w:rPr>
              <w:t xml:space="preserve">Vesting ($) </w:t>
            </w:r>
            <w:r>
              <w:rPr>
                <w:rFonts w:ascii="Arial" w:cs="Arial" w:eastAsia="Arial" w:hAnsi="Arial"/>
                <w:sz w:val="19"/>
                <w:szCs w:val="19"/>
                <w:b w:val="1"/>
                <w:bCs w:val="1"/>
                <w:color w:val="435F86"/>
                <w:w w:val="88"/>
                <w:vertAlign w:val="superscript"/>
              </w:rPr>
              <w:t>(2)</w:t>
            </w:r>
          </w:p>
        </w:tc>
        <w:tc>
          <w:tcPr>
            <w:tcW w:w="100" w:type="dxa"/>
            <w:vAlign w:val="bottom"/>
            <w:gridSpan w:val="2"/>
          </w:tcPr>
          <w:p>
            <w:pPr>
              <w:ind w:left="60"/>
              <w:spacing w:after="0"/>
              <w:rPr>
                <w:sz w:val="20"/>
                <w:szCs w:val="20"/>
                <w:color w:val="auto"/>
              </w:rPr>
            </w:pPr>
            <w:r>
              <w:rPr>
                <w:rFonts w:ascii="Arial" w:cs="Arial" w:eastAsia="Arial" w:hAnsi="Arial"/>
                <w:sz w:val="16"/>
                <w:szCs w:val="16"/>
                <w:b w:val="1"/>
                <w:bCs w:val="1"/>
                <w:color w:val="435F86"/>
              </w:rPr>
              <w:t>​</w:t>
            </w:r>
          </w:p>
        </w:tc>
      </w:tr>
      <w:tr>
        <w:trPr>
          <w:trHeight w:val="253"/>
        </w:trPr>
        <w:tc>
          <w:tcPr>
            <w:tcW w:w="5020" w:type="dxa"/>
            <w:vAlign w:val="bottom"/>
            <w:tcBorders>
              <w:top w:val="single" w:sz="8" w:color="435F86"/>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B. Petras, Jr.</w:t>
            </w:r>
          </w:p>
        </w:tc>
        <w:tc>
          <w:tcPr>
            <w:tcW w:w="1880" w:type="dxa"/>
            <w:vAlign w:val="bottom"/>
            <w:tcBorders>
              <w:top w:val="single" w:sz="8" w:color="435F86"/>
              <w:bottom w:val="single" w:sz="8" w:color="7B8FAA"/>
            </w:tcBorders>
            <w:gridSpan w:val="2"/>
            <w:shd w:val="clear" w:color="auto" w:fill="CCEEFF"/>
          </w:tcPr>
          <w:p>
            <w:pPr>
              <w:jc w:val="right"/>
              <w:ind w:right="336"/>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198,686</w:t>
            </w:r>
          </w:p>
        </w:tc>
        <w:tc>
          <w:tcPr>
            <w:tcW w:w="340" w:type="dxa"/>
            <w:vAlign w:val="bottom"/>
            <w:tcBorders>
              <w:top w:val="single" w:sz="8" w:color="435F86"/>
              <w:bottom w:val="single" w:sz="8" w:color="7B8FAA"/>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435F86"/>
              <w:bottom w:val="single" w:sz="8" w:color="7B8FAA"/>
            </w:tcBorders>
            <w:shd w:val="clear" w:color="auto" w:fill="CCEEFF"/>
          </w:tcPr>
          <w:p>
            <w:pPr>
              <w:ind w:left="260"/>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980" w:type="dxa"/>
            <w:vAlign w:val="bottom"/>
            <w:tcBorders>
              <w:top w:val="single" w:sz="8" w:color="435F86"/>
              <w:bottom w:val="single" w:sz="8" w:color="7B8FAA"/>
            </w:tcBorders>
            <w:shd w:val="clear" w:color="auto" w:fill="CCEEFF"/>
          </w:tcPr>
          <w:p>
            <w:pPr>
              <w:jc w:val="right"/>
              <w:ind w:right="53"/>
              <w:spacing w:after="0"/>
              <w:rPr>
                <w:sz w:val="20"/>
                <w:szCs w:val="20"/>
                <w:color w:val="auto"/>
              </w:rPr>
            </w:pPr>
            <w:r>
              <w:rPr>
                <w:rFonts w:ascii="Arial" w:cs="Arial" w:eastAsia="Arial" w:hAnsi="Arial"/>
                <w:sz w:val="17"/>
                <w:szCs w:val="17"/>
                <w:color w:val="auto"/>
              </w:rPr>
              <w:t>2,804,825</w:t>
            </w:r>
          </w:p>
        </w:tc>
        <w:tc>
          <w:tcPr>
            <w:tcW w:w="80" w:type="dxa"/>
            <w:vAlign w:val="bottom"/>
            <w:tcBorders>
              <w:top w:val="single" w:sz="8" w:color="435F86"/>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53"/>
        </w:trPr>
        <w:tc>
          <w:tcPr>
            <w:tcW w:w="5020" w:type="dxa"/>
            <w:vAlign w:val="bottom"/>
          </w:tcPr>
          <w:p>
            <w:pPr>
              <w:ind w:left="80"/>
              <w:spacing w:after="0"/>
              <w:rPr>
                <w:sz w:val="20"/>
                <w:szCs w:val="20"/>
                <w:color w:val="auto"/>
              </w:rPr>
            </w:pPr>
            <w:r>
              <w:rPr>
                <w:rFonts w:ascii="Arial" w:cs="Arial" w:eastAsia="Arial" w:hAnsi="Arial"/>
                <w:sz w:val="17"/>
                <w:szCs w:val="17"/>
                <w:color w:val="auto"/>
              </w:rPr>
              <w:t>Jonathan M. Lyons</w:t>
            </w:r>
          </w:p>
        </w:tc>
        <w:tc>
          <w:tcPr>
            <w:tcW w:w="800" w:type="dxa"/>
            <w:vAlign w:val="bottom"/>
          </w:tcPr>
          <w:p>
            <w:pPr>
              <w:ind w:left="70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36"/>
              <w:spacing w:after="0"/>
              <w:rPr>
                <w:sz w:val="20"/>
                <w:szCs w:val="20"/>
                <w:color w:val="auto"/>
              </w:rPr>
            </w:pPr>
            <w:r>
              <w:rPr>
                <w:rFonts w:ascii="Arial" w:cs="Arial" w:eastAsia="Arial" w:hAnsi="Arial"/>
                <w:sz w:val="17"/>
                <w:szCs w:val="17"/>
                <w:color w:val="auto"/>
              </w:rPr>
              <w:t>25,655</w:t>
            </w:r>
          </w:p>
        </w:tc>
        <w:tc>
          <w:tcPr>
            <w:tcW w:w="340" w:type="dxa"/>
            <w:vAlign w:val="bottom"/>
          </w:tcPr>
          <w:p>
            <w:pPr>
              <w:ind w:left="200"/>
              <w:spacing w:after="0"/>
              <w:rPr>
                <w:sz w:val="20"/>
                <w:szCs w:val="20"/>
                <w:color w:val="auto"/>
              </w:rPr>
            </w:pPr>
            <w:r>
              <w:rPr>
                <w:rFonts w:ascii="Arial" w:cs="Arial" w:eastAsia="Arial" w:hAnsi="Arial"/>
                <w:sz w:val="17"/>
                <w:szCs w:val="17"/>
                <w:color w:val="auto"/>
              </w:rPr>
              <w:t>​</w:t>
            </w:r>
          </w:p>
        </w:tc>
        <w:tc>
          <w:tcPr>
            <w:tcW w:w="420" w:type="dxa"/>
            <w:vAlign w:val="bottom"/>
          </w:tcPr>
          <w:p>
            <w:pPr>
              <w:ind w:left="2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364,814</w:t>
            </w:r>
          </w:p>
        </w:tc>
        <w:tc>
          <w:tcPr>
            <w:tcW w:w="1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502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P. Rutz</w:t>
            </w:r>
          </w:p>
        </w:tc>
        <w:tc>
          <w:tcPr>
            <w:tcW w:w="1880" w:type="dxa"/>
            <w:vAlign w:val="bottom"/>
            <w:tcBorders>
              <w:top w:val="single" w:sz="8" w:color="7B8FAA"/>
              <w:bottom w:val="single" w:sz="8" w:color="7B8FAA"/>
            </w:tcBorders>
            <w:gridSpan w:val="2"/>
            <w:shd w:val="clear" w:color="auto" w:fill="CCEEFF"/>
          </w:tcPr>
          <w:p>
            <w:pPr>
              <w:jc w:val="right"/>
              <w:ind w:right="336"/>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140,385</w:t>
            </w:r>
          </w:p>
        </w:tc>
        <w:tc>
          <w:tcPr>
            <w:tcW w:w="340" w:type="dxa"/>
            <w:vAlign w:val="bottom"/>
            <w:tcBorders>
              <w:top w:val="single" w:sz="8" w:color="7B8FAA"/>
              <w:bottom w:val="single" w:sz="8" w:color="7B8FAA"/>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7B8FAA"/>
              <w:bottom w:val="single" w:sz="8" w:color="7B8FAA"/>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7B8FAA"/>
              <w:bottom w:val="single" w:sz="8" w:color="7B8FAA"/>
            </w:tcBorders>
            <w:shd w:val="clear" w:color="auto" w:fill="CCEEFF"/>
          </w:tcPr>
          <w:p>
            <w:pPr>
              <w:jc w:val="right"/>
              <w:ind w:right="53"/>
              <w:spacing w:after="0"/>
              <w:rPr>
                <w:sz w:val="20"/>
                <w:szCs w:val="20"/>
                <w:color w:val="auto"/>
              </w:rPr>
            </w:pPr>
            <w:r>
              <w:rPr>
                <w:rFonts w:ascii="Arial" w:cs="Arial" w:eastAsia="Arial" w:hAnsi="Arial"/>
                <w:sz w:val="17"/>
                <w:szCs w:val="17"/>
                <w:color w:val="auto"/>
              </w:rPr>
              <w:t>1,951,152</w:t>
            </w:r>
          </w:p>
        </w:tc>
        <w:tc>
          <w:tcPr>
            <w:tcW w:w="8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r>
      <w:tr>
        <w:trPr>
          <w:trHeight w:val="253"/>
        </w:trPr>
        <w:tc>
          <w:tcPr>
            <w:tcW w:w="5020" w:type="dxa"/>
            <w:vAlign w:val="bottom"/>
            <w:tcBorders>
              <w:bottom w:val="single" w:sz="8" w:color="435F86"/>
            </w:tcBorders>
          </w:tcPr>
          <w:p>
            <w:pPr>
              <w:ind w:left="80"/>
              <w:spacing w:after="0"/>
              <w:rPr>
                <w:sz w:val="20"/>
                <w:szCs w:val="20"/>
                <w:color w:val="auto"/>
              </w:rPr>
            </w:pPr>
            <w:r>
              <w:rPr>
                <w:rFonts w:ascii="Arial" w:cs="Arial" w:eastAsia="Arial" w:hAnsi="Arial"/>
                <w:sz w:val="17"/>
                <w:szCs w:val="17"/>
                <w:color w:val="auto"/>
              </w:rPr>
              <w:t>Alexander Dimitrief</w:t>
            </w:r>
          </w:p>
        </w:tc>
        <w:tc>
          <w:tcPr>
            <w:tcW w:w="800" w:type="dxa"/>
            <w:vAlign w:val="bottom"/>
            <w:tcBorders>
              <w:bottom w:val="single" w:sz="8" w:color="435F86"/>
            </w:tcBorders>
          </w:tcPr>
          <w:p>
            <w:pPr>
              <w:ind w:left="70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435F86"/>
            </w:tcBorders>
          </w:tcPr>
          <w:p>
            <w:pPr>
              <w:jc w:val="right"/>
              <w:ind w:right="336"/>
              <w:spacing w:after="0"/>
              <w:rPr>
                <w:sz w:val="20"/>
                <w:szCs w:val="20"/>
                <w:color w:val="auto"/>
              </w:rPr>
            </w:pPr>
            <w:r>
              <w:rPr>
                <w:rFonts w:ascii="Arial" w:cs="Arial" w:eastAsia="Arial" w:hAnsi="Arial"/>
                <w:sz w:val="17"/>
                <w:szCs w:val="17"/>
                <w:color w:val="auto"/>
              </w:rPr>
              <w:t>117,739</w:t>
            </w:r>
          </w:p>
        </w:tc>
        <w:tc>
          <w:tcPr>
            <w:tcW w:w="340" w:type="dxa"/>
            <w:vAlign w:val="bottom"/>
            <w:tcBorders>
              <w:bottom w:val="single" w:sz="8" w:color="435F86"/>
            </w:tcBorders>
          </w:tcPr>
          <w:p>
            <w:pPr>
              <w:ind w:left="2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435F86"/>
            </w:tcBorders>
          </w:tcPr>
          <w:p>
            <w:pPr>
              <w:ind w:left="26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435F86"/>
            </w:tcBorders>
          </w:tcPr>
          <w:p>
            <w:pPr>
              <w:jc w:val="right"/>
              <w:ind w:right="53"/>
              <w:spacing w:after="0"/>
              <w:rPr>
                <w:sz w:val="20"/>
                <w:szCs w:val="20"/>
                <w:color w:val="auto"/>
              </w:rPr>
            </w:pPr>
            <w:r>
              <w:rPr>
                <w:rFonts w:ascii="Arial" w:cs="Arial" w:eastAsia="Arial" w:hAnsi="Arial"/>
                <w:sz w:val="17"/>
                <w:szCs w:val="17"/>
                <w:color w:val="auto"/>
              </w:rPr>
              <w:t>1,844,970</w:t>
            </w:r>
          </w:p>
        </w:tc>
        <w:tc>
          <w:tcPr>
            <w:tcW w:w="100" w:type="dxa"/>
            <w:vAlign w:val="bottom"/>
            <w:tcBorders>
              <w:bottom w:val="single" w:sz="8" w:color="435F86"/>
            </w:tcBorders>
            <w:gridSpan w:val="2"/>
          </w:tcPr>
          <w:p>
            <w:pPr>
              <w:spacing w:after="0"/>
              <w:rPr>
                <w:sz w:val="20"/>
                <w:szCs w:val="20"/>
                <w:color w:val="auto"/>
              </w:rPr>
            </w:pPr>
            <w:r>
              <w:rPr>
                <w:rFonts w:ascii="Arial" w:cs="Arial" w:eastAsia="Arial" w:hAnsi="Arial"/>
                <w:sz w:val="17"/>
                <w:szCs w:val="17"/>
                <w:color w:val="auto"/>
              </w:rPr>
              <w:t>​​</w:t>
            </w:r>
          </w:p>
        </w:tc>
      </w:tr>
    </w:tbl>
    <w:p>
      <w:pPr>
        <w:spacing w:after="0" w:line="100" w:lineRule="exact"/>
        <w:rPr>
          <w:sz w:val="20"/>
          <w:szCs w:val="20"/>
          <w:color w:val="auto"/>
        </w:rPr>
      </w:pPr>
    </w:p>
    <w:p>
      <w:pPr>
        <w:ind w:left="1120" w:right="840" w:hanging="337"/>
        <w:spacing w:after="0" w:line="260" w:lineRule="auto"/>
        <w:tabs>
          <w:tab w:leader="none" w:pos="11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Mr. Petras and Mr. Rutz, these numbers include RSUs granted under our 2020 Incentive Plan in connection with our IPO, one-quarter of which vested on November 20, 2024 (65,217 and 6,521 RSUs vesting on such date, respectively) and RSUs granted under our 2020 Incentive Plan, 33% of which vested on March 2, 2024 (133,469 and 17,795 RSUs vesting on such date, respectively). For Mr. Rutz, this number also includes shares of restricted stock distributed in respect of his respective limited partnership interest held in Topco Parent prior to our IPO that vested throughout the year. The number of shares of restricted stock that vested in 2023 for Mr. Rutz was 116,069 shares. For Mr. Lyons RSUs granted under our 2020 Incentive Plan, 33% of which vested on August 5, 2024 (RSUs). For Mr. Dimitrief, this number includes restricted stock awards granted under our 2020 Incentive Plan, 50% of which vested on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135890</wp:posOffset>
            </wp:positionV>
            <wp:extent cx="5538470"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56</w:t>
            </w:r>
          </w:p>
        </w:tc>
      </w:tr>
      <w:tr>
        <w:trPr>
          <w:trHeight w:val="93"/>
        </w:trPr>
        <w:tc>
          <w:tcPr>
            <w:tcW w:w="4140" w:type="dxa"/>
            <w:vAlign w:val="bottom"/>
            <w:tcBorders>
              <w:bottom w:val="single" w:sz="8" w:color="9A9A9A"/>
            </w:tcBorders>
          </w:tcPr>
          <w:p>
            <w:pPr>
              <w:spacing w:after="0"/>
              <w:rPr>
                <w:sz w:val="8"/>
                <w:szCs w:val="8"/>
                <w:color w:val="auto"/>
              </w:rPr>
            </w:pPr>
          </w:p>
        </w:tc>
        <w:tc>
          <w:tcPr>
            <w:tcW w:w="6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Compensation Tables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2024 Option Exercises and Stock Vested</w:t>
      </w:r>
    </w:p>
    <w:p>
      <w:pPr>
        <w:spacing w:after="0" w:line="247" w:lineRule="exact"/>
        <w:rPr>
          <w:sz w:val="20"/>
          <w:szCs w:val="20"/>
          <w:color w:val="auto"/>
        </w:rPr>
      </w:pPr>
    </w:p>
    <w:p>
      <w:pPr>
        <w:ind w:left="1120" w:right="179" w:hanging="337"/>
        <w:spacing w:after="0" w:line="268" w:lineRule="auto"/>
        <w:tabs>
          <w:tab w:leader="none" w:pos="11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the value realized upon the vesting of RSUs and restricted stock, in each case, calculated by multiplying the number of shares vested by the share price on each applicable vesting date. March 2, 2024 was not a trading day, for purposes of calculating the value realized on vesting the closing price on the day preceding the vesting date was used.</w:t>
      </w:r>
    </w:p>
    <w:p>
      <w:pPr>
        <w:spacing w:after="0" w:line="247"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Non-Qualified Deferred Compensation</w:t>
      </w:r>
    </w:p>
    <w:p>
      <w:pPr>
        <w:spacing w:after="0" w:line="215" w:lineRule="exact"/>
        <w:rPr>
          <w:sz w:val="20"/>
          <w:szCs w:val="20"/>
          <w:color w:val="auto"/>
        </w:rPr>
      </w:pPr>
    </w:p>
    <w:p>
      <w:pPr>
        <w:ind w:left="780" w:right="219"/>
        <w:spacing w:after="0" w:line="246" w:lineRule="auto"/>
        <w:rPr>
          <w:sz w:val="20"/>
          <w:szCs w:val="20"/>
          <w:color w:val="auto"/>
        </w:rPr>
      </w:pPr>
      <w:r>
        <w:rPr>
          <w:rFonts w:ascii="Arial" w:cs="Arial" w:eastAsia="Arial" w:hAnsi="Arial"/>
          <w:sz w:val="21"/>
          <w:szCs w:val="21"/>
          <w:color w:val="auto"/>
        </w:rPr>
        <w:t>The following table sets forth information regarding contributions to our Supplemental Retirement Benefit Plan in the fiscal year ended December 31, 2024 by each of our NEOs. As of the date hereof, the only NEO who has participated in our Supplemental Retirement Benefit Plan is Mr. Rutz. We have not previously provided matching employer contributions under the Supplemental Retirement Plan, although we are permitted to do so by its terms. See “Retirement Plans” for more information on the Supplemental Retirement Plan. We do not offer any other nonqualified retirement plans or pension benefits.</w:t>
      </w:r>
    </w:p>
    <w:p>
      <w:pPr>
        <w:spacing w:after="0" w:line="276"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435F86"/>
                <w:w w:val="93"/>
              </w:rPr>
              <w:t>Executive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435F86"/>
                <w:w w:val="93"/>
              </w:rPr>
              <w:t>Registrant</w:t>
            </w:r>
          </w:p>
        </w:tc>
        <w:tc>
          <w:tcPr>
            <w:tcW w:w="200" w:type="dxa"/>
            <w:vAlign w:val="bottom"/>
          </w:tcPr>
          <w:p>
            <w:pPr>
              <w:spacing w:after="0"/>
              <w:rPr>
                <w:sz w:val="16"/>
                <w:szCs w:val="16"/>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435F86"/>
              </w:rPr>
              <w:t>Aggregate</w:t>
            </w:r>
          </w:p>
        </w:tc>
        <w:tc>
          <w:tcPr>
            <w:tcW w:w="200" w:type="dxa"/>
            <w:vAlign w:val="bottom"/>
          </w:tcPr>
          <w:p>
            <w:pPr>
              <w:spacing w:after="0"/>
              <w:rPr>
                <w:sz w:val="16"/>
                <w:szCs w:val="16"/>
                <w:color w:val="auto"/>
              </w:rPr>
            </w:pPr>
          </w:p>
        </w:tc>
        <w:tc>
          <w:tcPr>
            <w:tcW w:w="1220" w:type="dxa"/>
            <w:vAlign w:val="bottom"/>
            <w:vMerge w:val="restart"/>
          </w:tcPr>
          <w:p>
            <w:pPr>
              <w:jc w:val="center"/>
              <w:ind w:left="62"/>
              <w:spacing w:after="0"/>
              <w:rPr>
                <w:sz w:val="20"/>
                <w:szCs w:val="20"/>
                <w:color w:val="auto"/>
              </w:rPr>
            </w:pPr>
            <w:r>
              <w:rPr>
                <w:rFonts w:ascii="Arial" w:cs="Arial" w:eastAsia="Arial" w:hAnsi="Arial"/>
                <w:sz w:val="16"/>
                <w:szCs w:val="16"/>
                <w:b w:val="1"/>
                <w:bCs w:val="1"/>
                <w:color w:val="435F86"/>
                <w:w w:val="95"/>
              </w:rPr>
              <w:t>Aggregate</w:t>
            </w:r>
          </w:p>
        </w:tc>
        <w:tc>
          <w:tcPr>
            <w:tcW w:w="220" w:type="dxa"/>
            <w:vAlign w:val="bottom"/>
          </w:tcPr>
          <w:p>
            <w:pPr>
              <w:spacing w:after="0"/>
              <w:rPr>
                <w:sz w:val="16"/>
                <w:szCs w:val="16"/>
                <w:color w:val="auto"/>
              </w:rPr>
            </w:pPr>
          </w:p>
        </w:tc>
        <w:tc>
          <w:tcPr>
            <w:tcW w:w="1180" w:type="dxa"/>
            <w:vAlign w:val="bottom"/>
            <w:gridSpan w:val="2"/>
            <w:vMerge w:val="restart"/>
          </w:tcPr>
          <w:p>
            <w:pPr>
              <w:jc w:val="center"/>
              <w:ind w:left="38"/>
              <w:spacing w:after="0"/>
              <w:rPr>
                <w:sz w:val="20"/>
                <w:szCs w:val="20"/>
                <w:color w:val="auto"/>
              </w:rPr>
            </w:pPr>
            <w:r>
              <w:rPr>
                <w:rFonts w:ascii="Arial" w:cs="Arial" w:eastAsia="Arial" w:hAnsi="Arial"/>
                <w:sz w:val="16"/>
                <w:szCs w:val="16"/>
                <w:b w:val="1"/>
                <w:bCs w:val="1"/>
                <w:color w:val="435F86"/>
                <w:w w:val="93"/>
              </w:rPr>
              <w:t>Aggregate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9" w:lineRule="exact"/>
              <w:rPr>
                <w:sz w:val="20"/>
                <w:szCs w:val="20"/>
                <w:color w:val="auto"/>
              </w:rPr>
            </w:pPr>
            <w:r>
              <w:rPr>
                <w:rFonts w:ascii="Arial" w:cs="Arial" w:eastAsia="Arial" w:hAnsi="Arial"/>
                <w:sz w:val="16"/>
                <w:szCs w:val="16"/>
                <w:b w:val="1"/>
                <w:bCs w:val="1"/>
                <w:color w:val="435F86"/>
                <w:w w:val="93"/>
              </w:rPr>
              <w:t>Contributions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67" w:lineRule="exact"/>
              <w:rPr>
                <w:sz w:val="20"/>
                <w:szCs w:val="20"/>
                <w:color w:val="auto"/>
              </w:rPr>
            </w:pPr>
            <w:r>
              <w:rPr>
                <w:rFonts w:ascii="Arial" w:cs="Arial" w:eastAsia="Arial" w:hAnsi="Arial"/>
                <w:sz w:val="16"/>
                <w:szCs w:val="16"/>
                <w:b w:val="1"/>
                <w:bCs w:val="1"/>
                <w:color w:val="435F86"/>
                <w:w w:val="94"/>
              </w:rPr>
              <w:t>in Last FY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line="167" w:lineRule="exact"/>
              <w:rPr>
                <w:sz w:val="20"/>
                <w:szCs w:val="20"/>
                <w:color w:val="auto"/>
              </w:rPr>
            </w:pPr>
            <w:r>
              <w:rPr>
                <w:rFonts w:ascii="Arial" w:cs="Arial" w:eastAsia="Arial" w:hAnsi="Arial"/>
                <w:sz w:val="16"/>
                <w:szCs w:val="16"/>
                <w:b w:val="1"/>
                <w:bCs w:val="1"/>
                <w:color w:val="435F86"/>
                <w:w w:val="94"/>
              </w:rPr>
              <w:t>contributions in</w:t>
            </w:r>
          </w:p>
        </w:tc>
        <w:tc>
          <w:tcPr>
            <w:tcW w:w="200" w:type="dxa"/>
            <w:vAlign w:val="bottom"/>
          </w:tcPr>
          <w:p>
            <w:pPr>
              <w:spacing w:after="0"/>
              <w:rPr>
                <w:sz w:val="14"/>
                <w:szCs w:val="14"/>
                <w:color w:val="auto"/>
              </w:rPr>
            </w:pPr>
          </w:p>
        </w:tc>
        <w:tc>
          <w:tcPr>
            <w:tcW w:w="1260" w:type="dxa"/>
            <w:vAlign w:val="bottom"/>
            <w:gridSpan w:val="2"/>
          </w:tcPr>
          <w:p>
            <w:pPr>
              <w:jc w:val="right"/>
              <w:spacing w:after="0" w:line="167" w:lineRule="exact"/>
              <w:rPr>
                <w:sz w:val="20"/>
                <w:szCs w:val="20"/>
                <w:color w:val="auto"/>
              </w:rPr>
            </w:pPr>
            <w:r>
              <w:rPr>
                <w:rFonts w:ascii="Arial" w:cs="Arial" w:eastAsia="Arial" w:hAnsi="Arial"/>
                <w:sz w:val="16"/>
                <w:szCs w:val="16"/>
                <w:b w:val="1"/>
                <w:bCs w:val="1"/>
                <w:color w:val="435F86"/>
              </w:rPr>
              <w:t>earnings in last</w:t>
            </w:r>
          </w:p>
        </w:tc>
        <w:tc>
          <w:tcPr>
            <w:tcW w:w="200" w:type="dxa"/>
            <w:vAlign w:val="bottom"/>
          </w:tcPr>
          <w:p>
            <w:pPr>
              <w:spacing w:after="0"/>
              <w:rPr>
                <w:sz w:val="14"/>
                <w:szCs w:val="14"/>
                <w:color w:val="auto"/>
              </w:rPr>
            </w:pPr>
          </w:p>
        </w:tc>
        <w:tc>
          <w:tcPr>
            <w:tcW w:w="1220" w:type="dxa"/>
            <w:vAlign w:val="bottom"/>
          </w:tcPr>
          <w:p>
            <w:pPr>
              <w:ind w:left="260"/>
              <w:spacing w:after="0" w:line="167" w:lineRule="exact"/>
              <w:rPr>
                <w:sz w:val="20"/>
                <w:szCs w:val="20"/>
                <w:color w:val="auto"/>
              </w:rPr>
            </w:pPr>
            <w:r>
              <w:rPr>
                <w:rFonts w:ascii="Arial" w:cs="Arial" w:eastAsia="Arial" w:hAnsi="Arial"/>
                <w:sz w:val="16"/>
                <w:szCs w:val="16"/>
                <w:b w:val="1"/>
                <w:bCs w:val="1"/>
                <w:color w:val="435F86"/>
                <w:w w:val="97"/>
              </w:rPr>
              <w:t>withdrawals/​</w:t>
            </w:r>
          </w:p>
        </w:tc>
        <w:tc>
          <w:tcPr>
            <w:tcW w:w="220" w:type="dxa"/>
            <w:vAlign w:val="bottom"/>
          </w:tcPr>
          <w:p>
            <w:pPr>
              <w:spacing w:after="0"/>
              <w:rPr>
                <w:sz w:val="14"/>
                <w:szCs w:val="14"/>
                <w:color w:val="auto"/>
              </w:rPr>
            </w:pPr>
          </w:p>
        </w:tc>
        <w:tc>
          <w:tcPr>
            <w:tcW w:w="1180" w:type="dxa"/>
            <w:vAlign w:val="bottom"/>
            <w:gridSpan w:val="2"/>
          </w:tcPr>
          <w:p>
            <w:pPr>
              <w:jc w:val="center"/>
              <w:ind w:left="58"/>
              <w:spacing w:after="0" w:line="167" w:lineRule="exact"/>
              <w:rPr>
                <w:sz w:val="20"/>
                <w:szCs w:val="20"/>
                <w:color w:val="auto"/>
              </w:rPr>
            </w:pPr>
            <w:r>
              <w:rPr>
                <w:rFonts w:ascii="Arial" w:cs="Arial" w:eastAsia="Arial" w:hAnsi="Arial"/>
                <w:sz w:val="16"/>
                <w:szCs w:val="16"/>
                <w:b w:val="1"/>
                <w:bCs w:val="1"/>
                <w:color w:val="435F86"/>
                <w:w w:val="94"/>
              </w:rPr>
              <w:t>balance at last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435F86"/>
            </w:tcBorders>
          </w:tcPr>
          <w:p>
            <w:pPr>
              <w:ind w:left="80"/>
              <w:spacing w:after="0"/>
              <w:rPr>
                <w:sz w:val="20"/>
                <w:szCs w:val="20"/>
                <w:color w:val="auto"/>
              </w:rPr>
            </w:pPr>
            <w:r>
              <w:rPr>
                <w:rFonts w:ascii="Arial" w:cs="Arial" w:eastAsia="Arial" w:hAnsi="Arial"/>
                <w:sz w:val="16"/>
                <w:szCs w:val="16"/>
                <w:b w:val="1"/>
                <w:bCs w:val="1"/>
                <w:color w:val="435F86"/>
              </w:rPr>
              <w:t>Name</w:t>
            </w:r>
          </w:p>
        </w:tc>
        <w:tc>
          <w:tcPr>
            <w:tcW w:w="220" w:type="dxa"/>
            <w:vAlign w:val="bottom"/>
            <w:tcBorders>
              <w:bottom w:val="single" w:sz="8" w:color="435F86"/>
            </w:tcBorders>
          </w:tcPr>
          <w:p>
            <w:pPr>
              <w:ind w:left="120"/>
              <w:spacing w:after="0"/>
              <w:rPr>
                <w:sz w:val="20"/>
                <w:szCs w:val="20"/>
                <w:color w:val="auto"/>
              </w:rPr>
            </w:pPr>
            <w:r>
              <w:rPr>
                <w:rFonts w:ascii="Arial" w:cs="Arial" w:eastAsia="Arial" w:hAnsi="Arial"/>
                <w:sz w:val="16"/>
                <w:szCs w:val="16"/>
                <w:b w:val="1"/>
                <w:bCs w:val="1"/>
                <w:color w:val="435F86"/>
              </w:rPr>
              <w:t>​</w:t>
            </w:r>
          </w:p>
        </w:tc>
        <w:tc>
          <w:tcPr>
            <w:tcW w:w="100" w:type="dxa"/>
            <w:vAlign w:val="bottom"/>
            <w:tcBorders>
              <w:bottom w:val="single" w:sz="8" w:color="435F86"/>
            </w:tcBorders>
          </w:tcPr>
          <w:p>
            <w:pPr>
              <w:ind w:left="40"/>
              <w:spacing w:after="0"/>
              <w:rPr>
                <w:sz w:val="20"/>
                <w:szCs w:val="20"/>
                <w:color w:val="auto"/>
              </w:rPr>
            </w:pPr>
            <w:r>
              <w:rPr>
                <w:rFonts w:ascii="Arial" w:cs="Arial" w:eastAsia="Arial" w:hAnsi="Arial"/>
                <w:sz w:val="16"/>
                <w:szCs w:val="16"/>
                <w:b w:val="1"/>
                <w:bCs w:val="1"/>
                <w:color w:val="435F86"/>
              </w:rPr>
              <w:t>​</w:t>
            </w:r>
          </w:p>
        </w:tc>
        <w:tc>
          <w:tcPr>
            <w:tcW w:w="100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1"/>
              </w:rPr>
              <w:t>($)</w:t>
            </w:r>
          </w:p>
        </w:tc>
        <w:tc>
          <w:tcPr>
            <w:tcW w:w="200" w:type="dxa"/>
            <w:vAlign w:val="bottom"/>
            <w:tcBorders>
              <w:bottom w:val="single" w:sz="8" w:color="435F86"/>
            </w:tcBorders>
          </w:tcPr>
          <w:p>
            <w:pPr>
              <w:jc w:val="right"/>
              <w:spacing w:after="0"/>
              <w:rPr>
                <w:sz w:val="20"/>
                <w:szCs w:val="20"/>
                <w:color w:val="auto"/>
              </w:rPr>
            </w:pPr>
            <w:r>
              <w:rPr>
                <w:rFonts w:ascii="Arial" w:cs="Arial" w:eastAsia="Arial" w:hAnsi="Arial"/>
                <w:sz w:val="16"/>
                <w:szCs w:val="16"/>
                <w:b w:val="1"/>
                <w:bCs w:val="1"/>
                <w:color w:val="435F86"/>
              </w:rPr>
              <w:t>​</w:t>
            </w:r>
          </w:p>
        </w:tc>
        <w:tc>
          <w:tcPr>
            <w:tcW w:w="120" w:type="dxa"/>
            <w:vAlign w:val="bottom"/>
            <w:tcBorders>
              <w:bottom w:val="single" w:sz="8" w:color="435F86"/>
            </w:tcBorders>
          </w:tcPr>
          <w:p>
            <w:pPr>
              <w:ind w:left="60"/>
              <w:spacing w:after="0"/>
              <w:rPr>
                <w:sz w:val="20"/>
                <w:szCs w:val="20"/>
                <w:color w:val="auto"/>
              </w:rPr>
            </w:pPr>
            <w:r>
              <w:rPr>
                <w:rFonts w:ascii="Arial" w:cs="Arial" w:eastAsia="Arial" w:hAnsi="Arial"/>
                <w:sz w:val="16"/>
                <w:szCs w:val="16"/>
                <w:b w:val="1"/>
                <w:bCs w:val="1"/>
                <w:color w:val="435F86"/>
              </w:rPr>
              <w:t>​</w:t>
            </w:r>
          </w:p>
        </w:tc>
        <w:tc>
          <w:tcPr>
            <w:tcW w:w="114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89"/>
              </w:rPr>
              <w:t xml:space="preserve">last FY ($) </w:t>
            </w:r>
            <w:r>
              <w:rPr>
                <w:rFonts w:ascii="Arial" w:cs="Arial" w:eastAsia="Arial" w:hAnsi="Arial"/>
                <w:sz w:val="19"/>
                <w:szCs w:val="19"/>
                <w:b w:val="1"/>
                <w:bCs w:val="1"/>
                <w:color w:val="435F86"/>
                <w:w w:val="89"/>
                <w:vertAlign w:val="superscript"/>
              </w:rPr>
              <w:t>(1)</w:t>
            </w:r>
          </w:p>
        </w:tc>
        <w:tc>
          <w:tcPr>
            <w:tcW w:w="200" w:type="dxa"/>
            <w:vAlign w:val="bottom"/>
            <w:tcBorders>
              <w:bottom w:val="single" w:sz="8" w:color="435F86"/>
            </w:tcBorders>
          </w:tcPr>
          <w:p>
            <w:pPr>
              <w:spacing w:after="0"/>
              <w:rPr>
                <w:sz w:val="19"/>
                <w:szCs w:val="19"/>
                <w:color w:val="auto"/>
              </w:rPr>
            </w:pPr>
          </w:p>
        </w:tc>
        <w:tc>
          <w:tcPr>
            <w:tcW w:w="400" w:type="dxa"/>
            <w:vAlign w:val="bottom"/>
            <w:tcBorders>
              <w:bottom w:val="single" w:sz="8" w:color="435F86"/>
            </w:tcBorders>
          </w:tcPr>
          <w:p>
            <w:pPr>
              <w:spacing w:after="0"/>
              <w:rPr>
                <w:sz w:val="19"/>
                <w:szCs w:val="19"/>
                <w:color w:val="auto"/>
              </w:rPr>
            </w:pPr>
          </w:p>
        </w:tc>
        <w:tc>
          <w:tcPr>
            <w:tcW w:w="860" w:type="dxa"/>
            <w:vAlign w:val="bottom"/>
            <w:tcBorders>
              <w:bottom w:val="single" w:sz="8" w:color="435F86"/>
            </w:tcBorders>
          </w:tcPr>
          <w:p>
            <w:pPr>
              <w:jc w:val="right"/>
              <w:ind w:right="176"/>
              <w:spacing w:after="0"/>
              <w:rPr>
                <w:sz w:val="20"/>
                <w:szCs w:val="20"/>
                <w:color w:val="auto"/>
              </w:rPr>
            </w:pPr>
            <w:r>
              <w:rPr>
                <w:rFonts w:ascii="Arial" w:cs="Arial" w:eastAsia="Arial" w:hAnsi="Arial"/>
                <w:sz w:val="16"/>
                <w:szCs w:val="16"/>
                <w:b w:val="1"/>
                <w:bCs w:val="1"/>
                <w:color w:val="435F86"/>
                <w:w w:val="90"/>
              </w:rPr>
              <w:t xml:space="preserve">FY ($) </w:t>
            </w:r>
            <w:r>
              <w:rPr>
                <w:rFonts w:ascii="Arial" w:cs="Arial" w:eastAsia="Arial" w:hAnsi="Arial"/>
                <w:sz w:val="19"/>
                <w:szCs w:val="19"/>
                <w:b w:val="1"/>
                <w:bCs w:val="1"/>
                <w:color w:val="435F86"/>
                <w:w w:val="90"/>
                <w:vertAlign w:val="superscript"/>
              </w:rPr>
              <w:t>(2)</w:t>
            </w:r>
          </w:p>
        </w:tc>
        <w:tc>
          <w:tcPr>
            <w:tcW w:w="200" w:type="dxa"/>
            <w:vAlign w:val="bottom"/>
            <w:tcBorders>
              <w:bottom w:val="single" w:sz="8" w:color="435F86"/>
            </w:tcBorders>
          </w:tcPr>
          <w:p>
            <w:pPr>
              <w:spacing w:after="0"/>
              <w:rPr>
                <w:sz w:val="19"/>
                <w:szCs w:val="19"/>
                <w:color w:val="auto"/>
              </w:rPr>
            </w:pPr>
          </w:p>
        </w:tc>
        <w:tc>
          <w:tcPr>
            <w:tcW w:w="1440" w:type="dxa"/>
            <w:vAlign w:val="bottom"/>
            <w:tcBorders>
              <w:bottom w:val="single" w:sz="8" w:color="435F86"/>
            </w:tcBorders>
            <w:gridSpan w:val="2"/>
          </w:tcPr>
          <w:p>
            <w:pPr>
              <w:jc w:val="center"/>
              <w:spacing w:after="0"/>
              <w:rPr>
                <w:sz w:val="20"/>
                <w:szCs w:val="20"/>
                <w:color w:val="auto"/>
              </w:rPr>
            </w:pPr>
            <w:r>
              <w:rPr>
                <w:rFonts w:ascii="Arial" w:cs="Arial" w:eastAsia="Arial" w:hAnsi="Arial"/>
                <w:sz w:val="16"/>
                <w:szCs w:val="16"/>
                <w:b w:val="1"/>
                <w:bCs w:val="1"/>
                <w:color w:val="435F86"/>
                <w:w w:val="92"/>
              </w:rPr>
              <w:t>distributions ($)</w:t>
            </w:r>
          </w:p>
        </w:tc>
        <w:tc>
          <w:tcPr>
            <w:tcW w:w="1180" w:type="dxa"/>
            <w:vAlign w:val="bottom"/>
            <w:tcBorders>
              <w:bottom w:val="single" w:sz="8" w:color="435F86"/>
            </w:tcBorders>
            <w:gridSpan w:val="2"/>
          </w:tcPr>
          <w:p>
            <w:pPr>
              <w:jc w:val="center"/>
              <w:ind w:left="78"/>
              <w:spacing w:after="0"/>
              <w:rPr>
                <w:sz w:val="20"/>
                <w:szCs w:val="20"/>
                <w:color w:val="auto"/>
              </w:rPr>
            </w:pPr>
            <w:r>
              <w:rPr>
                <w:rFonts w:ascii="Arial" w:cs="Arial" w:eastAsia="Arial" w:hAnsi="Arial"/>
                <w:sz w:val="16"/>
                <w:szCs w:val="16"/>
                <w:b w:val="1"/>
                <w:bCs w:val="1"/>
                <w:color w:val="435F86"/>
                <w:w w:val="87"/>
              </w:rPr>
              <w:t xml:space="preserve">FYE ($) </w:t>
            </w:r>
            <w:r>
              <w:rPr>
                <w:rFonts w:ascii="Arial" w:cs="Arial" w:eastAsia="Arial" w:hAnsi="Arial"/>
                <w:sz w:val="19"/>
                <w:szCs w:val="19"/>
                <w:b w:val="1"/>
                <w:bCs w:val="1"/>
                <w:color w:val="435F86"/>
                <w:w w:val="87"/>
                <w:vertAlign w:val="superscript"/>
              </w:rPr>
              <w:t>(3)</w:t>
            </w:r>
          </w:p>
        </w:tc>
        <w:tc>
          <w:tcPr>
            <w:tcW w:w="80" w:type="dxa"/>
            <w:vAlign w:val="bottom"/>
            <w:tcBorders>
              <w:bottom w:val="single" w:sz="8" w:color="435F86"/>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800" w:type="dxa"/>
            <w:vAlign w:val="bottom"/>
            <w:tcBorders>
              <w:bottom w:val="single" w:sz="8" w:color="7B8FAA"/>
            </w:tcBorders>
            <w:gridSpan w:val="2"/>
            <w:shd w:val="clear" w:color="auto" w:fill="CCEEFF"/>
          </w:tcPr>
          <w:p>
            <w:pPr>
              <w:ind w:left="80"/>
              <w:spacing w:after="0" w:line="252" w:lineRule="exact"/>
              <w:rPr>
                <w:sz w:val="20"/>
                <w:szCs w:val="20"/>
                <w:color w:val="auto"/>
              </w:rPr>
            </w:pPr>
            <w:r>
              <w:rPr>
                <w:rFonts w:ascii="Arial" w:cs="Arial" w:eastAsia="Arial" w:hAnsi="Arial"/>
                <w:sz w:val="16"/>
                <w:szCs w:val="16"/>
                <w:color w:val="auto"/>
              </w:rPr>
              <w:t xml:space="preserve">Michael B. Petras, Jr. </w:t>
            </w:r>
            <w:r>
              <w:rPr>
                <w:rFonts w:ascii="Arial" w:cs="Arial" w:eastAsia="Arial" w:hAnsi="Arial"/>
                <w:sz w:val="29"/>
                <w:szCs w:val="29"/>
                <w:color w:val="auto"/>
                <w:vertAlign w:val="subscript"/>
              </w:rPr>
              <w:t>​</w:t>
            </w:r>
          </w:p>
        </w:tc>
        <w:tc>
          <w:tcPr>
            <w:tcW w:w="1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7B8FAA"/>
            </w:tcBorders>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2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7B8FAA"/>
            </w:tcBorders>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20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7B8FAA"/>
            </w:tcBorders>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7B8FAA"/>
            </w:tcBorders>
            <w:shd w:val="clear" w:color="auto" w:fill="CCEEFF"/>
          </w:tcPr>
          <w:p>
            <w:pPr>
              <w:jc w:val="center"/>
              <w:ind w:left="82"/>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22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7B8FAA"/>
            </w:tcBorders>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58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rPr>
              <w:t>Jonathan M. Lyons</w:t>
            </w:r>
          </w:p>
        </w:tc>
        <w:tc>
          <w:tcPr>
            <w:tcW w:w="220" w:type="dxa"/>
            <w:vAlign w:val="bottom"/>
            <w:tcBorders>
              <w:bottom w:val="single" w:sz="8" w:color="7B8FAA"/>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7B8FAA"/>
            </w:tcBorders>
          </w:tcPr>
          <w:p>
            <w:pPr>
              <w:jc w:val="center"/>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20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 ​</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7B8FAA"/>
            </w:tcBorders>
          </w:tcPr>
          <w:p>
            <w:pPr>
              <w:jc w:val="center"/>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20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7B8FAA"/>
            </w:tcBorders>
          </w:tcPr>
          <w:p>
            <w:pPr>
              <w:ind w:left="3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7B8FAA"/>
            </w:tcBorders>
          </w:tcPr>
          <w:p>
            <w:pPr>
              <w:jc w:val="right"/>
              <w:ind w:right="1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7B8FAA"/>
            </w:tcBorders>
          </w:tcPr>
          <w:p>
            <w:pPr>
              <w:jc w:val="center"/>
              <w:ind w:left="82"/>
              <w:spacing w:after="0" w:line="252" w:lineRule="exact"/>
              <w:rPr>
                <w:sz w:val="20"/>
                <w:szCs w:val="20"/>
                <w:color w:val="auto"/>
              </w:rPr>
            </w:pPr>
            <w:r>
              <w:rPr>
                <w:rFonts w:ascii="Arial" w:cs="Arial" w:eastAsia="Arial" w:hAnsi="Arial"/>
                <w:sz w:val="16"/>
                <w:szCs w:val="16"/>
                <w:color w:val="auto"/>
                <w:w w:val="92"/>
              </w:rPr>
              <w:t>​</w:t>
            </w:r>
            <w:r>
              <w:rPr>
                <w:rFonts w:ascii="Arial" w:cs="Arial" w:eastAsia="Arial" w:hAnsi="Arial"/>
                <w:sz w:val="29"/>
                <w:szCs w:val="29"/>
                <w:color w:val="auto"/>
                <w:w w:val="92"/>
                <w:vertAlign w:val="superscript"/>
              </w:rPr>
              <w:t>—</w:t>
            </w:r>
          </w:p>
        </w:tc>
        <w:tc>
          <w:tcPr>
            <w:tcW w:w="220" w:type="dxa"/>
            <w:vAlign w:val="bottom"/>
            <w:tcBorders>
              <w:bottom w:val="single" w:sz="8" w:color="7B8FAA"/>
            </w:tcBorders>
          </w:tcPr>
          <w:p>
            <w:pPr>
              <w:ind w:left="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7B8FAA"/>
            </w:tcBorders>
          </w:tcPr>
          <w:p>
            <w:pPr>
              <w:ind w:left="24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ind w:right="1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58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P. Rutz</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7B8FAA"/>
            </w:tcBorders>
            <w:shd w:val="clear" w:color="auto" w:fill="CCEEFF"/>
          </w:tcPr>
          <w:p>
            <w:pPr>
              <w:jc w:val="center"/>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20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2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7B8FAA"/>
            </w:tcBorders>
            <w:shd w:val="clear" w:color="auto" w:fill="CCEEFF"/>
          </w:tcPr>
          <w:p>
            <w:pPr>
              <w:jc w:val="center"/>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20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7B8FAA"/>
            </w:tcBorders>
            <w:gridSpan w:val="2"/>
            <w:shd w:val="clear" w:color="auto" w:fill="CCEEFF"/>
          </w:tcPr>
          <w:p>
            <w:pPr>
              <w:jc w:val="right"/>
              <w:ind w:right="116"/>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$ 60,780</w:t>
            </w:r>
          </w:p>
        </w:tc>
        <w:tc>
          <w:tcPr>
            <w:tcW w:w="20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7B8FAA"/>
            </w:tcBorders>
            <w:shd w:val="clear" w:color="auto" w:fill="CCEEFF"/>
          </w:tcPr>
          <w:p>
            <w:pPr>
              <w:jc w:val="center"/>
              <w:ind w:left="82"/>
              <w:spacing w:after="0" w:line="252" w:lineRule="exact"/>
              <w:rPr>
                <w:sz w:val="20"/>
                <w:szCs w:val="20"/>
                <w:color w:val="auto"/>
              </w:rPr>
            </w:pPr>
            <w:r>
              <w:rPr>
                <w:rFonts w:ascii="Arial" w:cs="Arial" w:eastAsia="Arial" w:hAnsi="Arial"/>
                <w:sz w:val="16"/>
                <w:szCs w:val="16"/>
                <w:color w:val="auto"/>
                <w:w w:val="92"/>
              </w:rPr>
              <w:t>​</w:t>
            </w:r>
            <w:r>
              <w:rPr>
                <w:rFonts w:ascii="Arial" w:cs="Arial" w:eastAsia="Arial" w:hAnsi="Arial"/>
                <w:sz w:val="29"/>
                <w:szCs w:val="29"/>
                <w:color w:val="auto"/>
                <w:w w:val="92"/>
                <w:vertAlign w:val="superscript"/>
              </w:rPr>
              <w:t>—</w:t>
            </w:r>
          </w:p>
        </w:tc>
        <w:tc>
          <w:tcPr>
            <w:tcW w:w="220" w:type="dxa"/>
            <w:vAlign w:val="bottom"/>
            <w:tcBorders>
              <w:bottom w:val="single" w:sz="8" w:color="7B8FAA"/>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7B8FAA"/>
            </w:tcBorders>
            <w:shd w:val="clear" w:color="auto" w:fill="CCEEFF"/>
          </w:tcPr>
          <w:p>
            <w:pPr>
              <w:ind w:left="240"/>
              <w:spacing w:after="0" w:line="252"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perscript"/>
              </w:rPr>
              <w:t>$</w:t>
            </w:r>
          </w:p>
        </w:tc>
        <w:tc>
          <w:tcPr>
            <w:tcW w:w="76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304,247</w:t>
            </w:r>
          </w:p>
        </w:tc>
        <w:tc>
          <w:tcPr>
            <w:tcW w:w="80" w:type="dxa"/>
            <w:vAlign w:val="bottom"/>
            <w:tcBorders>
              <w:bottom w:val="single" w:sz="8" w:color="7B8FAA"/>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3"/>
        </w:trPr>
        <w:tc>
          <w:tcPr>
            <w:tcW w:w="1580" w:type="dxa"/>
            <w:vAlign w:val="bottom"/>
            <w:tcBorders>
              <w:bottom w:val="single" w:sz="8" w:color="435F86"/>
            </w:tcBorders>
          </w:tcPr>
          <w:p>
            <w:pPr>
              <w:ind w:left="80"/>
              <w:spacing w:after="0"/>
              <w:rPr>
                <w:sz w:val="20"/>
                <w:szCs w:val="20"/>
                <w:color w:val="auto"/>
              </w:rPr>
            </w:pPr>
            <w:r>
              <w:rPr>
                <w:rFonts w:ascii="Arial" w:cs="Arial" w:eastAsia="Arial" w:hAnsi="Arial"/>
                <w:sz w:val="17"/>
                <w:szCs w:val="17"/>
                <w:color w:val="auto"/>
              </w:rPr>
              <w:t>Alexander Dimitrief</w:t>
            </w:r>
          </w:p>
        </w:tc>
        <w:tc>
          <w:tcPr>
            <w:tcW w:w="220" w:type="dxa"/>
            <w:vAlign w:val="bottom"/>
            <w:tcBorders>
              <w:bottom w:val="single" w:sz="8" w:color="435F86"/>
            </w:tcBorders>
          </w:tcPr>
          <w:p>
            <w:pPr>
              <w:ind w:left="1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435F86"/>
            </w:tcBorders>
          </w:tcPr>
          <w:p>
            <w:pPr>
              <w:ind w:left="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435F86"/>
            </w:tcBorders>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20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 ​</w:t>
            </w:r>
          </w:p>
        </w:tc>
        <w:tc>
          <w:tcPr>
            <w:tcW w:w="120" w:type="dxa"/>
            <w:vAlign w:val="bottom"/>
            <w:tcBorders>
              <w:bottom w:val="single" w:sz="8" w:color="435F86"/>
            </w:tcBorders>
          </w:tcPr>
          <w:p>
            <w:pPr>
              <w:ind w:left="6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435F86"/>
            </w:tcBorders>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200" w:type="dxa"/>
            <w:vAlign w:val="bottom"/>
            <w:tcBorders>
              <w:bottom w:val="single" w:sz="8" w:color="435F86"/>
            </w:tcBorders>
          </w:tcPr>
          <w:p>
            <w:pPr>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435F86"/>
            </w:tcBorders>
          </w:tcPr>
          <w:p>
            <w:pPr>
              <w:ind w:left="3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435F86"/>
            </w:tcBorders>
          </w:tcPr>
          <w:p>
            <w:pPr>
              <w:jc w:val="right"/>
              <w:ind w:right="116"/>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435F86"/>
            </w:tcBorders>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435F86"/>
            </w:tcBorders>
          </w:tcPr>
          <w:p>
            <w:pPr>
              <w:jc w:val="center"/>
              <w:ind w:left="82"/>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220" w:type="dxa"/>
            <w:vAlign w:val="bottom"/>
            <w:tcBorders>
              <w:bottom w:val="single" w:sz="8" w:color="435F86"/>
            </w:tcBorders>
          </w:tcPr>
          <w:p>
            <w:pPr>
              <w:ind w:left="4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435F86"/>
            </w:tcBorders>
          </w:tcPr>
          <w:p>
            <w:pPr>
              <w:ind w:left="24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435F86"/>
            </w:tcBorders>
          </w:tcPr>
          <w:p>
            <w:pPr>
              <w:jc w:val="right"/>
              <w:ind w:right="1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435F86"/>
            </w:tcBorders>
          </w:tcPr>
          <w:p>
            <w:pPr>
              <w:ind w:lef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120" w:right="579" w:hanging="337"/>
        <w:spacing w:after="0" w:line="275"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Amounts in this column would represent Company contributions to the Supplemental Retirement Benefit Plan. There have been no such contributions to date, and no such contributions are included in the 2024 Summary Compensation Table.</w:t>
      </w:r>
    </w:p>
    <w:p>
      <w:pPr>
        <w:spacing w:after="0" w:line="15" w:lineRule="exact"/>
        <w:rPr>
          <w:rFonts w:ascii="Arial" w:cs="Arial" w:eastAsia="Arial" w:hAnsi="Arial"/>
          <w:sz w:val="17"/>
          <w:szCs w:val="17"/>
          <w:color w:val="auto"/>
        </w:rPr>
      </w:pPr>
    </w:p>
    <w:p>
      <w:pPr>
        <w:jc w:val="both"/>
        <w:ind w:left="1120" w:right="259" w:hanging="337"/>
        <w:spacing w:after="0" w:line="275" w:lineRule="auto"/>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Amounts reported in this column reflect earnings in investment options that are consistent with those offered under the qualified 401(k) Plan. These amounts are not included in the 2024 Summary Compensation Table because the earnings are not “above-market” or preferential.</w:t>
      </w:r>
    </w:p>
    <w:p>
      <w:pPr>
        <w:spacing w:after="0" w:line="15" w:lineRule="exact"/>
        <w:rPr>
          <w:rFonts w:ascii="Arial" w:cs="Arial" w:eastAsia="Arial" w:hAnsi="Arial"/>
          <w:sz w:val="17"/>
          <w:szCs w:val="17"/>
          <w:color w:val="auto"/>
        </w:rPr>
      </w:pPr>
    </w:p>
    <w:p>
      <w:pPr>
        <w:ind w:left="1120" w:hanging="337"/>
        <w:spacing w:after="0"/>
        <w:tabs>
          <w:tab w:leader="none" w:pos="11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This column includes $205,136 previously reported for Mr. Rutz in prior years’ Summary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2458085</wp:posOffset>
            </wp:positionV>
            <wp:extent cx="494665" cy="165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2334260</wp:posOffset>
            </wp:positionV>
            <wp:extent cx="5538470" cy="165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Employment Agreements</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POTENTIAL TERMINATION PAYMENTS</w:t>
      </w:r>
    </w:p>
    <w:p>
      <w:pPr>
        <w:spacing w:after="0" w:line="207" w:lineRule="exact"/>
        <w:rPr>
          <w:sz w:val="20"/>
          <w:szCs w:val="20"/>
          <w:color w:val="auto"/>
        </w:rPr>
      </w:pPr>
    </w:p>
    <w:p>
      <w:pPr>
        <w:ind w:left="780" w:right="179"/>
        <w:spacing w:after="0" w:line="246" w:lineRule="auto"/>
        <w:rPr>
          <w:sz w:val="20"/>
          <w:szCs w:val="20"/>
          <w:color w:val="auto"/>
        </w:rPr>
      </w:pPr>
      <w:r>
        <w:rPr>
          <w:rFonts w:ascii="Arial" w:cs="Arial" w:eastAsia="Arial" w:hAnsi="Arial"/>
          <w:sz w:val="21"/>
          <w:szCs w:val="21"/>
          <w:color w:val="auto"/>
        </w:rPr>
        <w:t>The Company is party to employment agreements with Mr. Petras and Mr. Rutz and offer letters and restrictive covenants agreements with Mr. Dimitrief and Mr. Lyons. Although all our executives are employed “at-will” and their employment can be terminated at any time for any reason with or without cause, the employment agreements with Mr. Petras and Mr. Rutz and the offer letter in effect with Mr. Lyons contain severance provisions. In this section, we describe the compensation agreements in effect with each NEO and describe and quantify the compensation that would have been payable to each NEO under such existing compensation arrangement or plan as of December 31, 2024.</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Employment Agreements</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Employment Agreement with Mr. Michael B. Petras, Jr.</w:t>
      </w:r>
    </w:p>
    <w:p>
      <w:pPr>
        <w:spacing w:after="0" w:line="149" w:lineRule="exact"/>
        <w:rPr>
          <w:sz w:val="20"/>
          <w:szCs w:val="20"/>
          <w:color w:val="auto"/>
        </w:rPr>
      </w:pPr>
    </w:p>
    <w:p>
      <w:pPr>
        <w:ind w:left="780" w:right="199"/>
        <w:spacing w:after="0" w:line="271" w:lineRule="auto"/>
        <w:rPr>
          <w:sz w:val="20"/>
          <w:szCs w:val="20"/>
          <w:color w:val="auto"/>
        </w:rPr>
      </w:pPr>
      <w:r>
        <w:rPr>
          <w:rFonts w:ascii="Arial" w:cs="Arial" w:eastAsia="Arial" w:hAnsi="Arial"/>
          <w:sz w:val="19"/>
          <w:szCs w:val="19"/>
          <w:color w:val="auto"/>
        </w:rPr>
        <w:t>Mr. Petras entered into an employment agreement with our subsidiary, Sotera Health LLC, dated May 25, 2016 (the “CEO Employment Agreement”), pursuant to which he served as CEO and as a member of Topco Parent’s Board of Managers. In connection with the IPO, Sotera Health LLC assigned its rights and obligations under the CEO Employment Agreement to our Company, and we entered into an amended and restated employment agreement with Mr. Petras which replaced his existing employment agreement effective as of the closing of the IPO (the “Amended and Restated CEO Employment Agreement”). Under the terms of the Amended and Restated CEO Employment Agreement, Mr. Petras serves as our CEO and Executive Chairman of our Board. Mr. Petras’ initial annual base salary was set at $1,000,000 as of November 2020, and as of March 2022, Mr. Petras’ annual base salary was set at $1,050,000. See the Summary Compensation Table for information on Mr. Petras’ base salary paid in 2024. Mr. Petras is eligible to receive an annual bonus based on the attainment of certain pre-established performance criteria established by our Board, with his annual target bonus opportunity equal to 125% of his then-current annual base salary.</w:t>
      </w:r>
    </w:p>
    <w:p>
      <w:pPr>
        <w:spacing w:after="0" w:line="142" w:lineRule="exact"/>
        <w:rPr>
          <w:sz w:val="20"/>
          <w:szCs w:val="20"/>
          <w:color w:val="auto"/>
        </w:rPr>
      </w:pPr>
    </w:p>
    <w:p>
      <w:pPr>
        <w:ind w:left="780" w:right="159"/>
        <w:spacing w:after="0" w:line="259" w:lineRule="auto"/>
        <w:rPr>
          <w:sz w:val="20"/>
          <w:szCs w:val="20"/>
          <w:color w:val="auto"/>
        </w:rPr>
      </w:pPr>
      <w:r>
        <w:rPr>
          <w:rFonts w:ascii="Arial" w:cs="Arial" w:eastAsia="Arial" w:hAnsi="Arial"/>
          <w:sz w:val="20"/>
          <w:szCs w:val="20"/>
          <w:color w:val="auto"/>
        </w:rPr>
        <w:t>Under the Amended and Restated CEO Employment Agreement, Mr. Petras is eligible to receive certain payments and benefits in the event of a termination of his employment by us without “cause” or due to his death or disability or a termination of employment by him for “good reason” (as​ each of these terms are defined in the Amended and Restated CEO Employment Agreement), which are described in detail under “Potential Payments Upon Termination or Change in Control” below. Under the Amended and Restated CEO Employment Agreement, Mr. Petras is subject to an indefinite confidentiality clause and non-disparagement clause, as well as non-competition and non-solicitation clauses which shall be effective during the term of employment and for 24 months following termination of employment.</w:t>
      </w:r>
    </w:p>
    <w:p>
      <w:pPr>
        <w:spacing w:after="0" w:line="15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Employment Agreement with Mr. Michael P. Rutz</w:t>
      </w:r>
    </w:p>
    <w:p>
      <w:pPr>
        <w:spacing w:after="0" w:line="149" w:lineRule="exact"/>
        <w:rPr>
          <w:sz w:val="20"/>
          <w:szCs w:val="20"/>
          <w:color w:val="auto"/>
        </w:rPr>
      </w:pPr>
    </w:p>
    <w:p>
      <w:pPr>
        <w:ind w:left="780"/>
        <w:spacing w:after="0"/>
        <w:rPr>
          <w:sz w:val="20"/>
          <w:szCs w:val="20"/>
          <w:color w:val="auto"/>
        </w:rPr>
      </w:pPr>
      <w:r>
        <w:rPr>
          <w:rFonts w:ascii="Arial" w:cs="Arial" w:eastAsia="Arial" w:hAnsi="Arial"/>
          <w:sz w:val="20"/>
          <w:szCs w:val="20"/>
          <w:color w:val="auto"/>
        </w:rPr>
        <w:t>Mr. Rutz entered into an employment agreement with our subsidiary, Sotera Health LLC, dated</w:t>
      </w:r>
    </w:p>
    <w:p>
      <w:pPr>
        <w:spacing w:after="0" w:line="37" w:lineRule="exact"/>
        <w:rPr>
          <w:sz w:val="20"/>
          <w:szCs w:val="20"/>
          <w:color w:val="auto"/>
        </w:rPr>
      </w:pPr>
    </w:p>
    <w:p>
      <w:pPr>
        <w:ind w:left="780"/>
        <w:spacing w:after="0"/>
        <w:rPr>
          <w:sz w:val="20"/>
          <w:szCs w:val="20"/>
          <w:color w:val="auto"/>
        </w:rPr>
      </w:pPr>
      <w:r>
        <w:rPr>
          <w:rFonts w:ascii="Arial" w:cs="Arial" w:eastAsia="Arial" w:hAnsi="Arial"/>
          <w:sz w:val="21"/>
          <w:szCs w:val="21"/>
          <w:color w:val="auto"/>
        </w:rPr>
        <w:t>May 21, 2020 (the “Rutz Employment Agreement”), pursuant to which he serves as President,</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Sterigenics. Under the terms of the Rutz Employment Agreement, Mr. Rutz’s initial annual base</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21"/>
          <w:szCs w:val="21"/>
          <w:color w:val="auto"/>
        </w:rPr>
        <w:t>salary was set at $430,000, and as of April 2024, Mr. Rutz’s annual base salary was set at</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9"/>
          <w:szCs w:val="19"/>
          <w:color w:val="auto"/>
        </w:rPr>
        <w:t>$500,000. See the Summary Compensation Table for information on Mr. Rutz’s base salary paid in</w:t>
      </w:r>
    </w:p>
    <w:p>
      <w:pPr>
        <w:spacing w:after="0" w:line="28" w:lineRule="exact"/>
        <w:rPr>
          <w:sz w:val="20"/>
          <w:szCs w:val="20"/>
          <w:color w:val="auto"/>
        </w:rPr>
      </w:pPr>
    </w:p>
    <w:p>
      <w:pPr>
        <w:ind w:left="780"/>
        <w:spacing w:after="0"/>
        <w:rPr>
          <w:sz w:val="20"/>
          <w:szCs w:val="20"/>
          <w:color w:val="auto"/>
        </w:rPr>
      </w:pPr>
      <w:r>
        <w:rPr>
          <w:rFonts w:ascii="Arial" w:cs="Arial" w:eastAsia="Arial" w:hAnsi="Arial"/>
          <w:sz w:val="21"/>
          <w:szCs w:val="21"/>
          <w:color w:val="auto"/>
        </w:rPr>
        <w:t>2024. Under the Rutz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147320</wp:posOffset>
            </wp:positionV>
            <wp:extent cx="5538470" cy="165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45085</wp:posOffset>
            </wp:positionV>
            <wp:extent cx="6569710"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4"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Employment Agreements</w:t>
      </w:r>
    </w:p>
    <w:p>
      <w:pPr>
        <w:spacing w:after="0" w:line="238" w:lineRule="exact"/>
        <w:rPr>
          <w:sz w:val="20"/>
          <w:szCs w:val="20"/>
          <w:color w:val="auto"/>
        </w:rPr>
      </w:pPr>
    </w:p>
    <w:p>
      <w:pPr>
        <w:ind w:left="780" w:right="879"/>
        <w:spacing w:after="0" w:line="261" w:lineRule="auto"/>
        <w:rPr>
          <w:sz w:val="20"/>
          <w:szCs w:val="20"/>
          <w:color w:val="auto"/>
        </w:rPr>
      </w:pPr>
      <w:r>
        <w:rPr>
          <w:rFonts w:ascii="Arial" w:cs="Arial" w:eastAsia="Arial" w:hAnsi="Arial"/>
          <w:sz w:val="21"/>
          <w:szCs w:val="21"/>
          <w:color w:val="auto"/>
        </w:rPr>
        <w:t>Employment Agreement, Mr. Rutz is also eligible to receive an annual bonus based on his attainment of one or more pre-established performance criteria, with his annual target bonus opportunity equal to 60% of his then-current annual base salary.</w:t>
      </w:r>
    </w:p>
    <w:p>
      <w:pPr>
        <w:spacing w:after="0" w:line="147" w:lineRule="exact"/>
        <w:rPr>
          <w:sz w:val="20"/>
          <w:szCs w:val="20"/>
          <w:color w:val="auto"/>
        </w:rPr>
      </w:pPr>
    </w:p>
    <w:p>
      <w:pPr>
        <w:jc w:val="both"/>
        <w:ind w:left="780" w:right="219"/>
        <w:spacing w:after="0" w:line="273" w:lineRule="auto"/>
        <w:rPr>
          <w:sz w:val="20"/>
          <w:szCs w:val="20"/>
          <w:color w:val="auto"/>
        </w:rPr>
      </w:pPr>
      <w:r>
        <w:rPr>
          <w:rFonts w:ascii="Arial" w:cs="Arial" w:eastAsia="Arial" w:hAnsi="Arial"/>
          <w:sz w:val="19"/>
          <w:szCs w:val="19"/>
          <w:color w:val="auto"/>
        </w:rPr>
        <w:t>In connection with the commencement of Mr. Rutz’s employment, he received a one-time lump sum cash payment equal to $50,000 (the “Rutz Bonus”), which was paid on the first ordinary payroll date following May 21, 2020. If Mr. Rutz’s employment with the Company had been terminated by</w:t>
      </w:r>
    </w:p>
    <w:p>
      <w:pPr>
        <w:spacing w:after="0" w:line="1" w:lineRule="exact"/>
        <w:rPr>
          <w:sz w:val="20"/>
          <w:szCs w:val="20"/>
          <w:color w:val="auto"/>
        </w:rPr>
      </w:pPr>
    </w:p>
    <w:p>
      <w:pPr>
        <w:ind w:left="780" w:right="539"/>
        <w:spacing w:after="0" w:line="244" w:lineRule="auto"/>
        <w:rPr>
          <w:sz w:val="20"/>
          <w:szCs w:val="20"/>
          <w:color w:val="auto"/>
        </w:rPr>
      </w:pPr>
      <w:r>
        <w:rPr>
          <w:rFonts w:ascii="Arial" w:cs="Arial" w:eastAsia="Arial" w:hAnsi="Arial"/>
          <w:sz w:val="21"/>
          <w:szCs w:val="21"/>
          <w:color w:val="auto"/>
        </w:rPr>
        <w:t>Mr. Rutz without “good reason” ​(as described below in “Potential Payments Upon Termination or Change in Control,” but excluding a termination due to Mr. Rutz’s death or disability), or by the Company for “cause,” in each case prior to the second anniversary of the commencement of Mr. Rutz’s employment, he would have been obligated to repay, on a pre-tax basis, a pro-rata portion of the Rutz Bonus.</w:t>
      </w:r>
    </w:p>
    <w:p>
      <w:pPr>
        <w:spacing w:after="0" w:line="180" w:lineRule="exact"/>
        <w:rPr>
          <w:sz w:val="20"/>
          <w:szCs w:val="20"/>
          <w:color w:val="auto"/>
        </w:rPr>
      </w:pPr>
    </w:p>
    <w:p>
      <w:pPr>
        <w:ind w:left="780" w:right="539"/>
        <w:spacing w:after="0" w:line="251" w:lineRule="auto"/>
        <w:rPr>
          <w:sz w:val="20"/>
          <w:szCs w:val="20"/>
          <w:color w:val="auto"/>
        </w:rPr>
      </w:pPr>
      <w:r>
        <w:rPr>
          <w:rFonts w:ascii="Arial" w:cs="Arial" w:eastAsia="Arial" w:hAnsi="Arial"/>
          <w:sz w:val="21"/>
          <w:szCs w:val="21"/>
          <w:color w:val="auto"/>
        </w:rPr>
        <w:t>In addition, under the terms of the Rutz Employment Agreement, Mr. Rutz is entitled to receive a one-time lump sum cash payment equal to $1,500,000, less applicable tax withholdings, upon a change of control, contingent upon his continued employment through the consummation of a change of control.</w:t>
      </w:r>
    </w:p>
    <w:p>
      <w:pPr>
        <w:spacing w:after="0" w:line="158" w:lineRule="exact"/>
        <w:rPr>
          <w:sz w:val="20"/>
          <w:szCs w:val="20"/>
          <w:color w:val="auto"/>
        </w:rPr>
      </w:pPr>
    </w:p>
    <w:p>
      <w:pPr>
        <w:ind w:left="780" w:right="319"/>
        <w:spacing w:after="0" w:line="249" w:lineRule="auto"/>
        <w:rPr>
          <w:sz w:val="20"/>
          <w:szCs w:val="20"/>
          <w:color w:val="auto"/>
        </w:rPr>
      </w:pPr>
      <w:r>
        <w:rPr>
          <w:rFonts w:ascii="Arial" w:cs="Arial" w:eastAsia="Arial" w:hAnsi="Arial"/>
          <w:sz w:val="21"/>
          <w:szCs w:val="21"/>
          <w:color w:val="auto"/>
        </w:rPr>
        <w:t>Under the Rutz Employment Agreement, Mr. Rutz is eligible to receive certain payments and benefits in the event of a termination of his employment by us without “cause” or a termination of employment by him for “good reason” (as​ each of these terms are defined in the Rutz Employment Agreement), which are described in detail under “Potential Payments Upon Termination or Change in Control” below.</w:t>
      </w:r>
    </w:p>
    <w:p>
      <w:pPr>
        <w:spacing w:after="0" w:line="162" w:lineRule="exact"/>
        <w:rPr>
          <w:sz w:val="20"/>
          <w:szCs w:val="20"/>
          <w:color w:val="auto"/>
        </w:rPr>
      </w:pPr>
    </w:p>
    <w:p>
      <w:pPr>
        <w:ind w:left="780" w:right="279"/>
        <w:spacing w:after="0" w:line="301" w:lineRule="auto"/>
        <w:rPr>
          <w:sz w:val="20"/>
          <w:szCs w:val="20"/>
          <w:color w:val="auto"/>
        </w:rPr>
      </w:pPr>
      <w:r>
        <w:rPr>
          <w:rFonts w:ascii="Arial" w:cs="Arial" w:eastAsia="Arial" w:hAnsi="Arial"/>
          <w:sz w:val="19"/>
          <w:szCs w:val="19"/>
          <w:color w:val="auto"/>
        </w:rPr>
        <w:t>Under the Rutz Employment Agreement, Mr. Rutz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109" w:lineRule="exact"/>
        <w:rPr>
          <w:sz w:val="20"/>
          <w:szCs w:val="20"/>
          <w:color w:val="auto"/>
        </w:rPr>
      </w:pPr>
    </w:p>
    <w:p>
      <w:pPr>
        <w:ind w:left="780"/>
        <w:spacing w:after="0"/>
        <w:rPr>
          <w:sz w:val="20"/>
          <w:szCs w:val="20"/>
          <w:color w:val="auto"/>
        </w:rPr>
      </w:pPr>
      <w:r>
        <w:rPr>
          <w:rFonts w:ascii="Arial" w:cs="Arial" w:eastAsia="Arial" w:hAnsi="Arial"/>
          <w:sz w:val="28"/>
          <w:szCs w:val="28"/>
          <w:color w:val="auto"/>
        </w:rPr>
        <w:t>Incentive Agreement with Mr. Michael P. Rutz</w:t>
      </w:r>
    </w:p>
    <w:p>
      <w:pPr>
        <w:spacing w:after="0" w:line="149" w:lineRule="exact"/>
        <w:rPr>
          <w:sz w:val="20"/>
          <w:szCs w:val="20"/>
          <w:color w:val="auto"/>
        </w:rPr>
      </w:pPr>
    </w:p>
    <w:p>
      <w:pPr>
        <w:ind w:left="780" w:right="159"/>
        <w:spacing w:after="0" w:line="272" w:lineRule="auto"/>
        <w:rPr>
          <w:sz w:val="20"/>
          <w:szCs w:val="20"/>
          <w:color w:val="auto"/>
        </w:rPr>
      </w:pPr>
      <w:r>
        <w:rPr>
          <w:rFonts w:ascii="Arial" w:cs="Arial" w:eastAsia="Arial" w:hAnsi="Arial"/>
          <w:sz w:val="19"/>
          <w:szCs w:val="19"/>
          <w:color w:val="auto"/>
        </w:rPr>
        <w:t>Mr. Rutz entered into a Cash Incentive Bonus Agreement with us, dated as of November 7, 2022 (the “Grant Date”), pursuant to which Mr. Rutz is eligible for a cash bonus of $1,000,000 in consideration for his active employment with us through certain vesting dates. Pursuant to the Cash Incentive Bonus Agreement, the Incentive Bonus vests in four installments as follows: (i) 10% vested 6 months from the Grant Date; (ii) 20% vested 12 months from the Grant Date; (iii) 30% will vest</w:t>
      </w:r>
    </w:p>
    <w:p>
      <w:pPr>
        <w:spacing w:after="0" w:line="2" w:lineRule="exact"/>
        <w:rPr>
          <w:sz w:val="20"/>
          <w:szCs w:val="20"/>
          <w:color w:val="auto"/>
        </w:rPr>
      </w:pPr>
    </w:p>
    <w:p>
      <w:pPr>
        <w:ind w:left="780" w:right="299"/>
        <w:spacing w:after="0" w:line="242" w:lineRule="auto"/>
        <w:rPr>
          <w:sz w:val="20"/>
          <w:szCs w:val="20"/>
          <w:color w:val="auto"/>
        </w:rPr>
      </w:pPr>
      <w:r>
        <w:rPr>
          <w:rFonts w:ascii="Arial" w:cs="Arial" w:eastAsia="Arial" w:hAnsi="Arial"/>
          <w:sz w:val="21"/>
          <w:szCs w:val="21"/>
          <w:color w:val="auto"/>
        </w:rPr>
        <w:t>18 months from the Grant Date; and (iv) 40% will vest 24 months from the Grant Date, subject in each case to Mr. Rutz’s continued employment in good standing with the Company through each applicable vesting date. If Mr. Rutz’s employment with the Company and its subsidiaries terminates for any reason prior to any applicable vesting date, any unvested portion of the incentive bonus will be forfeited in its entirety. As of December 31, 2024 the Cash Incentive Bonus Agreement is fully vested and all amounts have been paid.</w:t>
      </w:r>
    </w:p>
    <w:p>
      <w:pPr>
        <w:spacing w:after="0" w:line="177" w:lineRule="exact"/>
        <w:rPr>
          <w:sz w:val="20"/>
          <w:szCs w:val="20"/>
          <w:color w:val="auto"/>
        </w:rPr>
      </w:pPr>
    </w:p>
    <w:p>
      <w:pPr>
        <w:ind w:left="780" w:right="859"/>
        <w:spacing w:after="0" w:line="263" w:lineRule="auto"/>
        <w:rPr>
          <w:sz w:val="20"/>
          <w:szCs w:val="20"/>
          <w:color w:val="auto"/>
        </w:rPr>
      </w:pPr>
      <w:r>
        <w:rPr>
          <w:rFonts w:ascii="Arial" w:cs="Arial" w:eastAsia="Arial" w:hAnsi="Arial"/>
          <w:sz w:val="28"/>
          <w:szCs w:val="28"/>
          <w:color w:val="auto"/>
        </w:rPr>
        <w:t>Offer Letter and Restrictive Covenants Agreement with Mr. Alexander Dimitrief</w:t>
      </w:r>
    </w:p>
    <w:p>
      <w:pPr>
        <w:spacing w:after="0" w:line="77" w:lineRule="exact"/>
        <w:rPr>
          <w:sz w:val="20"/>
          <w:szCs w:val="20"/>
          <w:color w:val="auto"/>
        </w:rPr>
      </w:pPr>
    </w:p>
    <w:p>
      <w:pPr>
        <w:ind w:left="780" w:right="239"/>
        <w:spacing w:after="0" w:line="251" w:lineRule="auto"/>
        <w:rPr>
          <w:sz w:val="20"/>
          <w:szCs w:val="20"/>
          <w:color w:val="auto"/>
        </w:rPr>
      </w:pPr>
      <w:r>
        <w:rPr>
          <w:rFonts w:ascii="Arial" w:cs="Arial" w:eastAsia="Arial" w:hAnsi="Arial"/>
          <w:sz w:val="21"/>
          <w:szCs w:val="21"/>
          <w:color w:val="auto"/>
        </w:rPr>
        <w:t>Mr. Dimitrief is a party to an offer letter with us dated October 28, 2022 (the “Dimitrief Offer Letter”), pursuant to which he serves as Senior Vice President and General Counsel. Mr. Dimitrief’s employment with the Company commenced on November 1, 2022. Under the terms of the Dimitrief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306705</wp:posOffset>
            </wp:positionV>
            <wp:extent cx="494665" cy="165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182880</wp:posOffset>
            </wp:positionV>
            <wp:extent cx="5538470"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Employment Agreements</w:t>
      </w:r>
    </w:p>
    <w:p>
      <w:pPr>
        <w:spacing w:after="0" w:line="238" w:lineRule="exact"/>
        <w:rPr>
          <w:sz w:val="20"/>
          <w:szCs w:val="20"/>
          <w:color w:val="auto"/>
        </w:rPr>
      </w:pPr>
    </w:p>
    <w:p>
      <w:pPr>
        <w:ind w:left="780" w:right="880"/>
        <w:spacing w:after="0" w:line="282" w:lineRule="auto"/>
        <w:rPr>
          <w:sz w:val="20"/>
          <w:szCs w:val="20"/>
          <w:color w:val="auto"/>
        </w:rPr>
      </w:pPr>
      <w:r>
        <w:rPr>
          <w:rFonts w:ascii="Arial" w:cs="Arial" w:eastAsia="Arial" w:hAnsi="Arial"/>
          <w:sz w:val="19"/>
          <w:szCs w:val="19"/>
          <w:color w:val="auto"/>
        </w:rPr>
        <w:t>Mr. Dimitrief’s initial annual base salary in connection with his appointment as Senior Vice President and General Counsel was set at $600,000. See the Summary Compensation Table for information on Mr. Dimitrief’s base salary paid in 2024. Under the Dimitrief Offer Letter, Mr. Dimitrief is also eligible to participate in the Annual Incentive Plan, with his annual target incentive opportunity equal to 50% of his then-current annual base salary. His 2022 award was prorated based on his hire date.</w:t>
      </w:r>
    </w:p>
    <w:p>
      <w:pPr>
        <w:spacing w:after="0" w:line="144" w:lineRule="exact"/>
        <w:rPr>
          <w:sz w:val="20"/>
          <w:szCs w:val="20"/>
          <w:color w:val="auto"/>
        </w:rPr>
      </w:pPr>
    </w:p>
    <w:p>
      <w:pPr>
        <w:ind w:left="780" w:right="840"/>
        <w:spacing w:after="0" w:line="246" w:lineRule="auto"/>
        <w:rPr>
          <w:sz w:val="20"/>
          <w:szCs w:val="20"/>
          <w:color w:val="auto"/>
        </w:rPr>
      </w:pPr>
      <w:r>
        <w:rPr>
          <w:rFonts w:ascii="Arial" w:cs="Arial" w:eastAsia="Arial" w:hAnsi="Arial"/>
          <w:sz w:val="21"/>
          <w:szCs w:val="21"/>
          <w:color w:val="auto"/>
        </w:rPr>
        <w:t>In connection with the commencement of Mr. Dimitrief’s employment, he received a grant of stock options and restricted stock, in each case with a targeted grant date fair value of $1,500,000 and which will vested, in each case, in two equal installments on October 31, 2023 and October 31, 2024, subject to the terms and conditions of the 2020 Incentive Plan, as well as any applicable grant notices and agreements.</w:t>
      </w:r>
    </w:p>
    <w:p>
      <w:pPr>
        <w:spacing w:after="0" w:line="177" w:lineRule="exact"/>
        <w:rPr>
          <w:sz w:val="20"/>
          <w:szCs w:val="20"/>
          <w:color w:val="auto"/>
        </w:rPr>
      </w:pPr>
    </w:p>
    <w:p>
      <w:pPr>
        <w:ind w:left="780" w:right="840"/>
        <w:spacing w:after="0" w:line="273" w:lineRule="auto"/>
        <w:rPr>
          <w:sz w:val="20"/>
          <w:szCs w:val="20"/>
          <w:color w:val="auto"/>
        </w:rPr>
      </w:pPr>
      <w:r>
        <w:rPr>
          <w:rFonts w:ascii="Arial" w:cs="Arial" w:eastAsia="Arial" w:hAnsi="Arial"/>
          <w:sz w:val="19"/>
          <w:szCs w:val="19"/>
          <w:color w:val="auto"/>
        </w:rPr>
        <w:t>Also in connection with the commencement of Mr. Dimitrief’s employment, he received a one-time lump sum cash payment equal to $1,500,000 (the “Dimitrief Bonus”), which was paid on the first ordinary payroll date in November 2022. If Mr. Dimitrief’s employment with the Company had terminated by Mr. Dimitrief for any reason other than due to death or disability, or by the Company for “cause,” in each case prior to the second anniversary of the commencement of Mr. Dimitrief’s employment, he would have been obligated to repay, on a pre-tax basis, a pro-rata portion of the Dimitrief Bonus. The Dimitrief Offer Letter does not provide for any severance payments in the event of a termination of his employment by Mr. Dimitrief or us, with or without cause or advance notice.</w:t>
      </w:r>
    </w:p>
    <w:p>
      <w:pPr>
        <w:spacing w:after="0" w:line="153" w:lineRule="exact"/>
        <w:rPr>
          <w:sz w:val="20"/>
          <w:szCs w:val="20"/>
          <w:color w:val="auto"/>
        </w:rPr>
      </w:pPr>
    </w:p>
    <w:p>
      <w:pPr>
        <w:ind w:left="780" w:right="840"/>
        <w:spacing w:after="0" w:line="246" w:lineRule="auto"/>
        <w:rPr>
          <w:sz w:val="20"/>
          <w:szCs w:val="20"/>
          <w:color w:val="auto"/>
        </w:rPr>
      </w:pPr>
      <w:r>
        <w:rPr>
          <w:rFonts w:ascii="Arial" w:cs="Arial" w:eastAsia="Arial" w:hAnsi="Arial"/>
          <w:sz w:val="21"/>
          <w:szCs w:val="21"/>
          <w:color w:val="auto"/>
        </w:rPr>
        <w:t>In connection with the commencement of his employment and in consideration of the terms of the Dimitrief Offer Letter, Mr. Dimitrief also entered into a restrictive covenants agreement dated November 1, 2022 (the “Dimitrief RCA”). Per the terms of the Dimitrief RCA, Mr. Dimitrief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28"/>
          <w:szCs w:val="28"/>
          <w:color w:val="auto"/>
        </w:rPr>
        <w:t>Offer Letter and Restrictive Covenants Agreement with Mr. Jonathan Lyons</w:t>
      </w:r>
    </w:p>
    <w:p>
      <w:pPr>
        <w:spacing w:after="0" w:line="149" w:lineRule="exact"/>
        <w:rPr>
          <w:sz w:val="20"/>
          <w:szCs w:val="20"/>
          <w:color w:val="auto"/>
        </w:rPr>
      </w:pPr>
    </w:p>
    <w:p>
      <w:pPr>
        <w:ind w:left="780" w:right="800"/>
        <w:spacing w:after="0" w:line="271" w:lineRule="auto"/>
        <w:rPr>
          <w:sz w:val="20"/>
          <w:szCs w:val="20"/>
          <w:color w:val="auto"/>
        </w:rPr>
      </w:pPr>
      <w:r>
        <w:rPr>
          <w:rFonts w:ascii="Arial" w:cs="Arial" w:eastAsia="Arial" w:hAnsi="Arial"/>
          <w:sz w:val="19"/>
          <w:szCs w:val="19"/>
          <w:color w:val="auto"/>
        </w:rPr>
        <w:t>Mr. Lyons is a party to an offer letter with us dated May 31, 2023, as amended and restated February 26, 2024 and further amended and restated as of February 26, 2025 (the “Lyons Offer Letter”), pursuant to which he serves as Senior Vice President and Chief Financial Officer. Mr. Lyons’ employment with the Company commenced on June 26, 2023. Under the terms of the Lyons Offer Letter, Mr. Lyons’ initial annual base salary in connection with his appointment as Senior Vice President and Chief Financial Officer was set at $475,000. See the Summary Compensation Table for information on Mr. Lyons’ base salary paid in 2024. Under the Lyons Offer Letter, Mr. Lyons is eligible to participate in the Annual Incentive Plan, with his annual target incentive opportunity equal to 70% of his then-current annual base salary and his 2023 award was prorated based on his hire date. Under the Lyons Offer Letter, Mr. Lyons is also eligible to participate in the Long-Term Incentive Plan, with his annual target grant date fair value of $1,200,000, which will be comprised of stock options and restricted stock units and was prorated 50% for 2023.</w:t>
      </w:r>
    </w:p>
    <w:p>
      <w:pPr>
        <w:spacing w:after="0" w:line="155" w:lineRule="exact"/>
        <w:rPr>
          <w:sz w:val="20"/>
          <w:szCs w:val="20"/>
          <w:color w:val="auto"/>
        </w:rPr>
      </w:pPr>
    </w:p>
    <w:p>
      <w:pPr>
        <w:ind w:left="780"/>
        <w:spacing w:after="0"/>
        <w:rPr>
          <w:sz w:val="20"/>
          <w:szCs w:val="20"/>
          <w:color w:val="auto"/>
        </w:rPr>
      </w:pPr>
      <w:r>
        <w:rPr>
          <w:rFonts w:ascii="Arial" w:cs="Arial" w:eastAsia="Arial" w:hAnsi="Arial"/>
          <w:sz w:val="21"/>
          <w:szCs w:val="21"/>
          <w:color w:val="auto"/>
        </w:rPr>
        <w:t>In August 2023, Mr. Lyons also received an equity replacement award comprised of restricted</w:t>
      </w:r>
    </w:p>
    <w:p>
      <w:pPr>
        <w:spacing w:after="0" w:line="25" w:lineRule="exact"/>
        <w:rPr>
          <w:sz w:val="20"/>
          <w:szCs w:val="20"/>
          <w:color w:val="auto"/>
        </w:rPr>
      </w:pPr>
    </w:p>
    <w:p>
      <w:pPr>
        <w:ind w:left="780" w:right="820"/>
        <w:spacing w:after="0" w:line="283" w:lineRule="auto"/>
        <w:rPr>
          <w:sz w:val="20"/>
          <w:szCs w:val="20"/>
          <w:color w:val="auto"/>
        </w:rPr>
      </w:pPr>
      <w:r>
        <w:rPr>
          <w:rFonts w:ascii="Arial" w:cs="Arial" w:eastAsia="Arial" w:hAnsi="Arial"/>
          <w:sz w:val="19"/>
          <w:szCs w:val="19"/>
          <w:color w:val="auto"/>
        </w:rPr>
        <w:t>stock units, with a targeted grant date fair value of $1,000,000. These restricted stock units vested or will vest in three substantially equal installments on August 5, 2024, August 5, 2025 and August 5, 2026, subject to the terms and conditions of the 2020 Incentive Plan, as well as any applicable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123190</wp:posOffset>
            </wp:positionV>
            <wp:extent cx="5538470" cy="165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60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Employment Agreements</w:t>
      </w:r>
    </w:p>
    <w:p>
      <w:pPr>
        <w:spacing w:after="0" w:line="238" w:lineRule="exact"/>
        <w:rPr>
          <w:sz w:val="20"/>
          <w:szCs w:val="20"/>
          <w:color w:val="auto"/>
        </w:rPr>
      </w:pPr>
    </w:p>
    <w:p>
      <w:pPr>
        <w:ind w:left="780" w:right="159"/>
        <w:spacing w:after="0" w:line="244" w:lineRule="auto"/>
        <w:rPr>
          <w:sz w:val="20"/>
          <w:szCs w:val="20"/>
          <w:color w:val="auto"/>
        </w:rPr>
      </w:pPr>
      <w:r>
        <w:rPr>
          <w:rFonts w:ascii="Arial" w:cs="Arial" w:eastAsia="Arial" w:hAnsi="Arial"/>
          <w:sz w:val="21"/>
          <w:szCs w:val="21"/>
          <w:color w:val="auto"/>
        </w:rPr>
        <w:t>notices and agreements. In addition, to replace the forgone value of Mr. Lyons’ annual cash incentive award from his prior employer, he received a one-time lump sum cash payment equal to $200,000 (the “Lyons Bonus”), which was paid within the first payroll cycle after June 26, 2023. The Lyons Offer Letter also provides for Mr. Lyons to receive a one-time lump sum cash payment of $100,000 to defray costs associated with commuting to Cleveland, Ohio (the “Lyons Commuting Bonus”), and was paid in the final payroll cycle of April 2024. If Mr. Lyons’ employment with the Company is terminated by Mr. Lyons for any reason other than due to death or disability, or by the Company for “cause” (as​ defined in the Lyons Offer Letter) in each case prior to the second anniversary of the commencement of Mr. Lyons’ employment, he will be obligated to repay, on a pre-tax basis, a pro-rata portion of the Lyons Bonus and a pro-rata portion of the Lyons Commuting Bonus.</w:t>
      </w:r>
    </w:p>
    <w:p>
      <w:pPr>
        <w:spacing w:after="0" w:line="181" w:lineRule="exact"/>
        <w:rPr>
          <w:sz w:val="20"/>
          <w:szCs w:val="20"/>
          <w:color w:val="auto"/>
        </w:rPr>
      </w:pPr>
    </w:p>
    <w:p>
      <w:pPr>
        <w:ind w:left="780" w:right="299"/>
        <w:spacing w:after="0" w:line="254" w:lineRule="auto"/>
        <w:rPr>
          <w:sz w:val="20"/>
          <w:szCs w:val="20"/>
          <w:color w:val="auto"/>
        </w:rPr>
      </w:pPr>
      <w:r>
        <w:rPr>
          <w:rFonts w:ascii="Arial" w:cs="Arial" w:eastAsia="Arial" w:hAnsi="Arial"/>
          <w:sz w:val="21"/>
          <w:szCs w:val="21"/>
          <w:color w:val="auto"/>
        </w:rPr>
        <w:t>Under the Lyons Offer Letter, Mr. Lyons is eligible to receive certain payments and benefits in the event of a termination of his employment by us without “cause,” which are described in detail under “Potential Payments Upon Termination or Change in Control” below.</w:t>
      </w:r>
    </w:p>
    <w:p>
      <w:pPr>
        <w:spacing w:after="0" w:line="168" w:lineRule="exact"/>
        <w:rPr>
          <w:sz w:val="20"/>
          <w:szCs w:val="20"/>
          <w:color w:val="auto"/>
        </w:rPr>
      </w:pPr>
    </w:p>
    <w:p>
      <w:pPr>
        <w:ind w:left="780" w:right="159"/>
        <w:spacing w:after="0" w:line="246" w:lineRule="auto"/>
        <w:rPr>
          <w:sz w:val="20"/>
          <w:szCs w:val="20"/>
          <w:color w:val="auto"/>
        </w:rPr>
      </w:pPr>
      <w:r>
        <w:rPr>
          <w:rFonts w:ascii="Arial" w:cs="Arial" w:eastAsia="Arial" w:hAnsi="Arial"/>
          <w:sz w:val="21"/>
          <w:szCs w:val="21"/>
          <w:color w:val="auto"/>
        </w:rPr>
        <w:t>In connection with the commencement of his employment and in consideration of the terms of the Lyons Offer Letter, Mr. Lyons also entered into a restrictive covenants agreement dated June 26, 2023 (the “Lyons RCA”). Per the terms of the Lyons RCA, Mr. Lyons is subject to an indefinite confidentiality clause and non-disparagement clause, as well as non-competition and non-solicitation clauses which shall be effective during the term of employment and for 12 months following termination of employment.</w:t>
      </w:r>
    </w:p>
    <w:p>
      <w:pPr>
        <w:spacing w:after="0" w:line="25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Potential Payments Upon Termination or Change in Control</w:t>
      </w:r>
    </w:p>
    <w:p>
      <w:pPr>
        <w:spacing w:after="0" w:line="211" w:lineRule="exact"/>
        <w:rPr>
          <w:sz w:val="20"/>
          <w:szCs w:val="20"/>
          <w:color w:val="auto"/>
        </w:rPr>
      </w:pPr>
    </w:p>
    <w:p>
      <w:pPr>
        <w:ind w:left="780" w:right="699"/>
        <w:spacing w:after="0" w:line="263" w:lineRule="auto"/>
        <w:rPr>
          <w:sz w:val="20"/>
          <w:szCs w:val="20"/>
          <w:color w:val="auto"/>
        </w:rPr>
      </w:pPr>
      <w:r>
        <w:rPr>
          <w:rFonts w:ascii="Arial" w:cs="Arial" w:eastAsia="Arial" w:hAnsi="Arial"/>
          <w:sz w:val="28"/>
          <w:szCs w:val="28"/>
          <w:color w:val="auto"/>
        </w:rPr>
        <w:t>Potential Payments as Provided in Employment Agreements and Offer Letters</w:t>
      </w:r>
    </w:p>
    <w:p>
      <w:pPr>
        <w:spacing w:after="0" w:line="77" w:lineRule="exact"/>
        <w:rPr>
          <w:sz w:val="20"/>
          <w:szCs w:val="20"/>
          <w:color w:val="auto"/>
        </w:rPr>
      </w:pPr>
    </w:p>
    <w:p>
      <w:pPr>
        <w:jc w:val="both"/>
        <w:ind w:left="780" w:right="199"/>
        <w:spacing w:after="0" w:line="251" w:lineRule="auto"/>
        <w:rPr>
          <w:sz w:val="20"/>
          <w:szCs w:val="20"/>
          <w:color w:val="auto"/>
        </w:rPr>
      </w:pPr>
      <w:r>
        <w:rPr>
          <w:rFonts w:ascii="Arial" w:cs="Arial" w:eastAsia="Arial" w:hAnsi="Arial"/>
          <w:sz w:val="21"/>
          <w:szCs w:val="21"/>
          <w:color w:val="auto"/>
        </w:rPr>
        <w:t>In addition to the treatment described below in “Treatment of NEO Equity Awards Upon Termination or Change in Control,” our NEOs are entitled to the following payments on certain terminations or a change in control of the Company pursuant to the terms of their respective employment agreements or offer letters.</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28"/>
          <w:szCs w:val="28"/>
          <w:color w:val="auto"/>
        </w:rPr>
        <w:t>Potential Payments to Mr. Michael B. Petras, Jr.</w:t>
      </w:r>
    </w:p>
    <w:p>
      <w:pPr>
        <w:spacing w:after="0" w:line="149" w:lineRule="exact"/>
        <w:rPr>
          <w:sz w:val="20"/>
          <w:szCs w:val="20"/>
          <w:color w:val="auto"/>
        </w:rPr>
      </w:pPr>
    </w:p>
    <w:p>
      <w:pPr>
        <w:ind w:left="780" w:right="359"/>
        <w:spacing w:after="0" w:line="246" w:lineRule="auto"/>
        <w:rPr>
          <w:sz w:val="20"/>
          <w:szCs w:val="20"/>
          <w:color w:val="auto"/>
        </w:rPr>
      </w:pPr>
      <w:r>
        <w:rPr>
          <w:rFonts w:ascii="Arial" w:cs="Arial" w:eastAsia="Arial" w:hAnsi="Arial"/>
          <w:sz w:val="21"/>
          <w:szCs w:val="21"/>
          <w:color w:val="auto"/>
        </w:rPr>
        <w:t>Under the Amended and Restated CEO Employment Agreement, 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72" w:lineRule="exact"/>
        <w:rPr>
          <w:sz w:val="20"/>
          <w:szCs w:val="20"/>
          <w:color w:val="auto"/>
        </w:rPr>
      </w:pPr>
    </w:p>
    <w:p>
      <w:pPr>
        <w:ind w:left="1120" w:right="239" w:hanging="337"/>
        <w:spacing w:after="0" w:line="254" w:lineRule="auto"/>
        <w:tabs>
          <w:tab w:leader="none" w:pos="1120" w:val="left"/>
        </w:tabs>
        <w:numPr>
          <w:ilvl w:val="0"/>
          <w:numId w:val="43"/>
        </w:numPr>
        <w:rPr>
          <w:rFonts w:ascii="Arial" w:cs="Arial" w:eastAsia="Arial" w:hAnsi="Arial"/>
          <w:sz w:val="21"/>
          <w:szCs w:val="21"/>
          <w:color w:val="435F86"/>
        </w:rPr>
      </w:pPr>
      <w:r>
        <w:rPr>
          <w:rFonts w:ascii="Arial" w:cs="Arial" w:eastAsia="Arial" w:hAnsi="Arial"/>
          <w:sz w:val="21"/>
          <w:szCs w:val="21"/>
          <w:color w:val="auto"/>
        </w:rPr>
        <w:t>An amount equal to two-times (2x) his then-current annual base salary (determined before any reduction that gave rise to executive’s right to terminate employment for “good reason”) payable in a lump sum within 60 days following his termination date;</w:t>
      </w:r>
    </w:p>
    <w:p>
      <w:pPr>
        <w:spacing w:after="0" w:line="63" w:lineRule="exact"/>
        <w:rPr>
          <w:rFonts w:ascii="Arial" w:cs="Arial" w:eastAsia="Arial" w:hAnsi="Arial"/>
          <w:sz w:val="21"/>
          <w:szCs w:val="21"/>
          <w:color w:val="435F86"/>
        </w:rPr>
      </w:pPr>
    </w:p>
    <w:p>
      <w:pPr>
        <w:ind w:left="1120" w:right="719" w:hanging="337"/>
        <w:spacing w:after="0" w:line="254" w:lineRule="auto"/>
        <w:tabs>
          <w:tab w:leader="none" w:pos="1120" w:val="left"/>
        </w:tabs>
        <w:numPr>
          <w:ilvl w:val="0"/>
          <w:numId w:val="43"/>
        </w:numPr>
        <w:rPr>
          <w:rFonts w:ascii="Arial" w:cs="Arial" w:eastAsia="Arial" w:hAnsi="Arial"/>
          <w:sz w:val="21"/>
          <w:szCs w:val="21"/>
          <w:color w:val="435F86"/>
        </w:rPr>
      </w:pPr>
      <w:r>
        <w:rPr>
          <w:rFonts w:ascii="Arial" w:cs="Arial" w:eastAsia="Arial" w:hAnsi="Arial"/>
          <w:sz w:val="21"/>
          <w:szCs w:val="21"/>
          <w:color w:val="auto"/>
        </w:rPr>
        <w:t>If Mr. Petras elects COBRA, monthly reimbursement of the COBRA premiums incurred by Mr. Petras in an amount equal to the employer portion of the health insurance coverage provided to active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304800</wp:posOffset>
            </wp:positionV>
            <wp:extent cx="494665" cy="165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180975</wp:posOffset>
            </wp:positionV>
            <wp:extent cx="5538470" cy="16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238" w:lineRule="exact"/>
        <w:rPr>
          <w:sz w:val="20"/>
          <w:szCs w:val="20"/>
          <w:color w:val="auto"/>
        </w:rPr>
      </w:pPr>
    </w:p>
    <w:p>
      <w:pPr>
        <w:ind w:left="1120" w:right="1380"/>
        <w:spacing w:after="0" w:line="327" w:lineRule="auto"/>
        <w:rPr>
          <w:sz w:val="20"/>
          <w:szCs w:val="20"/>
          <w:color w:val="auto"/>
        </w:rPr>
      </w:pPr>
      <w:r>
        <w:rPr>
          <w:rFonts w:ascii="Arial" w:cs="Arial" w:eastAsia="Arial" w:hAnsi="Arial"/>
          <w:sz w:val="19"/>
          <w:szCs w:val="19"/>
          <w:color w:val="auto"/>
        </w:rPr>
        <w:t>employees for up to 12 months, provided that this benefit will cease if Mr. Petras becomes reemployed with another employer prior to the expiration of the 12 month period; and</w:t>
      </w:r>
    </w:p>
    <w:p>
      <w:pPr>
        <w:spacing w:after="0" w:line="2" w:lineRule="exact"/>
        <w:rPr>
          <w:sz w:val="20"/>
          <w:szCs w:val="20"/>
          <w:color w:val="auto"/>
        </w:rPr>
      </w:pPr>
    </w:p>
    <w:p>
      <w:pPr>
        <w:ind w:left="1120" w:right="880" w:hanging="337"/>
        <w:spacing w:after="0" w:line="264" w:lineRule="auto"/>
        <w:tabs>
          <w:tab w:leader="none" w:pos="1120" w:val="left"/>
        </w:tabs>
        <w:numPr>
          <w:ilvl w:val="0"/>
          <w:numId w:val="44"/>
        </w:numPr>
        <w:rPr>
          <w:rFonts w:ascii="Arial" w:cs="Arial" w:eastAsia="Arial" w:hAnsi="Arial"/>
          <w:sz w:val="21"/>
          <w:szCs w:val="21"/>
          <w:color w:val="435F86"/>
        </w:rPr>
      </w:pPr>
      <w:r>
        <w:rPr>
          <w:rFonts w:ascii="Arial" w:cs="Arial" w:eastAsia="Arial" w:hAnsi="Arial"/>
          <w:sz w:val="21"/>
          <w:szCs w:val="21"/>
          <w:color w:val="auto"/>
        </w:rPr>
        <w:t>2 years of additional time-based vesting credit with respect to all then outstanding and unvested equity awards.</w:t>
      </w:r>
    </w:p>
    <w:p>
      <w:pPr>
        <w:spacing w:after="0" w:line="157" w:lineRule="exact"/>
        <w:rPr>
          <w:sz w:val="20"/>
          <w:szCs w:val="20"/>
          <w:color w:val="auto"/>
        </w:rPr>
      </w:pPr>
    </w:p>
    <w:p>
      <w:pPr>
        <w:ind w:left="780"/>
        <w:spacing w:after="0"/>
        <w:rPr>
          <w:sz w:val="20"/>
          <w:szCs w:val="20"/>
          <w:color w:val="auto"/>
        </w:rPr>
      </w:pPr>
      <w:r>
        <w:rPr>
          <w:rFonts w:ascii="Arial" w:cs="Arial" w:eastAsia="Arial" w:hAnsi="Arial"/>
          <w:sz w:val="21"/>
          <w:szCs w:val="21"/>
          <w:color w:val="auto"/>
        </w:rPr>
        <w:t>Under the Amended and Restated CEO Employment Agreement, “cause” generally means</w:t>
      </w:r>
    </w:p>
    <w:p>
      <w:pPr>
        <w:spacing w:after="0" w:line="25" w:lineRule="exact"/>
        <w:rPr>
          <w:sz w:val="20"/>
          <w:szCs w:val="20"/>
          <w:color w:val="auto"/>
        </w:rPr>
      </w:pPr>
    </w:p>
    <w:p>
      <w:pPr>
        <w:ind w:left="780" w:right="780"/>
        <w:spacing w:after="0" w:line="254" w:lineRule="auto"/>
        <w:rPr>
          <w:sz w:val="20"/>
          <w:szCs w:val="20"/>
          <w:color w:val="auto"/>
        </w:rPr>
      </w:pPr>
      <w:r>
        <w:rPr>
          <w:rFonts w:ascii="Arial" w:cs="Arial" w:eastAsia="Arial" w:hAnsi="Arial"/>
          <w:sz w:val="20"/>
          <w:szCs w:val="20"/>
          <w:color w:val="auto"/>
        </w:rPr>
        <w:t>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Mr. Petras resides, (iii) fraud, willful misconduct or gross neglect in the performance of his material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subject to a 30 day cure period, or (v) breach of his non-competition covenant or any material breach of any other restrictive covenants to which Mr. Petras may be subject.</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21"/>
          <w:szCs w:val="21"/>
          <w:color w:val="auto"/>
        </w:rPr>
        <w:t>Under the Amended and Restated CEO Employment Agreement, “good reason” generally means</w:t>
      </w:r>
    </w:p>
    <w:p>
      <w:pPr>
        <w:spacing w:after="0" w:line="12" w:lineRule="exact"/>
        <w:rPr>
          <w:sz w:val="20"/>
          <w:szCs w:val="20"/>
          <w:color w:val="auto"/>
        </w:rPr>
      </w:pPr>
    </w:p>
    <w:p>
      <w:pPr>
        <w:jc w:val="both"/>
        <w:ind w:left="780" w:right="880" w:firstLine="3"/>
        <w:spacing w:after="0" w:line="270" w:lineRule="auto"/>
        <w:tabs>
          <w:tab w:leader="none" w:pos="1001" w:val="left"/>
        </w:tabs>
        <w:numPr>
          <w:ilvl w:val="0"/>
          <w:numId w:val="45"/>
        </w:numPr>
        <w:rPr>
          <w:rFonts w:ascii="Arial" w:cs="Arial" w:eastAsia="Arial" w:hAnsi="Arial"/>
          <w:sz w:val="19"/>
          <w:szCs w:val="19"/>
          <w:color w:val="auto"/>
        </w:rPr>
      </w:pPr>
      <w:r>
        <w:rPr>
          <w:rFonts w:ascii="Arial" w:cs="Arial" w:eastAsia="Arial" w:hAnsi="Arial"/>
          <w:sz w:val="19"/>
          <w:szCs w:val="19"/>
          <w:color w:val="auto"/>
        </w:rPr>
        <w:t>any material reduction in Mr. Petras’ title, status or authority, including, following the completion of the IPO, the failure to elect Mr. Petras to serve as the Executive Chairman of the Board of Directors,</w:t>
      </w:r>
    </w:p>
    <w:p>
      <w:pPr>
        <w:spacing w:after="0" w:line="1" w:lineRule="exact"/>
        <w:rPr>
          <w:rFonts w:ascii="Arial" w:cs="Arial" w:eastAsia="Arial" w:hAnsi="Arial"/>
          <w:sz w:val="19"/>
          <w:szCs w:val="19"/>
          <w:color w:val="auto"/>
        </w:rPr>
      </w:pPr>
    </w:p>
    <w:p>
      <w:pPr>
        <w:ind w:left="780" w:right="1200" w:firstLine="3"/>
        <w:spacing w:after="0" w:line="261" w:lineRule="auto"/>
        <w:tabs>
          <w:tab w:leader="none" w:pos="1042"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material reduction of Mr. Petras’ responsibilities, annual base salary or annual bonus opportunity, other compensation or the aggregate value of Mr. Petras’ benefits, (iii) the failure to grant certain IPO Equity Awards to Mr. Petras, or (iv) the failure to provide for certain time-based vesting protections in connection with any future equity awards granted to Mr. Petras.</w:t>
      </w:r>
    </w:p>
    <w:p>
      <w:pPr>
        <w:spacing w:after="0" w:line="144" w:lineRule="exact"/>
        <w:rPr>
          <w:sz w:val="20"/>
          <w:szCs w:val="20"/>
          <w:color w:val="auto"/>
        </w:rPr>
      </w:pPr>
    </w:p>
    <w:p>
      <w:pPr>
        <w:ind w:left="780"/>
        <w:spacing w:after="0"/>
        <w:rPr>
          <w:sz w:val="20"/>
          <w:szCs w:val="20"/>
          <w:color w:val="auto"/>
        </w:rPr>
      </w:pPr>
      <w:r>
        <w:rPr>
          <w:rFonts w:ascii="Arial" w:cs="Arial" w:eastAsia="Arial" w:hAnsi="Arial"/>
          <w:sz w:val="28"/>
          <w:szCs w:val="28"/>
          <w:color w:val="auto"/>
        </w:rPr>
        <w:t>Potential Payments to Mr. Michael P. Rutz</w:t>
      </w:r>
    </w:p>
    <w:p>
      <w:pPr>
        <w:spacing w:after="0" w:line="149" w:lineRule="exact"/>
        <w:rPr>
          <w:sz w:val="20"/>
          <w:szCs w:val="20"/>
          <w:color w:val="auto"/>
        </w:rPr>
      </w:pPr>
    </w:p>
    <w:p>
      <w:pPr>
        <w:ind w:left="780" w:right="940"/>
        <w:spacing w:after="0" w:line="249" w:lineRule="auto"/>
        <w:rPr>
          <w:sz w:val="20"/>
          <w:szCs w:val="20"/>
          <w:color w:val="auto"/>
        </w:rPr>
      </w:pPr>
      <w:r>
        <w:rPr>
          <w:rFonts w:ascii="Arial" w:cs="Arial" w:eastAsia="Arial" w:hAnsi="Arial"/>
          <w:sz w:val="21"/>
          <w:szCs w:val="21"/>
          <w:color w:val="auto"/>
        </w:rPr>
        <w:t>Under the Rutz Employment Agreement, in the event of a termination of employment by us without “cause” or by him for “good reason” (in​ each case as defined in the Rutz Employment Agreement), Mr. Rutz, upon execution of a general release of claims in our favor and subject to continued compliance with the terms of such release and the restrictive covenants set forth in the Rutz Employment Agreement, will be eligible to receive:</w:t>
      </w:r>
    </w:p>
    <w:p>
      <w:pPr>
        <w:spacing w:after="0" w:line="71" w:lineRule="exact"/>
        <w:rPr>
          <w:sz w:val="20"/>
          <w:szCs w:val="20"/>
          <w:color w:val="auto"/>
        </w:rPr>
      </w:pPr>
    </w:p>
    <w:p>
      <w:pPr>
        <w:ind w:left="1120" w:right="1540" w:hanging="337"/>
        <w:spacing w:after="0" w:line="254" w:lineRule="auto"/>
        <w:tabs>
          <w:tab w:leader="none" w:pos="1120" w:val="left"/>
        </w:tabs>
        <w:numPr>
          <w:ilvl w:val="0"/>
          <w:numId w:val="46"/>
        </w:numPr>
        <w:rPr>
          <w:rFonts w:ascii="Arial" w:cs="Arial" w:eastAsia="Arial" w:hAnsi="Arial"/>
          <w:sz w:val="21"/>
          <w:szCs w:val="21"/>
          <w:color w:val="435F86"/>
        </w:rPr>
      </w:pPr>
      <w:r>
        <w:rPr>
          <w:rFonts w:ascii="Arial" w:cs="Arial" w:eastAsia="Arial" w:hAnsi="Arial"/>
          <w:sz w:val="21"/>
          <w:szCs w:val="21"/>
          <w:color w:val="auto"/>
        </w:rPr>
        <w:t>His then-current annual base salary (determined before any reduction that gave rise to executive’s right to terminate employment for “good reason”) for 12 months following the termination of his employment; and</w:t>
      </w:r>
    </w:p>
    <w:p>
      <w:pPr>
        <w:spacing w:after="0" w:line="63" w:lineRule="exact"/>
        <w:rPr>
          <w:rFonts w:ascii="Arial" w:cs="Arial" w:eastAsia="Arial" w:hAnsi="Arial"/>
          <w:sz w:val="21"/>
          <w:szCs w:val="21"/>
          <w:color w:val="435F86"/>
        </w:rPr>
      </w:pPr>
    </w:p>
    <w:p>
      <w:pPr>
        <w:ind w:left="1120" w:right="900" w:hanging="337"/>
        <w:spacing w:after="0" w:line="261" w:lineRule="auto"/>
        <w:tabs>
          <w:tab w:leader="none" w:pos="1120" w:val="left"/>
        </w:tabs>
        <w:numPr>
          <w:ilvl w:val="0"/>
          <w:numId w:val="46"/>
        </w:numPr>
        <w:rPr>
          <w:rFonts w:ascii="Arial" w:cs="Arial" w:eastAsia="Arial" w:hAnsi="Arial"/>
          <w:sz w:val="20"/>
          <w:szCs w:val="20"/>
          <w:color w:val="435F86"/>
        </w:rPr>
      </w:pPr>
      <w:r>
        <w:rPr>
          <w:rFonts w:ascii="Arial" w:cs="Arial" w:eastAsia="Arial" w:hAnsi="Arial"/>
          <w:sz w:val="20"/>
          <w:szCs w:val="20"/>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Rutz becomes reemployed with another employer that offers medical insurance prior to the expiration of the 12 month period.</w:t>
      </w:r>
    </w:p>
    <w:p>
      <w:pPr>
        <w:spacing w:after="0" w:line="161" w:lineRule="exact"/>
        <w:rPr>
          <w:sz w:val="20"/>
          <w:szCs w:val="20"/>
          <w:color w:val="auto"/>
        </w:rPr>
      </w:pPr>
    </w:p>
    <w:p>
      <w:pPr>
        <w:ind w:left="780" w:right="800"/>
        <w:spacing w:after="0" w:line="254" w:lineRule="auto"/>
        <w:rPr>
          <w:sz w:val="20"/>
          <w:szCs w:val="20"/>
          <w:color w:val="auto"/>
        </w:rPr>
      </w:pPr>
      <w:r>
        <w:rPr>
          <w:rFonts w:ascii="Arial" w:cs="Arial" w:eastAsia="Arial" w:hAnsi="Arial"/>
          <w:sz w:val="21"/>
          <w:szCs w:val="21"/>
          <w:color w:val="auto"/>
        </w:rPr>
        <w:t>Under the Rutz Employment Agreement, “cause” generally means Mr. Rutz’s (i) disclosure of confidential information or trade secrets of the Company, the Sponsors or any of their affiliates or any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139700</wp:posOffset>
            </wp:positionV>
            <wp:extent cx="5538470" cy="165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62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238" w:lineRule="exact"/>
        <w:rPr>
          <w:sz w:val="20"/>
          <w:szCs w:val="20"/>
          <w:color w:val="auto"/>
        </w:rPr>
      </w:pPr>
    </w:p>
    <w:p>
      <w:pPr>
        <w:ind w:left="780" w:right="159"/>
        <w:spacing w:after="0" w:line="269" w:lineRule="auto"/>
        <w:rPr>
          <w:sz w:val="20"/>
          <w:szCs w:val="20"/>
          <w:color w:val="auto"/>
        </w:rPr>
      </w:pPr>
      <w:r>
        <w:rPr>
          <w:rFonts w:ascii="Arial" w:cs="Arial" w:eastAsia="Arial" w:hAnsi="Arial"/>
          <w:sz w:val="19"/>
          <w:szCs w:val="19"/>
          <w:color w:val="auto"/>
        </w:rPr>
        <w:t>respective customers or suppliers, which use or disclosure causes or is likely to cause a material injury to any of these parties, (ii) conviction of, or a plea of “guilty” or “no contest” to, a felony under the laws of the United States, Canada or any jurisdiction in which Mr. Rutz resides, (iii) fraud, willful misconduct or gross neglect in the performance of his duties or engagement in any other willful misconduct or willful engagement in any act or omission involving dishonesty, unethical business conduct or moral turpitude which has caused or is demonstrably likely to cause a material injury to the Company, the Sponsors or any of their affiliates or any of their respective customers or suppliers,</w:t>
      </w:r>
    </w:p>
    <w:p>
      <w:pPr>
        <w:spacing w:after="0" w:line="6" w:lineRule="exact"/>
        <w:rPr>
          <w:sz w:val="20"/>
          <w:szCs w:val="20"/>
          <w:color w:val="auto"/>
        </w:rPr>
      </w:pPr>
    </w:p>
    <w:p>
      <w:pPr>
        <w:ind w:left="780" w:right="159" w:firstLine="3"/>
        <w:spacing w:after="0" w:line="309" w:lineRule="auto"/>
        <w:tabs>
          <w:tab w:leader="none" w:pos="11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intentional failure to perform assigned duties after a written notification from our Board and failure to correct such deficiencies within 30 days or (v) breach of the Rutz Employment Agreement.</w:t>
      </w:r>
    </w:p>
    <w:p>
      <w:pPr>
        <w:spacing w:after="0" w:line="105" w:lineRule="exact"/>
        <w:rPr>
          <w:sz w:val="20"/>
          <w:szCs w:val="20"/>
          <w:color w:val="auto"/>
        </w:rPr>
      </w:pPr>
    </w:p>
    <w:p>
      <w:pPr>
        <w:ind w:left="780" w:right="339"/>
        <w:spacing w:after="0" w:line="282" w:lineRule="auto"/>
        <w:rPr>
          <w:sz w:val="20"/>
          <w:szCs w:val="20"/>
          <w:color w:val="auto"/>
        </w:rPr>
      </w:pPr>
      <w:r>
        <w:rPr>
          <w:rFonts w:ascii="Arial" w:cs="Arial" w:eastAsia="Arial" w:hAnsi="Arial"/>
          <w:sz w:val="19"/>
          <w:szCs w:val="19"/>
          <w:color w:val="auto"/>
        </w:rPr>
        <w:t>Under the Rutz Employment Agreement, “good reason” generally means (i) any material reduction in Mr. Rutz’s title, status or authority, any material reduction of Mr. Rutz’s responsibilities, annual base salary, annual bonus opportunity, other compensation or the aggregate value of Mr. Rutz’s benefits, (ii) relocation of Mr. Rutz’s primary place of employment by more than 50 miles or (iii) the failure to grant the title of President, Sterigenics to Mr. Rutz by December 31, 2021.</w:t>
      </w:r>
    </w:p>
    <w:p>
      <w:pPr>
        <w:spacing w:after="0" w:line="144" w:lineRule="exact"/>
        <w:rPr>
          <w:sz w:val="20"/>
          <w:szCs w:val="20"/>
          <w:color w:val="auto"/>
        </w:rPr>
      </w:pPr>
    </w:p>
    <w:p>
      <w:pPr>
        <w:ind w:left="780" w:right="539"/>
        <w:spacing w:after="0" w:line="247" w:lineRule="auto"/>
        <w:rPr>
          <w:sz w:val="20"/>
          <w:szCs w:val="20"/>
          <w:color w:val="auto"/>
        </w:rPr>
      </w:pPr>
      <w:r>
        <w:rPr>
          <w:rFonts w:ascii="Arial" w:cs="Arial" w:eastAsia="Arial" w:hAnsi="Arial"/>
          <w:sz w:val="21"/>
          <w:szCs w:val="21"/>
          <w:color w:val="auto"/>
        </w:rPr>
        <w:t>In addition, under the terms of the Rutz Employment Agreement, Mr. Rutz is entitled to receive a one-time lump sum cash payment equal to $1,500,000, less applicable tax withholdings, upon a change in control, contingent upon his continued employment through the consummation of a change in control.</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Potential Payments to Mr. Alexander Dimitrief</w:t>
      </w:r>
    </w:p>
    <w:p>
      <w:pPr>
        <w:spacing w:after="0" w:line="149" w:lineRule="exact"/>
        <w:rPr>
          <w:sz w:val="20"/>
          <w:szCs w:val="20"/>
          <w:color w:val="auto"/>
        </w:rPr>
      </w:pPr>
    </w:p>
    <w:p>
      <w:pPr>
        <w:ind w:left="780" w:right="219"/>
        <w:spacing w:after="0" w:line="277" w:lineRule="auto"/>
        <w:rPr>
          <w:sz w:val="20"/>
          <w:szCs w:val="20"/>
          <w:color w:val="auto"/>
        </w:rPr>
      </w:pPr>
      <w:r>
        <w:rPr>
          <w:rFonts w:ascii="Arial" w:cs="Arial" w:eastAsia="Arial" w:hAnsi="Arial"/>
          <w:sz w:val="21"/>
          <w:szCs w:val="21"/>
          <w:color w:val="auto"/>
        </w:rPr>
        <w:t>The Dimitrief Offer Letter does not provide for any severance payments in the event of a termination of his employment by Mr. Dimitrief or us, with or without cause or advance notice.</w:t>
      </w:r>
    </w:p>
    <w:p>
      <w:pPr>
        <w:spacing w:after="0" w:line="127" w:lineRule="exact"/>
        <w:rPr>
          <w:sz w:val="20"/>
          <w:szCs w:val="20"/>
          <w:color w:val="auto"/>
        </w:rPr>
      </w:pPr>
    </w:p>
    <w:p>
      <w:pPr>
        <w:ind w:left="780"/>
        <w:spacing w:after="0"/>
        <w:rPr>
          <w:sz w:val="20"/>
          <w:szCs w:val="20"/>
          <w:color w:val="auto"/>
        </w:rPr>
      </w:pPr>
      <w:r>
        <w:rPr>
          <w:rFonts w:ascii="Arial" w:cs="Arial" w:eastAsia="Arial" w:hAnsi="Arial"/>
          <w:sz w:val="28"/>
          <w:szCs w:val="28"/>
          <w:color w:val="auto"/>
        </w:rPr>
        <w:t>Potential Payments to Mr. Jonathan Lyons</w:t>
      </w:r>
    </w:p>
    <w:p>
      <w:pPr>
        <w:spacing w:after="0" w:line="149" w:lineRule="exact"/>
        <w:rPr>
          <w:sz w:val="20"/>
          <w:szCs w:val="20"/>
          <w:color w:val="auto"/>
        </w:rPr>
      </w:pPr>
    </w:p>
    <w:p>
      <w:pPr>
        <w:ind w:left="780" w:right="179"/>
        <w:spacing w:after="0" w:line="275" w:lineRule="auto"/>
        <w:rPr>
          <w:sz w:val="20"/>
          <w:szCs w:val="20"/>
          <w:color w:val="auto"/>
        </w:rPr>
      </w:pPr>
      <w:r>
        <w:rPr>
          <w:rFonts w:ascii="Arial" w:cs="Arial" w:eastAsia="Arial" w:hAnsi="Arial"/>
          <w:sz w:val="19"/>
          <w:szCs w:val="19"/>
          <w:color w:val="auto"/>
        </w:rPr>
        <w:t>Under the Lyons Offer Letter, prior to February 26, 2025, in the event of a termination of employment by us without “cause” (as​ defined in the Lyons Offer Letter), Mr. Lyons, upon execution of a general release of claims in our favor and subject to continued compliance with the terms of such release and the restrictive covenants set forth in the Lyons RCA, will be eligible to receive his then-current annual base salary for 12 months following the termination of his employment. Following the amendment and restatement of the Lyons Offer Letter, Mr. Lyons will be eligible to receive the sum of his then-current annual base salary plus his AIP target amount for the year of termination paid in substantially equal installments over the 12 months following the termination of his employment.</w:t>
      </w:r>
    </w:p>
    <w:p>
      <w:pPr>
        <w:spacing w:after="0" w:line="152" w:lineRule="exact"/>
        <w:rPr>
          <w:sz w:val="20"/>
          <w:szCs w:val="20"/>
          <w:color w:val="auto"/>
        </w:rPr>
      </w:pPr>
    </w:p>
    <w:p>
      <w:pPr>
        <w:ind w:left="780" w:right="179"/>
        <w:spacing w:after="0" w:line="273" w:lineRule="auto"/>
        <w:rPr>
          <w:sz w:val="20"/>
          <w:szCs w:val="20"/>
          <w:color w:val="auto"/>
        </w:rPr>
      </w:pPr>
      <w:r>
        <w:rPr>
          <w:rFonts w:ascii="Arial" w:cs="Arial" w:eastAsia="Arial" w:hAnsi="Arial"/>
          <w:sz w:val="19"/>
          <w:szCs w:val="19"/>
          <w:color w:val="auto"/>
        </w:rPr>
        <w:t>Under the Lyons Offer Letter, “cause” generally means Mr. Lyons’ (i) intentional unauthorized use or disclosure of the confidential information or trade secrets of the Company and its affiliates or any of their respective customers or suppliers, (ii) conviction of, a plea of “guilty” or “no contest” to, or indictment for a felony under the laws of the United States, Canada or any province or state thereof or the laws of any other jurisdiction in which Mr. Lyons resides, (iii) engagement in any fraud, willful misconduct or gross neglect in the performance of his duties or in any other willful misconduct which has caused material injury to the Company or any of its affiliates or any of their respective customers or suppliers, (iv) willful engagement in any act or omission involving dishonesty, breach of trust, unethical business conduct or moral turpitude, in each case involving the Company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294005</wp:posOffset>
            </wp:positionV>
            <wp:extent cx="494665" cy="165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170815</wp:posOffset>
            </wp:positionV>
            <wp:extent cx="5538470"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238" w:lineRule="exact"/>
        <w:rPr>
          <w:sz w:val="20"/>
          <w:szCs w:val="20"/>
          <w:color w:val="auto"/>
        </w:rPr>
      </w:pPr>
    </w:p>
    <w:p>
      <w:pPr>
        <w:ind w:left="780" w:right="1280"/>
        <w:spacing w:after="0" w:line="277" w:lineRule="auto"/>
        <w:rPr>
          <w:sz w:val="20"/>
          <w:szCs w:val="20"/>
          <w:color w:val="auto"/>
        </w:rPr>
      </w:pPr>
      <w:r>
        <w:rPr>
          <w:rFonts w:ascii="Arial" w:cs="Arial" w:eastAsia="Arial" w:hAnsi="Arial"/>
          <w:sz w:val="21"/>
          <w:szCs w:val="21"/>
          <w:color w:val="auto"/>
        </w:rPr>
        <w:t>affiliates, or any of their respective customers or suppliers, (v) failure to perform lawful assigned duties or (vi) breach of any restrictive covenant to which he is subject.</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Treatment of NEO Equity Awards Upon Termination or Change in Control</w:t>
      </w:r>
    </w:p>
    <w:p>
      <w:pPr>
        <w:spacing w:after="0" w:line="149" w:lineRule="exact"/>
        <w:rPr>
          <w:sz w:val="20"/>
          <w:szCs w:val="20"/>
          <w:color w:val="auto"/>
        </w:rPr>
      </w:pPr>
    </w:p>
    <w:p>
      <w:pPr>
        <w:ind w:left="780" w:right="880"/>
        <w:spacing w:after="0" w:line="277" w:lineRule="auto"/>
        <w:rPr>
          <w:sz w:val="20"/>
          <w:szCs w:val="20"/>
          <w:color w:val="auto"/>
        </w:rPr>
      </w:pPr>
      <w:r>
        <w:rPr>
          <w:rFonts w:ascii="Arial" w:cs="Arial" w:eastAsia="Arial" w:hAnsi="Arial"/>
          <w:sz w:val="19"/>
          <w:szCs w:val="19"/>
          <w:color w:val="auto"/>
        </w:rPr>
        <w:t>In addition to the treatment on termination described above, our NEOs are entitled to the following vesting treatment upon certain terminations or a change in control of the Company pursuant to the terms of the IPO Equity Awards, the 2022 Equity Awards, the 2023 Equity Awards, and the 2024 Equity Awards (in each case, as defined below) (collectively the “NEO Equity Awards”). See “Compensation Elements for 2024 — Long-Term Equity Incentive Compensation” and “Outstanding Equity Awards at 2024 Year-End” for additional information on the terms of the NEO Equity Awards.</w:t>
      </w:r>
    </w:p>
    <w:p>
      <w:pPr>
        <w:spacing w:after="0" w:line="148" w:lineRule="exact"/>
        <w:rPr>
          <w:sz w:val="20"/>
          <w:szCs w:val="20"/>
          <w:color w:val="auto"/>
        </w:rPr>
      </w:pPr>
    </w:p>
    <w:p>
      <w:pPr>
        <w:ind w:left="780" w:right="1120"/>
        <w:spacing w:after="0" w:line="254" w:lineRule="auto"/>
        <w:rPr>
          <w:sz w:val="20"/>
          <w:szCs w:val="20"/>
          <w:color w:val="auto"/>
        </w:rPr>
      </w:pPr>
      <w:r>
        <w:rPr>
          <w:rFonts w:ascii="Arial" w:cs="Arial" w:eastAsia="Arial" w:hAnsi="Arial"/>
          <w:sz w:val="21"/>
          <w:szCs w:val="21"/>
          <w:color w:val="auto"/>
        </w:rPr>
        <w:t>For purposes of this section, the “IPO Equity Awards” means the stock options granted under the 2020 Incentive Plan to Messrs. Petras and Rutz in connection with our IPO, in lieu of our formal 2021 equity award grant cycle.</w:t>
      </w:r>
    </w:p>
    <w:p>
      <w:pPr>
        <w:spacing w:after="0" w:line="168" w:lineRule="exact"/>
        <w:rPr>
          <w:sz w:val="20"/>
          <w:szCs w:val="20"/>
          <w:color w:val="auto"/>
        </w:rPr>
      </w:pPr>
    </w:p>
    <w:p>
      <w:pPr>
        <w:ind w:left="780" w:right="1140"/>
        <w:spacing w:after="0" w:line="246" w:lineRule="auto"/>
        <w:rPr>
          <w:sz w:val="20"/>
          <w:szCs w:val="20"/>
          <w:color w:val="auto"/>
        </w:rPr>
      </w:pPr>
      <w:r>
        <w:rPr>
          <w:rFonts w:ascii="Arial" w:cs="Arial" w:eastAsia="Arial" w:hAnsi="Arial"/>
          <w:sz w:val="21"/>
          <w:szCs w:val="21"/>
          <w:color w:val="auto"/>
        </w:rPr>
        <w:t>For purposes of this section, the “2022 Equity Awards” means (i) the stock options and RSUs granted under the 2020 Incentive Plan to Messrs. Petras and Rutz in March 2022, (ii) the stock options granted to Mr. Petras under the 2020 Incentive Plan in November 2022 and (iii) the stock options and restricted stock granted to Mr. Dimitrief under the 2020 Incentive Plan in November 2022 (the “Dimitrief Equity Award”).</w:t>
      </w:r>
    </w:p>
    <w:p>
      <w:pPr>
        <w:spacing w:after="0" w:line="177" w:lineRule="exact"/>
        <w:rPr>
          <w:sz w:val="20"/>
          <w:szCs w:val="20"/>
          <w:color w:val="auto"/>
        </w:rPr>
      </w:pPr>
    </w:p>
    <w:p>
      <w:pPr>
        <w:ind w:left="780" w:right="1060"/>
        <w:spacing w:after="0" w:line="273" w:lineRule="auto"/>
        <w:rPr>
          <w:sz w:val="20"/>
          <w:szCs w:val="20"/>
          <w:color w:val="auto"/>
        </w:rPr>
      </w:pPr>
      <w:r>
        <w:rPr>
          <w:rFonts w:ascii="Arial" w:cs="Arial" w:eastAsia="Arial" w:hAnsi="Arial"/>
          <w:sz w:val="20"/>
          <w:szCs w:val="20"/>
          <w:color w:val="auto"/>
        </w:rPr>
        <w:t>For purposes of this section, the “2023 Equity Awards” means (i) the stock options and RSUs granted under the 2020 Incentive Plan to Mr. Petras and Mr. Rutz in March 2023 and (ii) the stock options and RSUs granted under the 2020 Incentive Plan to Mr. Lyons in August 2023.</w:t>
      </w:r>
    </w:p>
    <w:p>
      <w:pPr>
        <w:spacing w:after="0" w:line="150" w:lineRule="exact"/>
        <w:rPr>
          <w:sz w:val="20"/>
          <w:szCs w:val="20"/>
          <w:color w:val="auto"/>
        </w:rPr>
      </w:pPr>
    </w:p>
    <w:p>
      <w:pPr>
        <w:ind w:left="780" w:right="940"/>
        <w:spacing w:after="0" w:line="317" w:lineRule="auto"/>
        <w:rPr>
          <w:sz w:val="20"/>
          <w:szCs w:val="20"/>
          <w:color w:val="auto"/>
        </w:rPr>
      </w:pPr>
      <w:r>
        <w:rPr>
          <w:rFonts w:ascii="Arial" w:cs="Arial" w:eastAsia="Arial" w:hAnsi="Arial"/>
          <w:sz w:val="19"/>
          <w:szCs w:val="19"/>
          <w:color w:val="auto"/>
        </w:rPr>
        <w:t>For purposes of this section, the “2024 Equity Awards” means the stock options and RSUs granted under the 2020 Incentive Plan to Messrs. Petras, Lyons, Rutz, and Dimitrief in March 2024.</w:t>
      </w:r>
    </w:p>
    <w:p>
      <w:pPr>
        <w:spacing w:after="0" w:line="113" w:lineRule="exact"/>
        <w:rPr>
          <w:sz w:val="20"/>
          <w:szCs w:val="20"/>
          <w:color w:val="auto"/>
        </w:rPr>
      </w:pPr>
    </w:p>
    <w:p>
      <w:pPr>
        <w:ind w:left="780"/>
        <w:spacing w:after="0"/>
        <w:rPr>
          <w:sz w:val="20"/>
          <w:szCs w:val="20"/>
          <w:color w:val="auto"/>
        </w:rPr>
      </w:pPr>
      <w:r>
        <w:rPr>
          <w:rFonts w:ascii="Arial" w:cs="Arial" w:eastAsia="Arial" w:hAnsi="Arial"/>
          <w:sz w:val="21"/>
          <w:szCs w:val="21"/>
          <w:i w:val="1"/>
          <w:iCs w:val="1"/>
          <w:color w:val="auto"/>
        </w:rPr>
        <w:t>Treatment upon Termination due to Death or Disability</w:t>
      </w:r>
    </w:p>
    <w:p>
      <w:pPr>
        <w:spacing w:after="0" w:line="211" w:lineRule="exact"/>
        <w:rPr>
          <w:sz w:val="20"/>
          <w:szCs w:val="20"/>
          <w:color w:val="auto"/>
        </w:rPr>
      </w:pPr>
    </w:p>
    <w:p>
      <w:pPr>
        <w:ind w:left="780" w:right="1060"/>
        <w:spacing w:after="0" w:line="294" w:lineRule="auto"/>
        <w:rPr>
          <w:sz w:val="20"/>
          <w:szCs w:val="20"/>
          <w:color w:val="auto"/>
        </w:rPr>
      </w:pPr>
      <w:r>
        <w:rPr>
          <w:rFonts w:ascii="Arial" w:cs="Arial" w:eastAsia="Arial" w:hAnsi="Arial"/>
          <w:sz w:val="19"/>
          <w:szCs w:val="19"/>
          <w:color w:val="auto"/>
        </w:rPr>
        <w:t>Under the terms of NEO Equity Awards, the grantee will receive 2 years of additional time-based vesting credit in respect of all outstanding unvested equity awards, upon a termination of employment by reason of the grantee’s death or Disability (as defined in the 2020 Incentive Plan).</w:t>
      </w:r>
    </w:p>
    <w:p>
      <w:pPr>
        <w:spacing w:after="0" w:line="134" w:lineRule="exact"/>
        <w:rPr>
          <w:sz w:val="20"/>
          <w:szCs w:val="20"/>
          <w:color w:val="auto"/>
        </w:rPr>
      </w:pPr>
    </w:p>
    <w:p>
      <w:pPr>
        <w:ind w:left="780"/>
        <w:spacing w:after="0"/>
        <w:rPr>
          <w:sz w:val="20"/>
          <w:szCs w:val="20"/>
          <w:color w:val="auto"/>
        </w:rPr>
      </w:pPr>
      <w:r>
        <w:rPr>
          <w:rFonts w:ascii="Arial" w:cs="Arial" w:eastAsia="Arial" w:hAnsi="Arial"/>
          <w:sz w:val="21"/>
          <w:szCs w:val="21"/>
          <w:i w:val="1"/>
          <w:iCs w:val="1"/>
          <w:color w:val="auto"/>
        </w:rPr>
        <w:t>Treatment upon Qualifying Retirement</w:t>
      </w:r>
    </w:p>
    <w:p>
      <w:pPr>
        <w:spacing w:after="0" w:line="198" w:lineRule="exact"/>
        <w:rPr>
          <w:sz w:val="20"/>
          <w:szCs w:val="20"/>
          <w:color w:val="auto"/>
        </w:rPr>
      </w:pPr>
    </w:p>
    <w:p>
      <w:pPr>
        <w:ind w:left="780" w:right="940"/>
        <w:spacing w:after="0" w:line="248" w:lineRule="auto"/>
        <w:rPr>
          <w:sz w:val="20"/>
          <w:szCs w:val="20"/>
          <w:color w:val="auto"/>
        </w:rPr>
      </w:pPr>
      <w:r>
        <w:rPr>
          <w:rFonts w:ascii="Arial" w:cs="Arial" w:eastAsia="Arial" w:hAnsi="Arial"/>
          <w:sz w:val="21"/>
          <w:szCs w:val="21"/>
          <w:color w:val="auto"/>
        </w:rPr>
        <w:t>Each of Messrs. Rutz and Lyons will receive an additional 2 years of time-based vesting credit in respect of all outstanding unvested NEO Equity Awards if, following the 1-year anniversary of the NEO Equity Award grant date, he retires at or older than age 55 with 10 or more years of service to the Company. Notwithstanding the foregoing, the NEO Equity Awards for Messrs. Rutz and Lyons do not qualify for such vesting credit to the extent they were granted within the 12-month period immediately prior to the NEO’s retirement.</w:t>
      </w:r>
    </w:p>
    <w:p>
      <w:pPr>
        <w:spacing w:after="0" w:line="164" w:lineRule="exact"/>
        <w:rPr>
          <w:sz w:val="20"/>
          <w:szCs w:val="20"/>
          <w:color w:val="auto"/>
        </w:rPr>
      </w:pPr>
    </w:p>
    <w:p>
      <w:pPr>
        <w:ind w:left="780" w:right="820"/>
        <w:spacing w:after="0" w:line="261" w:lineRule="auto"/>
        <w:rPr>
          <w:sz w:val="20"/>
          <w:szCs w:val="20"/>
          <w:color w:val="auto"/>
        </w:rPr>
      </w:pPr>
      <w:r>
        <w:rPr>
          <w:rFonts w:ascii="Arial" w:cs="Arial" w:eastAsia="Arial" w:hAnsi="Arial"/>
          <w:sz w:val="21"/>
          <w:szCs w:val="21"/>
          <w:color w:val="auto"/>
        </w:rPr>
        <w:t>Mr. Dimitrief will receive an additional 1 year of time-based vesting credit in respect of his 2024 Equity Awards if, following the 2-year anniversary of the 2024 Equity Awards grant date, Mr. Dimitrief retires at or older than 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126365</wp:posOffset>
            </wp:positionV>
            <wp:extent cx="5538470" cy="165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64</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Potential Payments Upon Termination or Change in Control</w:t>
      </w:r>
    </w:p>
    <w:p>
      <w:pPr>
        <w:spacing w:after="0" w:line="238" w:lineRule="exact"/>
        <w:rPr>
          <w:sz w:val="20"/>
          <w:szCs w:val="20"/>
          <w:color w:val="auto"/>
        </w:rPr>
      </w:pPr>
    </w:p>
    <w:p>
      <w:pPr>
        <w:ind w:left="780" w:right="179"/>
        <w:spacing w:after="0" w:line="248" w:lineRule="auto"/>
        <w:rPr>
          <w:sz w:val="20"/>
          <w:szCs w:val="20"/>
          <w:color w:val="auto"/>
        </w:rPr>
      </w:pPr>
      <w:r>
        <w:rPr>
          <w:rFonts w:ascii="Arial" w:cs="Arial" w:eastAsia="Arial" w:hAnsi="Arial"/>
          <w:sz w:val="21"/>
          <w:szCs w:val="21"/>
          <w:color w:val="auto"/>
        </w:rPr>
        <w:t>With respect to Mr. Petras, all unvested NEO Equity Awards will vest in full upon Mr. Petras’ voluntary retirement following the date on which the sum of Mr. Petras’ attained age and years of service with the Company equals or exceeds 65. Notwithstanding the foregoing, the NEO Equity Awards for Mr. Petras do not qualify for such vesting credit to the extent they were granted within the 12-month period immediately prior to Mr. Petras’ retirement. As of December 31, 2024, only Mr. Petras was eligible for retirement.</w:t>
      </w:r>
    </w:p>
    <w:p>
      <w:pPr>
        <w:spacing w:after="0" w:line="166" w:lineRule="exact"/>
        <w:rPr>
          <w:sz w:val="20"/>
          <w:szCs w:val="20"/>
          <w:color w:val="auto"/>
        </w:rPr>
      </w:pPr>
    </w:p>
    <w:p>
      <w:pPr>
        <w:ind w:left="780"/>
        <w:spacing w:after="0"/>
        <w:rPr>
          <w:sz w:val="20"/>
          <w:szCs w:val="20"/>
          <w:color w:val="auto"/>
        </w:rPr>
      </w:pPr>
      <w:r>
        <w:rPr>
          <w:rFonts w:ascii="Arial" w:cs="Arial" w:eastAsia="Arial" w:hAnsi="Arial"/>
          <w:sz w:val="21"/>
          <w:szCs w:val="21"/>
          <w:i w:val="1"/>
          <w:iCs w:val="1"/>
          <w:color w:val="auto"/>
        </w:rPr>
        <w:t>Treatment upon a Change in Control</w:t>
      </w:r>
    </w:p>
    <w:p>
      <w:pPr>
        <w:spacing w:after="0" w:line="211" w:lineRule="exact"/>
        <w:rPr>
          <w:sz w:val="20"/>
          <w:szCs w:val="20"/>
          <w:color w:val="auto"/>
        </w:rPr>
      </w:pPr>
    </w:p>
    <w:p>
      <w:pPr>
        <w:ind w:left="780" w:right="219"/>
        <w:spacing w:after="0" w:line="272" w:lineRule="auto"/>
        <w:rPr>
          <w:sz w:val="20"/>
          <w:szCs w:val="20"/>
          <w:color w:val="auto"/>
        </w:rPr>
      </w:pPr>
      <w:r>
        <w:rPr>
          <w:rFonts w:ascii="Arial" w:cs="Arial" w:eastAsia="Arial" w:hAnsi="Arial"/>
          <w:sz w:val="19"/>
          <w:szCs w:val="19"/>
          <w:color w:val="auto"/>
        </w:rPr>
        <w:t>Under the terms of the NEO Equity Awards, in the event of a “Change in Control” (as​ defined in the 2020 Incentive Plan) where any outstanding unvested portion of the NEO Equity Awards are not assumed or substituted by the acquirer, such unvested awards will generally vest as of the date of such Change in Control. In the event of a Change in Control where outstanding NEO Equity Awards (other than with respect to the Dimitrief Equity Award) are assumed or substituted by the acquirer and the grantee is terminated by the acquirer without “cause” (as​ defined in such NEO’s employment agreement or offer letter, as applicable) or with respect to Mr. Petras and Mr. Rutz such executive terminates his employment for “good reason” (as​ defined in such NEO’s employment agreement), in each case, within the 1 year period immediately following such Change in Control, any then unvested NEO Equity Awards will vest as of the date of such NEO’s termination.</w:t>
      </w:r>
    </w:p>
    <w:p>
      <w:pPr>
        <w:spacing w:after="0" w:line="148" w:lineRule="exact"/>
        <w:rPr>
          <w:sz w:val="20"/>
          <w:szCs w:val="20"/>
          <w:color w:val="auto"/>
        </w:rPr>
      </w:pPr>
    </w:p>
    <w:p>
      <w:pPr>
        <w:ind w:left="780"/>
        <w:spacing w:after="0"/>
        <w:rPr>
          <w:sz w:val="20"/>
          <w:szCs w:val="20"/>
          <w:color w:val="auto"/>
        </w:rPr>
      </w:pPr>
      <w:r>
        <w:rPr>
          <w:rFonts w:ascii="Arial" w:cs="Arial" w:eastAsia="Arial" w:hAnsi="Arial"/>
          <w:sz w:val="21"/>
          <w:szCs w:val="21"/>
          <w:i w:val="1"/>
          <w:iCs w:val="1"/>
          <w:color w:val="auto"/>
        </w:rPr>
        <w:t>Stock Option Exercise Period</w:t>
      </w:r>
    </w:p>
    <w:p>
      <w:pPr>
        <w:spacing w:after="0" w:line="21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With respect to the NEOs’ stock options, the following stock option exercise periods generally apply:</w:t>
      </w:r>
    </w:p>
    <w:p>
      <w:pPr>
        <w:spacing w:after="0" w:line="48" w:lineRule="exact"/>
        <w:rPr>
          <w:sz w:val="20"/>
          <w:szCs w:val="20"/>
          <w:color w:val="auto"/>
        </w:rPr>
      </w:pPr>
    </w:p>
    <w:p>
      <w:pPr>
        <w:ind w:left="780" w:right="159" w:firstLine="3"/>
        <w:spacing w:after="0" w:line="266" w:lineRule="auto"/>
        <w:tabs>
          <w:tab w:leader="none" w:pos="1001" w:val="left"/>
        </w:tabs>
        <w:numPr>
          <w:ilvl w:val="0"/>
          <w:numId w:val="48"/>
        </w:numPr>
        <w:rPr>
          <w:rFonts w:ascii="Arial" w:cs="Arial" w:eastAsia="Arial" w:hAnsi="Arial"/>
          <w:sz w:val="19"/>
          <w:szCs w:val="19"/>
          <w:color w:val="auto"/>
        </w:rPr>
      </w:pPr>
      <w:r>
        <w:rPr>
          <w:rFonts w:ascii="Arial" w:cs="Arial" w:eastAsia="Arial" w:hAnsi="Arial"/>
          <w:sz w:val="19"/>
          <w:szCs w:val="19"/>
          <w:color w:val="auto"/>
        </w:rPr>
        <w:t>90 days following a termination of the NEO’s employment other than upon death or Disability or for “cause,” (ii)​ 12 months following a termination of the NEO’s employment due to death or Disability and (iii) the earlier of (x) the 2-year anniversary of a “qualifying retirement” (or​ in the case of Mr. Petras, 3-year anniversary of a “qualifying retirement” (as​ defined in the applicable equity award agreement) or termination of employment by the Company without “cause” or by Mr. Petras with “good reason” (as each is defined in the Amended and Restated CEO Employment Agreement) and</w:t>
      </w:r>
    </w:p>
    <w:p>
      <w:pPr>
        <w:ind w:left="1060" w:hanging="277"/>
        <w:spacing w:after="0"/>
        <w:tabs>
          <w:tab w:leader="none" w:pos="106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original expiration date of such stock option.</w:t>
      </w:r>
    </w:p>
    <w:p>
      <w:pPr>
        <w:spacing w:after="0" w:line="182" w:lineRule="exact"/>
        <w:rPr>
          <w:sz w:val="20"/>
          <w:szCs w:val="20"/>
          <w:color w:val="auto"/>
        </w:rPr>
      </w:pPr>
    </w:p>
    <w:p>
      <w:pPr>
        <w:ind w:left="780"/>
        <w:spacing w:after="0"/>
        <w:rPr>
          <w:sz w:val="20"/>
          <w:szCs w:val="20"/>
          <w:color w:val="auto"/>
        </w:rPr>
      </w:pPr>
      <w:r>
        <w:rPr>
          <w:rFonts w:ascii="Arial" w:cs="Arial" w:eastAsia="Arial" w:hAnsi="Arial"/>
          <w:sz w:val="21"/>
          <w:szCs w:val="21"/>
          <w:i w:val="1"/>
          <w:iCs w:val="1"/>
          <w:color w:val="auto"/>
        </w:rPr>
        <w:t>Treatment Specific to Mr. Dimitrief’s Awards</w:t>
      </w:r>
    </w:p>
    <w:p>
      <w:pPr>
        <w:spacing w:after="0" w:line="211" w:lineRule="exact"/>
        <w:rPr>
          <w:sz w:val="20"/>
          <w:szCs w:val="20"/>
          <w:color w:val="auto"/>
        </w:rPr>
      </w:pPr>
    </w:p>
    <w:p>
      <w:pPr>
        <w:ind w:left="780" w:right="179"/>
        <w:spacing w:after="0" w:line="272" w:lineRule="auto"/>
        <w:rPr>
          <w:sz w:val="20"/>
          <w:szCs w:val="20"/>
          <w:color w:val="auto"/>
        </w:rPr>
      </w:pPr>
      <w:r>
        <w:rPr>
          <w:rFonts w:ascii="Arial" w:cs="Arial" w:eastAsia="Arial" w:hAnsi="Arial"/>
          <w:sz w:val="19"/>
          <w:szCs w:val="19"/>
          <w:color w:val="auto"/>
        </w:rPr>
        <w:t>With respect to the stock options and restricted stock granted to Mr. Dimitrief under the 2020 Incentive Plan in November 2022, upon a termination of Mr. Dimitrief’s employment by the Company without “cause” (as​ defined in the 2020 Incentive Plan), such awards will fully vest. Mr. Dimitrief will also be afforded (i) 30 days following termination of employment by the Company with “cause” and</w:t>
      </w:r>
    </w:p>
    <w:p>
      <w:pPr>
        <w:spacing w:after="0" w:line="3" w:lineRule="exact"/>
        <w:rPr>
          <w:sz w:val="20"/>
          <w:szCs w:val="20"/>
          <w:color w:val="auto"/>
        </w:rPr>
      </w:pPr>
    </w:p>
    <w:p>
      <w:pPr>
        <w:ind w:left="780" w:right="239" w:firstLine="3"/>
        <w:spacing w:after="0" w:line="244" w:lineRule="auto"/>
        <w:tabs>
          <w:tab w:leader="none" w:pos="1042" w:val="left"/>
        </w:tabs>
        <w:numPr>
          <w:ilvl w:val="0"/>
          <w:numId w:val="50"/>
        </w:numPr>
        <w:rPr>
          <w:rFonts w:ascii="Arial" w:cs="Arial" w:eastAsia="Arial" w:hAnsi="Arial"/>
          <w:sz w:val="21"/>
          <w:szCs w:val="21"/>
          <w:color w:val="auto"/>
        </w:rPr>
      </w:pPr>
      <w:r>
        <w:rPr>
          <w:rFonts w:ascii="Arial" w:cs="Arial" w:eastAsia="Arial" w:hAnsi="Arial"/>
          <w:sz w:val="21"/>
          <w:szCs w:val="21"/>
          <w:color w:val="auto"/>
        </w:rPr>
        <w:t>one year following termination by the Company without “cause” to exercise the stock options that he was granted in November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1159510</wp:posOffset>
            </wp:positionV>
            <wp:extent cx="494665" cy="165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1035685</wp:posOffset>
            </wp:positionV>
            <wp:extent cx="5538470"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2024 Potential Post-Employment Payments Table</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Potential Post-Employment Payments Table</w:t>
      </w:r>
    </w:p>
    <w:p>
      <w:pPr>
        <w:spacing w:after="0" w:line="215" w:lineRule="exact"/>
        <w:rPr>
          <w:sz w:val="20"/>
          <w:szCs w:val="20"/>
          <w:color w:val="auto"/>
        </w:rPr>
      </w:pPr>
    </w:p>
    <w:p>
      <w:pPr>
        <w:ind w:left="780" w:right="339"/>
        <w:spacing w:after="0" w:line="251" w:lineRule="auto"/>
        <w:rPr>
          <w:sz w:val="20"/>
          <w:szCs w:val="20"/>
          <w:color w:val="auto"/>
        </w:rPr>
      </w:pPr>
      <w:r>
        <w:rPr>
          <w:rFonts w:ascii="Arial" w:cs="Arial" w:eastAsia="Arial" w:hAnsi="Arial"/>
          <w:sz w:val="21"/>
          <w:szCs w:val="21"/>
          <w:color w:val="auto"/>
        </w:rPr>
        <w:t>With respect to Mr. Petras, Mr. Lyons, Mr. Rutz and Mr. Dimitrief, the following table shows the estimated payments and value of enhanced or incremental benefits that we would have provided if the triggering events described in the heading of the table had occurred on December 31, 2024 based on our closing stock price of $13.68 on such date:</w:t>
      </w:r>
    </w:p>
    <w:p>
      <w:pPr>
        <w:spacing w:after="0" w:line="208"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center"/>
              <w:ind w:right="237"/>
              <w:spacing w:after="0"/>
              <w:rPr>
                <w:sz w:val="20"/>
                <w:szCs w:val="20"/>
                <w:color w:val="auto"/>
              </w:rPr>
            </w:pPr>
            <w:r>
              <w:rPr>
                <w:rFonts w:ascii="Arial" w:cs="Arial" w:eastAsia="Arial" w:hAnsi="Arial"/>
                <w:sz w:val="14"/>
                <w:szCs w:val="14"/>
                <w:b w:val="1"/>
                <w:bCs w:val="1"/>
                <w:color w:val="435F86"/>
                <w:w w:val="92"/>
              </w:rPr>
              <w:t>Termination</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00" w:type="dxa"/>
            <w:vAlign w:val="bottom"/>
            <w:gridSpan w:val="2"/>
          </w:tcPr>
          <w:p>
            <w:pPr>
              <w:jc w:val="center"/>
              <w:ind w:left="60"/>
              <w:spacing w:after="0" w:line="156" w:lineRule="exact"/>
              <w:rPr>
                <w:sz w:val="20"/>
                <w:szCs w:val="20"/>
                <w:color w:val="auto"/>
              </w:rPr>
            </w:pPr>
            <w:r>
              <w:rPr>
                <w:rFonts w:ascii="Arial" w:cs="Arial" w:eastAsia="Arial" w:hAnsi="Arial"/>
                <w:sz w:val="14"/>
                <w:szCs w:val="14"/>
                <w:b w:val="1"/>
                <w:bCs w:val="1"/>
                <w:color w:val="435F86"/>
                <w:w w:val="94"/>
              </w:rPr>
              <w:t>without “Cause”</w:t>
            </w: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gridSpan w:val="2"/>
          </w:tcPr>
          <w:p>
            <w:pPr>
              <w:ind w:left="160"/>
              <w:spacing w:after="0" w:line="156" w:lineRule="exact"/>
              <w:rPr>
                <w:sz w:val="20"/>
                <w:szCs w:val="20"/>
                <w:color w:val="auto"/>
              </w:rPr>
            </w:pPr>
            <w:r>
              <w:rPr>
                <w:rFonts w:ascii="Arial" w:cs="Arial" w:eastAsia="Arial" w:hAnsi="Arial"/>
                <w:sz w:val="14"/>
                <w:szCs w:val="14"/>
                <w:b w:val="1"/>
                <w:bCs w:val="1"/>
                <w:color w:val="435F86"/>
              </w:rPr>
              <w:t>Termination in</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00" w:type="dxa"/>
            <w:vAlign w:val="bottom"/>
            <w:gridSpan w:val="2"/>
          </w:tcPr>
          <w:p>
            <w:pPr>
              <w:jc w:val="center"/>
              <w:ind w:left="40"/>
              <w:spacing w:after="0" w:line="156" w:lineRule="exact"/>
              <w:rPr>
                <w:sz w:val="20"/>
                <w:szCs w:val="20"/>
                <w:color w:val="auto"/>
              </w:rPr>
            </w:pPr>
            <w:r>
              <w:rPr>
                <w:rFonts w:ascii="Arial" w:cs="Arial" w:eastAsia="Arial" w:hAnsi="Arial"/>
                <w:sz w:val="14"/>
                <w:szCs w:val="14"/>
                <w:b w:val="1"/>
                <w:bCs w:val="1"/>
                <w:color w:val="435F86"/>
                <w:w w:val="95"/>
              </w:rPr>
              <w:t>or Resignation</w:t>
            </w:r>
          </w:p>
        </w:tc>
        <w:tc>
          <w:tcPr>
            <w:tcW w:w="1240" w:type="dxa"/>
            <w:vAlign w:val="bottom"/>
            <w:gridSpan w:val="2"/>
          </w:tcPr>
          <w:p>
            <w:pPr>
              <w:jc w:val="right"/>
              <w:ind w:right="173"/>
              <w:spacing w:after="0" w:line="156" w:lineRule="exact"/>
              <w:rPr>
                <w:sz w:val="20"/>
                <w:szCs w:val="20"/>
                <w:color w:val="auto"/>
              </w:rPr>
            </w:pPr>
            <w:r>
              <w:rPr>
                <w:rFonts w:ascii="Arial" w:cs="Arial" w:eastAsia="Arial" w:hAnsi="Arial"/>
                <w:sz w:val="14"/>
                <w:szCs w:val="14"/>
                <w:b w:val="1"/>
                <w:bCs w:val="1"/>
                <w:color w:val="435F86"/>
              </w:rPr>
              <w:t>Termination</w:t>
            </w:r>
          </w:p>
        </w:tc>
        <w:tc>
          <w:tcPr>
            <w:tcW w:w="1200" w:type="dxa"/>
            <w:vAlign w:val="bottom"/>
          </w:tcPr>
          <w:p>
            <w:pPr>
              <w:spacing w:after="0"/>
              <w:rPr>
                <w:sz w:val="13"/>
                <w:szCs w:val="13"/>
                <w:color w:val="auto"/>
              </w:rPr>
            </w:pPr>
          </w:p>
        </w:tc>
        <w:tc>
          <w:tcPr>
            <w:tcW w:w="1180" w:type="dxa"/>
            <w:vAlign w:val="bottom"/>
            <w:gridSpan w:val="2"/>
          </w:tcPr>
          <w:p>
            <w:pPr>
              <w:ind w:left="240"/>
              <w:spacing w:after="0" w:line="156" w:lineRule="exact"/>
              <w:rPr>
                <w:sz w:val="20"/>
                <w:szCs w:val="20"/>
                <w:color w:val="auto"/>
              </w:rPr>
            </w:pPr>
            <w:r>
              <w:rPr>
                <w:rFonts w:ascii="Arial" w:cs="Arial" w:eastAsia="Arial" w:hAnsi="Arial"/>
                <w:sz w:val="14"/>
                <w:szCs w:val="14"/>
                <w:b w:val="1"/>
                <w:bCs w:val="1"/>
                <w:color w:val="435F86"/>
              </w:rPr>
              <w:t>Connection</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jc w:val="center"/>
              <w:ind w:right="237"/>
              <w:spacing w:after="0" w:line="156" w:lineRule="exact"/>
              <w:rPr>
                <w:sz w:val="20"/>
                <w:szCs w:val="20"/>
                <w:color w:val="auto"/>
              </w:rPr>
            </w:pPr>
            <w:r>
              <w:rPr>
                <w:rFonts w:ascii="Arial" w:cs="Arial" w:eastAsia="Arial" w:hAnsi="Arial"/>
                <w:sz w:val="14"/>
                <w:szCs w:val="14"/>
                <w:b w:val="1"/>
                <w:bCs w:val="1"/>
                <w:color w:val="435F86"/>
                <w:w w:val="93"/>
              </w:rPr>
              <w:t>for “Good</w:t>
            </w:r>
          </w:p>
        </w:tc>
        <w:tc>
          <w:tcPr>
            <w:tcW w:w="1240" w:type="dxa"/>
            <w:vAlign w:val="bottom"/>
            <w:gridSpan w:val="2"/>
          </w:tcPr>
          <w:p>
            <w:pPr>
              <w:ind w:left="200"/>
              <w:spacing w:after="0" w:line="156" w:lineRule="exact"/>
              <w:rPr>
                <w:sz w:val="20"/>
                <w:szCs w:val="20"/>
                <w:color w:val="auto"/>
              </w:rPr>
            </w:pPr>
            <w:r>
              <w:rPr>
                <w:rFonts w:ascii="Arial" w:cs="Arial" w:eastAsia="Arial" w:hAnsi="Arial"/>
                <w:sz w:val="14"/>
                <w:szCs w:val="14"/>
                <w:b w:val="1"/>
                <w:bCs w:val="1"/>
                <w:color w:val="435F86"/>
              </w:rPr>
              <w:t>due to Death</w:t>
            </w:r>
          </w:p>
        </w:tc>
        <w:tc>
          <w:tcPr>
            <w:tcW w:w="1200" w:type="dxa"/>
            <w:vAlign w:val="bottom"/>
          </w:tcPr>
          <w:p>
            <w:pPr>
              <w:jc w:val="right"/>
              <w:ind w:right="216"/>
              <w:spacing w:after="0" w:line="156" w:lineRule="exact"/>
              <w:rPr>
                <w:sz w:val="20"/>
                <w:szCs w:val="20"/>
                <w:color w:val="auto"/>
              </w:rPr>
            </w:pPr>
            <w:r>
              <w:rPr>
                <w:rFonts w:ascii="Arial" w:cs="Arial" w:eastAsia="Arial" w:hAnsi="Arial"/>
                <w:sz w:val="14"/>
                <w:szCs w:val="14"/>
                <w:b w:val="1"/>
                <w:bCs w:val="1"/>
                <w:color w:val="435F86"/>
              </w:rPr>
              <w:t>Qualifying</w:t>
            </w:r>
          </w:p>
        </w:tc>
        <w:tc>
          <w:tcPr>
            <w:tcW w:w="1180" w:type="dxa"/>
            <w:vAlign w:val="bottom"/>
            <w:gridSpan w:val="2"/>
          </w:tcPr>
          <w:p>
            <w:pPr>
              <w:ind w:left="160"/>
              <w:spacing w:after="0" w:line="156" w:lineRule="exact"/>
              <w:rPr>
                <w:sz w:val="20"/>
                <w:szCs w:val="20"/>
                <w:color w:val="auto"/>
              </w:rPr>
            </w:pPr>
            <w:r>
              <w:rPr>
                <w:rFonts w:ascii="Arial" w:cs="Arial" w:eastAsia="Arial" w:hAnsi="Arial"/>
                <w:sz w:val="14"/>
                <w:szCs w:val="14"/>
                <w:b w:val="1"/>
                <w:bCs w:val="1"/>
                <w:color w:val="435F86"/>
              </w:rPr>
              <w:t>with a Change</w:t>
            </w:r>
          </w:p>
        </w:tc>
        <w:tc>
          <w:tcPr>
            <w:tcW w:w="0" w:type="dxa"/>
            <w:vAlign w:val="bottom"/>
          </w:tcPr>
          <w:p>
            <w:pPr>
              <w:spacing w:after="0"/>
              <w:rPr>
                <w:sz w:val="1"/>
                <w:szCs w:val="1"/>
                <w:color w:val="auto"/>
              </w:rPr>
            </w:pPr>
          </w:p>
        </w:tc>
      </w:tr>
      <w:tr>
        <w:trPr>
          <w:trHeight w:val="191"/>
        </w:trPr>
        <w:tc>
          <w:tcPr>
            <w:tcW w:w="1800" w:type="dxa"/>
            <w:vAlign w:val="bottom"/>
            <w:tcBorders>
              <w:bottom w:val="single" w:sz="8" w:color="435F86"/>
            </w:tcBorders>
          </w:tcPr>
          <w:p>
            <w:pPr>
              <w:spacing w:after="0"/>
              <w:rPr>
                <w:sz w:val="16"/>
                <w:szCs w:val="16"/>
                <w:color w:val="auto"/>
              </w:rPr>
            </w:pPr>
          </w:p>
        </w:tc>
        <w:tc>
          <w:tcPr>
            <w:tcW w:w="1800" w:type="dxa"/>
            <w:vAlign w:val="bottom"/>
            <w:tcBorders>
              <w:bottom w:val="single" w:sz="8" w:color="435F86"/>
            </w:tcBorders>
          </w:tcPr>
          <w:p>
            <w:pPr>
              <w:ind w:left="140"/>
              <w:spacing w:after="0"/>
              <w:rPr>
                <w:sz w:val="20"/>
                <w:szCs w:val="20"/>
                <w:color w:val="auto"/>
              </w:rPr>
            </w:pPr>
            <w:r>
              <w:rPr>
                <w:rFonts w:ascii="Arial" w:cs="Arial" w:eastAsia="Arial" w:hAnsi="Arial"/>
                <w:sz w:val="14"/>
                <w:szCs w:val="14"/>
                <w:b w:val="1"/>
                <w:bCs w:val="1"/>
                <w:color w:val="435F86"/>
              </w:rPr>
              <w:t>Benefit</w:t>
            </w:r>
          </w:p>
        </w:tc>
        <w:tc>
          <w:tcPr>
            <w:tcW w:w="440" w:type="dxa"/>
            <w:vAlign w:val="bottom"/>
            <w:tcBorders>
              <w:bottom w:val="single" w:sz="8" w:color="435F86"/>
            </w:tcBorders>
          </w:tcPr>
          <w:p>
            <w:pPr>
              <w:spacing w:after="0"/>
              <w:rPr>
                <w:sz w:val="16"/>
                <w:szCs w:val="16"/>
                <w:color w:val="auto"/>
              </w:rPr>
            </w:pPr>
          </w:p>
        </w:tc>
        <w:tc>
          <w:tcPr>
            <w:tcW w:w="1060" w:type="dxa"/>
            <w:vAlign w:val="bottom"/>
            <w:tcBorders>
              <w:bottom w:val="single" w:sz="8" w:color="435F86"/>
            </w:tcBorders>
          </w:tcPr>
          <w:p>
            <w:pPr>
              <w:jc w:val="center"/>
              <w:ind w:right="197"/>
              <w:spacing w:after="0" w:line="191" w:lineRule="exact"/>
              <w:rPr>
                <w:sz w:val="20"/>
                <w:szCs w:val="20"/>
                <w:color w:val="auto"/>
              </w:rPr>
            </w:pPr>
            <w:r>
              <w:rPr>
                <w:rFonts w:ascii="Arial" w:cs="Arial" w:eastAsia="Arial" w:hAnsi="Arial"/>
                <w:sz w:val="14"/>
                <w:szCs w:val="14"/>
                <w:b w:val="1"/>
                <w:bCs w:val="1"/>
                <w:color w:val="435F86"/>
                <w:w w:val="92"/>
              </w:rPr>
              <w:t xml:space="preserve">Reason” </w:t>
            </w:r>
            <w:r>
              <w:rPr>
                <w:rFonts w:ascii="Arial" w:cs="Arial" w:eastAsia="Arial" w:hAnsi="Arial"/>
                <w:sz w:val="17"/>
                <w:szCs w:val="17"/>
                <w:b w:val="1"/>
                <w:bCs w:val="1"/>
                <w:color w:val="435F86"/>
                <w:w w:val="92"/>
                <w:vertAlign w:val="superscript"/>
              </w:rPr>
              <w:t>(1)</w:t>
            </w:r>
          </w:p>
        </w:tc>
        <w:tc>
          <w:tcPr>
            <w:tcW w:w="1240" w:type="dxa"/>
            <w:vAlign w:val="bottom"/>
            <w:tcBorders>
              <w:bottom w:val="single" w:sz="8" w:color="435F86"/>
            </w:tcBorders>
            <w:gridSpan w:val="2"/>
          </w:tcPr>
          <w:p>
            <w:pPr>
              <w:jc w:val="right"/>
              <w:ind w:right="153"/>
              <w:spacing w:after="0"/>
              <w:rPr>
                <w:sz w:val="20"/>
                <w:szCs w:val="20"/>
                <w:color w:val="auto"/>
              </w:rPr>
            </w:pPr>
            <w:r>
              <w:rPr>
                <w:rFonts w:ascii="Arial" w:cs="Arial" w:eastAsia="Arial" w:hAnsi="Arial"/>
                <w:sz w:val="14"/>
                <w:szCs w:val="14"/>
                <w:b w:val="1"/>
                <w:bCs w:val="1"/>
                <w:color w:val="435F86"/>
              </w:rPr>
              <w:t>or Disability</w:t>
            </w:r>
          </w:p>
        </w:tc>
        <w:tc>
          <w:tcPr>
            <w:tcW w:w="1200" w:type="dxa"/>
            <w:vAlign w:val="bottom"/>
            <w:tcBorders>
              <w:bottom w:val="single" w:sz="8" w:color="435F86"/>
            </w:tcBorders>
          </w:tcPr>
          <w:p>
            <w:pPr>
              <w:jc w:val="right"/>
              <w:ind w:right="96"/>
              <w:spacing w:after="0" w:line="191" w:lineRule="exact"/>
              <w:rPr>
                <w:sz w:val="20"/>
                <w:szCs w:val="20"/>
                <w:color w:val="auto"/>
              </w:rPr>
            </w:pPr>
            <w:r>
              <w:rPr>
                <w:rFonts w:ascii="Arial" w:cs="Arial" w:eastAsia="Arial" w:hAnsi="Arial"/>
                <w:sz w:val="14"/>
                <w:szCs w:val="14"/>
                <w:b w:val="1"/>
                <w:bCs w:val="1"/>
                <w:color w:val="435F86"/>
              </w:rPr>
              <w:t xml:space="preserve">Retirement </w:t>
            </w:r>
            <w:r>
              <w:rPr>
                <w:rFonts w:ascii="Arial" w:cs="Arial" w:eastAsia="Arial" w:hAnsi="Arial"/>
                <w:sz w:val="17"/>
                <w:szCs w:val="17"/>
                <w:b w:val="1"/>
                <w:bCs w:val="1"/>
                <w:color w:val="435F86"/>
                <w:vertAlign w:val="superscript"/>
              </w:rPr>
              <w:t>(2)</w:t>
            </w:r>
          </w:p>
        </w:tc>
        <w:tc>
          <w:tcPr>
            <w:tcW w:w="1180" w:type="dxa"/>
            <w:vAlign w:val="bottom"/>
            <w:tcBorders>
              <w:bottom w:val="single" w:sz="8" w:color="435F86"/>
            </w:tcBorders>
            <w:gridSpan w:val="2"/>
          </w:tcPr>
          <w:p>
            <w:pPr>
              <w:ind w:left="240"/>
              <w:spacing w:after="0" w:line="191" w:lineRule="exact"/>
              <w:rPr>
                <w:sz w:val="20"/>
                <w:szCs w:val="20"/>
                <w:color w:val="auto"/>
              </w:rPr>
            </w:pPr>
            <w:r>
              <w:rPr>
                <w:rFonts w:ascii="Arial" w:cs="Arial" w:eastAsia="Arial" w:hAnsi="Arial"/>
                <w:sz w:val="14"/>
                <w:szCs w:val="14"/>
                <w:b w:val="1"/>
                <w:bCs w:val="1"/>
                <w:color w:val="435F86"/>
              </w:rPr>
              <w:t xml:space="preserve">in Control </w:t>
            </w:r>
            <w:r>
              <w:rPr>
                <w:rFonts w:ascii="Arial" w:cs="Arial" w:eastAsia="Arial" w:hAnsi="Arial"/>
                <w:sz w:val="17"/>
                <w:szCs w:val="17"/>
                <w:b w:val="1"/>
                <w:bCs w:val="1"/>
                <w:color w:val="435F86"/>
                <w:vertAlign w:val="superscript"/>
              </w:rPr>
              <w:t>(3)</w:t>
            </w:r>
          </w:p>
        </w:tc>
        <w:tc>
          <w:tcPr>
            <w:tcW w:w="0" w:type="dxa"/>
            <w:vAlign w:val="bottom"/>
          </w:tcPr>
          <w:p>
            <w:pPr>
              <w:spacing w:after="0"/>
              <w:rPr>
                <w:sz w:val="1"/>
                <w:szCs w:val="1"/>
                <w:color w:val="auto"/>
              </w:rPr>
            </w:pPr>
          </w:p>
        </w:tc>
      </w:tr>
      <w:tr>
        <w:trPr>
          <w:trHeight w:val="253"/>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Michael B. Petras, Jr.</w:t>
            </w:r>
          </w:p>
        </w:tc>
        <w:tc>
          <w:tcPr>
            <w:tcW w:w="1800" w:type="dxa"/>
            <w:vAlign w:val="bottom"/>
            <w:tcBorders>
              <w:bottom w:val="single" w:sz="8" w:color="7B8FAA"/>
            </w:tcBorders>
            <w:shd w:val="clear" w:color="auto" w:fill="CCEEFF"/>
          </w:tcPr>
          <w:p>
            <w:pPr>
              <w:ind w:left="140"/>
              <w:spacing w:after="0"/>
              <w:rPr>
                <w:sz w:val="20"/>
                <w:szCs w:val="20"/>
                <w:color w:val="auto"/>
              </w:rPr>
            </w:pPr>
            <w:r>
              <w:rPr>
                <w:rFonts w:ascii="Arial" w:cs="Arial" w:eastAsia="Arial" w:hAnsi="Arial"/>
                <w:sz w:val="17"/>
                <w:szCs w:val="17"/>
                <w:color w:val="auto"/>
              </w:rPr>
              <w:t>Cash Severance</w:t>
            </w:r>
            <w:r>
              <w:rPr>
                <w:rFonts w:ascii="Arial" w:cs="Arial" w:eastAsia="Arial" w:hAnsi="Arial"/>
                <w:sz w:val="22"/>
                <w:szCs w:val="22"/>
                <w:color w:val="auto"/>
                <w:vertAlign w:val="superscript"/>
              </w:rPr>
              <w:t>(4)</w:t>
            </w:r>
          </w:p>
        </w:tc>
        <w:tc>
          <w:tcPr>
            <w:tcW w:w="44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7B8FAA"/>
            </w:tcBorders>
            <w:shd w:val="clear" w:color="auto" w:fill="CCEEFF"/>
          </w:tcPr>
          <w:p>
            <w:pPr>
              <w:jc w:val="right"/>
              <w:ind w:right="77"/>
              <w:spacing w:after="0"/>
              <w:rPr>
                <w:sz w:val="20"/>
                <w:szCs w:val="20"/>
                <w:color w:val="auto"/>
              </w:rPr>
            </w:pPr>
            <w:r>
              <w:rPr>
                <w:rFonts w:ascii="Arial" w:cs="Arial" w:eastAsia="Arial" w:hAnsi="Arial"/>
                <w:sz w:val="17"/>
                <w:szCs w:val="17"/>
                <w:color w:val="auto"/>
              </w:rPr>
              <w:t>2,205,000</w:t>
            </w:r>
          </w:p>
        </w:tc>
        <w:tc>
          <w:tcPr>
            <w:tcW w:w="300" w:type="dxa"/>
            <w:vAlign w:val="bottom"/>
            <w:tcBorders>
              <w:bottom w:val="single" w:sz="8" w:color="7B8FAA"/>
            </w:tcBorders>
            <w:shd w:val="clear" w:color="auto" w:fill="CCEEFF"/>
          </w:tcPr>
          <w:p>
            <w:pPr>
              <w:spacing w:after="0"/>
              <w:rPr>
                <w:sz w:val="21"/>
                <w:szCs w:val="21"/>
                <w:color w:val="auto"/>
              </w:rPr>
            </w:pPr>
          </w:p>
        </w:tc>
        <w:tc>
          <w:tcPr>
            <w:tcW w:w="940" w:type="dxa"/>
            <w:vAlign w:val="bottom"/>
            <w:tcBorders>
              <w:bottom w:val="single" w:sz="8" w:color="7B8FAA"/>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7B8FAA"/>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2,205,000</w:t>
            </w:r>
          </w:p>
        </w:tc>
        <w:tc>
          <w:tcPr>
            <w:tcW w:w="0" w:type="dxa"/>
            <w:vAlign w:val="bottom"/>
          </w:tcPr>
          <w:p>
            <w:pPr>
              <w:spacing w:after="0"/>
              <w:rPr>
                <w:sz w:val="1"/>
                <w:szCs w:val="1"/>
                <w:color w:val="auto"/>
              </w:rPr>
            </w:pPr>
          </w:p>
        </w:tc>
      </w:tr>
      <w:tr>
        <w:trPr>
          <w:trHeight w:val="253"/>
        </w:trPr>
        <w:tc>
          <w:tcPr>
            <w:tcW w:w="18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7B8FAA"/>
            </w:tcBorders>
            <w:shd w:val="clear" w:color="auto" w:fill="CCEEFF"/>
          </w:tcPr>
          <w:p>
            <w:pPr>
              <w:ind w:left="140"/>
              <w:spacing w:after="0"/>
              <w:rPr>
                <w:sz w:val="20"/>
                <w:szCs w:val="20"/>
                <w:color w:val="auto"/>
              </w:rPr>
            </w:pPr>
            <w:r>
              <w:rPr>
                <w:rFonts w:ascii="Arial" w:cs="Arial" w:eastAsia="Arial" w:hAnsi="Arial"/>
                <w:sz w:val="17"/>
                <w:szCs w:val="17"/>
                <w:color w:val="auto"/>
                <w:w w:val="93"/>
              </w:rPr>
              <w:t>COBRA continuation</w:t>
            </w:r>
            <w:r>
              <w:rPr>
                <w:rFonts w:ascii="Arial" w:cs="Arial" w:eastAsia="Arial" w:hAnsi="Arial"/>
                <w:sz w:val="22"/>
                <w:szCs w:val="22"/>
                <w:color w:val="auto"/>
                <w:w w:val="93"/>
                <w:vertAlign w:val="superscript"/>
              </w:rPr>
              <w:t>(5)</w:t>
            </w:r>
          </w:p>
        </w:tc>
        <w:tc>
          <w:tcPr>
            <w:tcW w:w="440" w:type="dxa"/>
            <w:vAlign w:val="bottom"/>
            <w:tcBorders>
              <w:bottom w:val="single" w:sz="8" w:color="7B8FAA"/>
            </w:tcBorders>
            <w:shd w:val="clear" w:color="auto" w:fill="CCEEFF"/>
          </w:tcPr>
          <w:p>
            <w:pPr>
              <w:spacing w:after="0"/>
              <w:rPr>
                <w:sz w:val="21"/>
                <w:szCs w:val="21"/>
                <w:color w:val="auto"/>
              </w:rPr>
            </w:pPr>
          </w:p>
        </w:tc>
        <w:tc>
          <w:tcPr>
            <w:tcW w:w="1060" w:type="dxa"/>
            <w:vAlign w:val="bottom"/>
            <w:tcBorders>
              <w:bottom w:val="single" w:sz="8" w:color="7B8FAA"/>
            </w:tcBorders>
            <w:shd w:val="clear" w:color="auto" w:fill="CCEEFF"/>
          </w:tcPr>
          <w:p>
            <w:pPr>
              <w:jc w:val="right"/>
              <w:ind w:right="77"/>
              <w:spacing w:after="0"/>
              <w:rPr>
                <w:sz w:val="20"/>
                <w:szCs w:val="20"/>
                <w:color w:val="auto"/>
              </w:rPr>
            </w:pPr>
            <w:r>
              <w:rPr>
                <w:rFonts w:ascii="Arial" w:cs="Arial" w:eastAsia="Arial" w:hAnsi="Arial"/>
                <w:sz w:val="17"/>
                <w:szCs w:val="17"/>
                <w:color w:val="auto"/>
              </w:rPr>
              <w:t>16,978</w:t>
            </w:r>
          </w:p>
        </w:tc>
        <w:tc>
          <w:tcPr>
            <w:tcW w:w="300" w:type="dxa"/>
            <w:vAlign w:val="bottom"/>
            <w:tcBorders>
              <w:bottom w:val="single" w:sz="8" w:color="7B8FAA"/>
            </w:tcBorders>
            <w:shd w:val="clear" w:color="auto" w:fill="CCEEFF"/>
          </w:tcPr>
          <w:p>
            <w:pPr>
              <w:spacing w:after="0"/>
              <w:rPr>
                <w:sz w:val="21"/>
                <w:szCs w:val="21"/>
                <w:color w:val="auto"/>
              </w:rPr>
            </w:pPr>
          </w:p>
        </w:tc>
        <w:tc>
          <w:tcPr>
            <w:tcW w:w="940" w:type="dxa"/>
            <w:vAlign w:val="bottom"/>
            <w:tcBorders>
              <w:bottom w:val="single" w:sz="8" w:color="7B8FAA"/>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7B8FAA"/>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shd w:val="clear" w:color="auto" w:fill="CCEEFF"/>
          </w:tcPr>
          <w:p>
            <w:pPr>
              <w:spacing w:after="0"/>
              <w:rPr>
                <w:sz w:val="21"/>
                <w:szCs w:val="21"/>
                <w:color w:val="auto"/>
              </w:rPr>
            </w:pPr>
          </w:p>
        </w:tc>
        <w:tc>
          <w:tcPr>
            <w:tcW w:w="8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16,978</w:t>
            </w: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spacing w:after="0"/>
              <w:rPr>
                <w:sz w:val="15"/>
                <w:szCs w:val="15"/>
                <w:color w:val="auto"/>
              </w:rPr>
            </w:pPr>
          </w:p>
        </w:tc>
        <w:tc>
          <w:tcPr>
            <w:tcW w:w="18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rPr>
              <w:t>Value of accelerated</w:t>
            </w:r>
          </w:p>
        </w:tc>
        <w:tc>
          <w:tcPr>
            <w:tcW w:w="4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7"/>
              <w:spacing w:after="0"/>
              <w:rPr>
                <w:sz w:val="20"/>
                <w:szCs w:val="20"/>
                <w:color w:val="auto"/>
              </w:rPr>
            </w:pPr>
            <w:r>
              <w:rPr>
                <w:rFonts w:ascii="Arial" w:cs="Arial" w:eastAsia="Arial" w:hAnsi="Arial"/>
                <w:sz w:val="17"/>
                <w:szCs w:val="17"/>
                <w:color w:val="auto"/>
              </w:rPr>
              <w:t>5,298,332</w:t>
            </w:r>
          </w:p>
        </w:tc>
        <w:tc>
          <w:tcPr>
            <w:tcW w:w="30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5,298,332</w:t>
            </w:r>
          </w:p>
        </w:tc>
        <w:tc>
          <w:tcPr>
            <w:tcW w:w="120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rPr>
              <w:t>$2,798,011</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6,548,520</w:t>
            </w:r>
          </w:p>
        </w:tc>
        <w:tc>
          <w:tcPr>
            <w:tcW w:w="0" w:type="dxa"/>
            <w:vAlign w:val="bottom"/>
          </w:tcPr>
          <w:p>
            <w:pPr>
              <w:spacing w:after="0"/>
              <w:rPr>
                <w:sz w:val="1"/>
                <w:szCs w:val="1"/>
                <w:color w:val="auto"/>
              </w:rPr>
            </w:pPr>
          </w:p>
        </w:tc>
      </w:tr>
      <w:tr>
        <w:trPr>
          <w:trHeight w:val="267"/>
        </w:trPr>
        <w:tc>
          <w:tcPr>
            <w:tcW w:w="1800" w:type="dxa"/>
            <w:vAlign w:val="bottom"/>
            <w:tcBorders>
              <w:bottom w:val="single" w:sz="8" w:color="7B8FAA"/>
            </w:tcBorders>
            <w:shd w:val="clear" w:color="auto" w:fill="CCEEFF"/>
          </w:tcPr>
          <w:p>
            <w:pPr>
              <w:spacing w:after="0"/>
              <w:rPr>
                <w:sz w:val="23"/>
                <w:szCs w:val="23"/>
                <w:color w:val="auto"/>
              </w:rPr>
            </w:pPr>
          </w:p>
        </w:tc>
        <w:tc>
          <w:tcPr>
            <w:tcW w:w="1800" w:type="dxa"/>
            <w:vAlign w:val="bottom"/>
            <w:tcBorders>
              <w:bottom w:val="single" w:sz="8" w:color="7B8FAA"/>
            </w:tcBorders>
            <w:shd w:val="clear" w:color="auto" w:fill="CCEEFF"/>
          </w:tcPr>
          <w:p>
            <w:pPr>
              <w:ind w:left="140"/>
              <w:spacing w:after="0"/>
              <w:rPr>
                <w:sz w:val="20"/>
                <w:szCs w:val="20"/>
                <w:color w:val="auto"/>
              </w:rPr>
            </w:pPr>
            <w:r>
              <w:rPr>
                <w:rFonts w:ascii="Arial" w:cs="Arial" w:eastAsia="Arial" w:hAnsi="Arial"/>
                <w:sz w:val="17"/>
                <w:szCs w:val="17"/>
                <w:color w:val="auto"/>
              </w:rPr>
              <w:t>Options and RSUs</w:t>
            </w:r>
            <w:r>
              <w:rPr>
                <w:rFonts w:ascii="Arial" w:cs="Arial" w:eastAsia="Arial" w:hAnsi="Arial"/>
                <w:sz w:val="22"/>
                <w:szCs w:val="22"/>
                <w:color w:val="auto"/>
                <w:vertAlign w:val="superscript"/>
              </w:rPr>
              <w:t>(7)</w:t>
            </w:r>
          </w:p>
        </w:tc>
        <w:tc>
          <w:tcPr>
            <w:tcW w:w="440" w:type="dxa"/>
            <w:vAlign w:val="bottom"/>
            <w:tcBorders>
              <w:bottom w:val="single" w:sz="8" w:color="7B8FAA"/>
            </w:tcBorders>
            <w:shd w:val="clear" w:color="auto" w:fill="CCEEFF"/>
          </w:tcPr>
          <w:p>
            <w:pPr>
              <w:spacing w:after="0"/>
              <w:rPr>
                <w:sz w:val="23"/>
                <w:szCs w:val="23"/>
                <w:color w:val="auto"/>
              </w:rPr>
            </w:pPr>
          </w:p>
        </w:tc>
        <w:tc>
          <w:tcPr>
            <w:tcW w:w="1060" w:type="dxa"/>
            <w:vAlign w:val="bottom"/>
            <w:tcBorders>
              <w:bottom w:val="single" w:sz="8" w:color="7B8FAA"/>
            </w:tcBorders>
            <w:vMerge w:val="continue"/>
            <w:shd w:val="clear" w:color="auto" w:fill="CCEEFF"/>
          </w:tcPr>
          <w:p>
            <w:pPr>
              <w:spacing w:after="0"/>
              <w:rPr>
                <w:sz w:val="23"/>
                <w:szCs w:val="23"/>
                <w:color w:val="auto"/>
              </w:rPr>
            </w:pPr>
          </w:p>
        </w:tc>
        <w:tc>
          <w:tcPr>
            <w:tcW w:w="300" w:type="dxa"/>
            <w:vAlign w:val="bottom"/>
            <w:tcBorders>
              <w:bottom w:val="single" w:sz="8" w:color="7B8FAA"/>
            </w:tcBorders>
            <w:vMerge w:val="continue"/>
            <w:shd w:val="clear" w:color="auto" w:fill="CCEEFF"/>
          </w:tcPr>
          <w:p>
            <w:pPr>
              <w:spacing w:after="0"/>
              <w:rPr>
                <w:sz w:val="23"/>
                <w:szCs w:val="23"/>
                <w:color w:val="auto"/>
              </w:rPr>
            </w:pPr>
          </w:p>
        </w:tc>
        <w:tc>
          <w:tcPr>
            <w:tcW w:w="940" w:type="dxa"/>
            <w:vAlign w:val="bottom"/>
            <w:tcBorders>
              <w:bottom w:val="single" w:sz="8" w:color="7B8FAA"/>
            </w:tcBorders>
            <w:vMerge w:val="continue"/>
            <w:shd w:val="clear" w:color="auto" w:fill="CCEEFF"/>
          </w:tcPr>
          <w:p>
            <w:pPr>
              <w:spacing w:after="0"/>
              <w:rPr>
                <w:sz w:val="23"/>
                <w:szCs w:val="23"/>
                <w:color w:val="auto"/>
              </w:rPr>
            </w:pPr>
          </w:p>
        </w:tc>
        <w:tc>
          <w:tcPr>
            <w:tcW w:w="1200" w:type="dxa"/>
            <w:vAlign w:val="bottom"/>
            <w:tcBorders>
              <w:bottom w:val="single" w:sz="8" w:color="7B8FAA"/>
            </w:tcBorders>
            <w:vMerge w:val="continue"/>
            <w:shd w:val="clear" w:color="auto" w:fill="CCEEFF"/>
          </w:tcPr>
          <w:p>
            <w:pPr>
              <w:spacing w:after="0"/>
              <w:rPr>
                <w:sz w:val="23"/>
                <w:szCs w:val="23"/>
                <w:color w:val="auto"/>
              </w:rPr>
            </w:pPr>
          </w:p>
        </w:tc>
        <w:tc>
          <w:tcPr>
            <w:tcW w:w="300" w:type="dxa"/>
            <w:vAlign w:val="bottom"/>
            <w:tcBorders>
              <w:bottom w:val="single" w:sz="8" w:color="7B8FAA"/>
            </w:tcBorders>
            <w:shd w:val="clear" w:color="auto" w:fill="CCEEFF"/>
          </w:tcPr>
          <w:p>
            <w:pPr>
              <w:spacing w:after="0"/>
              <w:rPr>
                <w:sz w:val="23"/>
                <w:szCs w:val="23"/>
                <w:color w:val="auto"/>
              </w:rPr>
            </w:pPr>
          </w:p>
        </w:tc>
        <w:tc>
          <w:tcPr>
            <w:tcW w:w="880" w:type="dxa"/>
            <w:vAlign w:val="bottom"/>
            <w:tcBorders>
              <w:bottom w:val="single" w:sz="8" w:color="7B8FAA"/>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800" w:type="dxa"/>
            <w:vAlign w:val="bottom"/>
          </w:tcPr>
          <w:p>
            <w:pPr>
              <w:ind w:left="100"/>
              <w:spacing w:after="0"/>
              <w:rPr>
                <w:sz w:val="20"/>
                <w:szCs w:val="20"/>
                <w:color w:val="auto"/>
              </w:rPr>
            </w:pPr>
            <w:r>
              <w:rPr>
                <w:rFonts w:ascii="Arial" w:cs="Arial" w:eastAsia="Arial" w:hAnsi="Arial"/>
                <w:sz w:val="17"/>
                <w:szCs w:val="17"/>
                <w:color w:val="auto"/>
              </w:rPr>
              <w:t>Jonathan Lyons</w:t>
            </w:r>
          </w:p>
        </w:tc>
        <w:tc>
          <w:tcPr>
            <w:tcW w:w="1800" w:type="dxa"/>
            <w:vAlign w:val="bottom"/>
            <w:tcBorders>
              <w:bottom w:val="single" w:sz="8" w:color="7B8FAA"/>
            </w:tcBorders>
          </w:tcPr>
          <w:p>
            <w:pPr>
              <w:ind w:left="140"/>
              <w:spacing w:after="0" w:line="240" w:lineRule="exact"/>
              <w:rPr>
                <w:sz w:val="20"/>
                <w:szCs w:val="20"/>
                <w:color w:val="auto"/>
              </w:rPr>
            </w:pPr>
            <w:r>
              <w:rPr>
                <w:rFonts w:ascii="Arial" w:cs="Arial" w:eastAsia="Arial" w:hAnsi="Arial"/>
                <w:sz w:val="17"/>
                <w:szCs w:val="17"/>
                <w:color w:val="auto"/>
              </w:rPr>
              <w:t>Cash Severance</w:t>
            </w:r>
            <w:r>
              <w:rPr>
                <w:rFonts w:ascii="Arial" w:cs="Arial" w:eastAsia="Arial" w:hAnsi="Arial"/>
                <w:sz w:val="22"/>
                <w:szCs w:val="22"/>
                <w:color w:val="auto"/>
                <w:vertAlign w:val="superscript"/>
              </w:rPr>
              <w:t>(4)</w:t>
            </w:r>
          </w:p>
        </w:tc>
        <w:tc>
          <w:tcPr>
            <w:tcW w:w="44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7B8FAA"/>
            </w:tcBorders>
          </w:tcPr>
          <w:p>
            <w:pPr>
              <w:jc w:val="right"/>
              <w:ind w:right="77"/>
              <w:spacing w:after="0"/>
              <w:rPr>
                <w:sz w:val="20"/>
                <w:szCs w:val="20"/>
                <w:color w:val="auto"/>
              </w:rPr>
            </w:pPr>
            <w:r>
              <w:rPr>
                <w:rFonts w:ascii="Arial" w:cs="Arial" w:eastAsia="Arial" w:hAnsi="Arial"/>
                <w:sz w:val="17"/>
                <w:szCs w:val="17"/>
                <w:color w:val="auto"/>
              </w:rPr>
              <w:t>500,000</w:t>
            </w:r>
          </w:p>
        </w:tc>
        <w:tc>
          <w:tcPr>
            <w:tcW w:w="300" w:type="dxa"/>
            <w:vAlign w:val="bottom"/>
            <w:tcBorders>
              <w:bottom w:val="single" w:sz="8" w:color="7B8FAA"/>
            </w:tcBorders>
          </w:tcPr>
          <w:p>
            <w:pPr>
              <w:spacing w:after="0"/>
              <w:rPr>
                <w:sz w:val="20"/>
                <w:szCs w:val="20"/>
                <w:color w:val="auto"/>
              </w:rPr>
            </w:pPr>
          </w:p>
        </w:tc>
        <w:tc>
          <w:tcPr>
            <w:tcW w:w="940" w:type="dxa"/>
            <w:vAlign w:val="bottom"/>
            <w:tcBorders>
              <w:bottom w:val="single" w:sz="8" w:color="7B8FAA"/>
            </w:tcBorders>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7B8FAA"/>
            </w:tcBorders>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tcPr>
          <w:p>
            <w:pPr>
              <w:ind w:lef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1800" w:type="dxa"/>
            <w:vAlign w:val="bottom"/>
          </w:tcPr>
          <w:p>
            <w:pPr>
              <w:ind w:left="140"/>
              <w:spacing w:after="0"/>
              <w:rPr>
                <w:sz w:val="20"/>
                <w:szCs w:val="20"/>
                <w:color w:val="auto"/>
              </w:rPr>
            </w:pPr>
            <w:r>
              <w:rPr>
                <w:rFonts w:ascii="Arial" w:cs="Arial" w:eastAsia="Arial" w:hAnsi="Arial"/>
                <w:sz w:val="17"/>
                <w:szCs w:val="17"/>
                <w:color w:val="auto"/>
              </w:rPr>
              <w:t>COBRA continuation</w:t>
            </w:r>
          </w:p>
        </w:tc>
        <w:tc>
          <w:tcPr>
            <w:tcW w:w="440" w:type="dxa"/>
            <w:vAlign w:val="bottom"/>
          </w:tcPr>
          <w:p>
            <w:pPr>
              <w:spacing w:after="0"/>
              <w:rPr>
                <w:sz w:val="19"/>
                <w:szCs w:val="19"/>
                <w:color w:val="auto"/>
              </w:rPr>
            </w:pPr>
          </w:p>
        </w:tc>
        <w:tc>
          <w:tcPr>
            <w:tcW w:w="106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1800" w:type="dxa"/>
            <w:vAlign w:val="bottom"/>
          </w:tcPr>
          <w:p>
            <w:pPr>
              <w:spacing w:after="0"/>
              <w:rPr>
                <w:sz w:val="2"/>
                <w:szCs w:val="2"/>
                <w:color w:val="auto"/>
              </w:rPr>
            </w:pPr>
          </w:p>
        </w:tc>
        <w:tc>
          <w:tcPr>
            <w:tcW w:w="1800" w:type="dxa"/>
            <w:vAlign w:val="bottom"/>
            <w:tcBorders>
              <w:bottom w:val="single" w:sz="8" w:color="7B8FAA"/>
            </w:tcBorders>
          </w:tcPr>
          <w:p>
            <w:pPr>
              <w:spacing w:after="0"/>
              <w:rPr>
                <w:sz w:val="2"/>
                <w:szCs w:val="2"/>
                <w:color w:val="auto"/>
              </w:rPr>
            </w:pPr>
          </w:p>
        </w:tc>
        <w:tc>
          <w:tcPr>
            <w:tcW w:w="440" w:type="dxa"/>
            <w:vAlign w:val="bottom"/>
            <w:tcBorders>
              <w:bottom w:val="single" w:sz="8" w:color="7B8FAA"/>
            </w:tcBorders>
          </w:tcPr>
          <w:p>
            <w:pPr>
              <w:spacing w:after="0"/>
              <w:rPr>
                <w:sz w:val="2"/>
                <w:szCs w:val="2"/>
                <w:color w:val="auto"/>
              </w:rPr>
            </w:pPr>
          </w:p>
        </w:tc>
        <w:tc>
          <w:tcPr>
            <w:tcW w:w="1060" w:type="dxa"/>
            <w:vAlign w:val="bottom"/>
            <w:tcBorders>
              <w:bottom w:val="single" w:sz="8" w:color="7B8FAA"/>
            </w:tcBorders>
          </w:tcPr>
          <w:p>
            <w:pPr>
              <w:spacing w:after="0"/>
              <w:rPr>
                <w:sz w:val="2"/>
                <w:szCs w:val="2"/>
                <w:color w:val="auto"/>
              </w:rPr>
            </w:pPr>
          </w:p>
        </w:tc>
        <w:tc>
          <w:tcPr>
            <w:tcW w:w="300" w:type="dxa"/>
            <w:vAlign w:val="bottom"/>
            <w:tcBorders>
              <w:bottom w:val="single" w:sz="8" w:color="7B8FAA"/>
            </w:tcBorders>
          </w:tcPr>
          <w:p>
            <w:pPr>
              <w:spacing w:after="0"/>
              <w:rPr>
                <w:sz w:val="2"/>
                <w:szCs w:val="2"/>
                <w:color w:val="auto"/>
              </w:rPr>
            </w:pPr>
          </w:p>
        </w:tc>
        <w:tc>
          <w:tcPr>
            <w:tcW w:w="940" w:type="dxa"/>
            <w:vAlign w:val="bottom"/>
            <w:tcBorders>
              <w:bottom w:val="single" w:sz="8" w:color="7B8FAA"/>
            </w:tcBorders>
          </w:tcPr>
          <w:p>
            <w:pPr>
              <w:spacing w:after="0"/>
              <w:rPr>
                <w:sz w:val="2"/>
                <w:szCs w:val="2"/>
                <w:color w:val="auto"/>
              </w:rPr>
            </w:pPr>
          </w:p>
        </w:tc>
        <w:tc>
          <w:tcPr>
            <w:tcW w:w="1200" w:type="dxa"/>
            <w:vAlign w:val="bottom"/>
            <w:tcBorders>
              <w:bottom w:val="single" w:sz="8" w:color="7B8FAA"/>
            </w:tcBorders>
          </w:tcPr>
          <w:p>
            <w:pPr>
              <w:spacing w:after="0"/>
              <w:rPr>
                <w:sz w:val="2"/>
                <w:szCs w:val="2"/>
                <w:color w:val="auto"/>
              </w:rPr>
            </w:pPr>
          </w:p>
        </w:tc>
        <w:tc>
          <w:tcPr>
            <w:tcW w:w="300" w:type="dxa"/>
            <w:vAlign w:val="bottom"/>
            <w:tcBorders>
              <w:bottom w:val="single" w:sz="8" w:color="7B8FAA"/>
            </w:tcBorders>
          </w:tcPr>
          <w:p>
            <w:pPr>
              <w:spacing w:after="0"/>
              <w:rPr>
                <w:sz w:val="2"/>
                <w:szCs w:val="2"/>
                <w:color w:val="auto"/>
              </w:rPr>
            </w:pPr>
          </w:p>
        </w:tc>
        <w:tc>
          <w:tcPr>
            <w:tcW w:w="880" w:type="dxa"/>
            <w:vAlign w:val="bottom"/>
            <w:tcBorders>
              <w:bottom w:val="single" w:sz="8" w:color="7B8FAA"/>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1800" w:type="dxa"/>
            <w:vAlign w:val="bottom"/>
          </w:tcPr>
          <w:p>
            <w:pPr>
              <w:ind w:left="140"/>
              <w:spacing w:after="0" w:line="180" w:lineRule="exact"/>
              <w:rPr>
                <w:sz w:val="20"/>
                <w:szCs w:val="20"/>
                <w:color w:val="auto"/>
              </w:rPr>
            </w:pPr>
            <w:r>
              <w:rPr>
                <w:rFonts w:ascii="Arial" w:cs="Arial" w:eastAsia="Arial" w:hAnsi="Arial"/>
                <w:sz w:val="17"/>
                <w:szCs w:val="17"/>
                <w:color w:val="auto"/>
              </w:rPr>
              <w:t>Value of accelerated</w:t>
            </w:r>
          </w:p>
        </w:tc>
        <w:tc>
          <w:tcPr>
            <w:tcW w:w="440" w:type="dxa"/>
            <w:vAlign w:val="bottom"/>
          </w:tcPr>
          <w:p>
            <w:pPr>
              <w:spacing w:after="0"/>
              <w:rPr>
                <w:sz w:val="15"/>
                <w:szCs w:val="15"/>
                <w:color w:val="auto"/>
              </w:rPr>
            </w:pPr>
          </w:p>
        </w:tc>
        <w:tc>
          <w:tcPr>
            <w:tcW w:w="1060" w:type="dxa"/>
            <w:vAlign w:val="bottom"/>
            <w:vMerge w:val="restart"/>
          </w:tcPr>
          <w:p>
            <w:pPr>
              <w:jc w:val="right"/>
              <w:ind w:right="77"/>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ind w:left="18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73"/>
              <w:spacing w:after="0"/>
              <w:rPr>
                <w:sz w:val="20"/>
                <w:szCs w:val="20"/>
                <w:color w:val="auto"/>
              </w:rPr>
            </w:pPr>
            <w:r>
              <w:rPr>
                <w:rFonts w:ascii="Arial" w:cs="Arial" w:eastAsia="Arial" w:hAnsi="Arial"/>
                <w:sz w:val="17"/>
                <w:szCs w:val="17"/>
                <w:color w:val="auto"/>
              </w:rPr>
              <w:t>1,076,999</w:t>
            </w:r>
          </w:p>
        </w:tc>
        <w:tc>
          <w:tcPr>
            <w:tcW w:w="1200" w:type="dxa"/>
            <w:vAlign w:val="bottom"/>
            <w:vMerge w:val="restart"/>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1,264,524</w:t>
            </w:r>
          </w:p>
        </w:tc>
        <w:tc>
          <w:tcPr>
            <w:tcW w:w="0" w:type="dxa"/>
            <w:vAlign w:val="bottom"/>
          </w:tcPr>
          <w:p>
            <w:pPr>
              <w:spacing w:after="0"/>
              <w:rPr>
                <w:sz w:val="1"/>
                <w:szCs w:val="1"/>
                <w:color w:val="auto"/>
              </w:rPr>
            </w:pPr>
          </w:p>
        </w:tc>
      </w:tr>
      <w:tr>
        <w:trPr>
          <w:trHeight w:val="267"/>
        </w:trPr>
        <w:tc>
          <w:tcPr>
            <w:tcW w:w="1800" w:type="dxa"/>
            <w:vAlign w:val="bottom"/>
            <w:tcBorders>
              <w:bottom w:val="single" w:sz="8" w:color="7B8FAA"/>
            </w:tcBorders>
          </w:tcPr>
          <w:p>
            <w:pPr>
              <w:spacing w:after="0"/>
              <w:rPr>
                <w:sz w:val="23"/>
                <w:szCs w:val="23"/>
                <w:color w:val="auto"/>
              </w:rPr>
            </w:pPr>
          </w:p>
        </w:tc>
        <w:tc>
          <w:tcPr>
            <w:tcW w:w="1800" w:type="dxa"/>
            <w:vAlign w:val="bottom"/>
            <w:tcBorders>
              <w:bottom w:val="single" w:sz="8" w:color="7B8FAA"/>
            </w:tcBorders>
          </w:tcPr>
          <w:p>
            <w:pPr>
              <w:ind w:left="140"/>
              <w:spacing w:after="0"/>
              <w:rPr>
                <w:sz w:val="20"/>
                <w:szCs w:val="20"/>
                <w:color w:val="auto"/>
              </w:rPr>
            </w:pPr>
            <w:r>
              <w:rPr>
                <w:rFonts w:ascii="Arial" w:cs="Arial" w:eastAsia="Arial" w:hAnsi="Arial"/>
                <w:sz w:val="17"/>
                <w:szCs w:val="17"/>
                <w:color w:val="auto"/>
                <w:w w:val="98"/>
              </w:rPr>
              <w:t>Options and RSUs</w:t>
            </w:r>
            <w:r>
              <w:rPr>
                <w:rFonts w:ascii="Arial" w:cs="Arial" w:eastAsia="Arial" w:hAnsi="Arial"/>
                <w:sz w:val="22"/>
                <w:szCs w:val="22"/>
                <w:color w:val="auto"/>
                <w:w w:val="98"/>
                <w:vertAlign w:val="superscript"/>
              </w:rPr>
              <w:t>(10)</w:t>
            </w:r>
          </w:p>
        </w:tc>
        <w:tc>
          <w:tcPr>
            <w:tcW w:w="440" w:type="dxa"/>
            <w:vAlign w:val="bottom"/>
            <w:tcBorders>
              <w:bottom w:val="single" w:sz="8" w:color="7B8FAA"/>
            </w:tcBorders>
          </w:tcPr>
          <w:p>
            <w:pPr>
              <w:spacing w:after="0"/>
              <w:rPr>
                <w:sz w:val="23"/>
                <w:szCs w:val="23"/>
                <w:color w:val="auto"/>
              </w:rPr>
            </w:pPr>
          </w:p>
        </w:tc>
        <w:tc>
          <w:tcPr>
            <w:tcW w:w="1060" w:type="dxa"/>
            <w:vAlign w:val="bottom"/>
            <w:tcBorders>
              <w:bottom w:val="single" w:sz="8" w:color="7B8FAA"/>
            </w:tcBorders>
            <w:vMerge w:val="continue"/>
          </w:tcPr>
          <w:p>
            <w:pPr>
              <w:spacing w:after="0"/>
              <w:rPr>
                <w:sz w:val="23"/>
                <w:szCs w:val="23"/>
                <w:color w:val="auto"/>
              </w:rPr>
            </w:pPr>
          </w:p>
        </w:tc>
        <w:tc>
          <w:tcPr>
            <w:tcW w:w="300" w:type="dxa"/>
            <w:vAlign w:val="bottom"/>
            <w:tcBorders>
              <w:bottom w:val="single" w:sz="8" w:color="7B8FAA"/>
            </w:tcBorders>
            <w:vMerge w:val="continue"/>
          </w:tcPr>
          <w:p>
            <w:pPr>
              <w:spacing w:after="0"/>
              <w:rPr>
                <w:sz w:val="23"/>
                <w:szCs w:val="23"/>
                <w:color w:val="auto"/>
              </w:rPr>
            </w:pPr>
          </w:p>
        </w:tc>
        <w:tc>
          <w:tcPr>
            <w:tcW w:w="940" w:type="dxa"/>
            <w:vAlign w:val="bottom"/>
            <w:tcBorders>
              <w:bottom w:val="single" w:sz="8" w:color="7B8FAA"/>
            </w:tcBorders>
            <w:vMerge w:val="continue"/>
          </w:tcPr>
          <w:p>
            <w:pPr>
              <w:spacing w:after="0"/>
              <w:rPr>
                <w:sz w:val="23"/>
                <w:szCs w:val="23"/>
                <w:color w:val="auto"/>
              </w:rPr>
            </w:pPr>
          </w:p>
        </w:tc>
        <w:tc>
          <w:tcPr>
            <w:tcW w:w="1200" w:type="dxa"/>
            <w:vAlign w:val="bottom"/>
            <w:tcBorders>
              <w:bottom w:val="single" w:sz="8" w:color="7B8FAA"/>
            </w:tcBorders>
            <w:vMerge w:val="continue"/>
          </w:tcPr>
          <w:p>
            <w:pPr>
              <w:spacing w:after="0"/>
              <w:rPr>
                <w:sz w:val="23"/>
                <w:szCs w:val="23"/>
                <w:color w:val="auto"/>
              </w:rPr>
            </w:pPr>
          </w:p>
        </w:tc>
        <w:tc>
          <w:tcPr>
            <w:tcW w:w="300" w:type="dxa"/>
            <w:vAlign w:val="bottom"/>
            <w:tcBorders>
              <w:bottom w:val="single" w:sz="8" w:color="7B8FAA"/>
            </w:tcBorders>
          </w:tcPr>
          <w:p>
            <w:pPr>
              <w:spacing w:after="0"/>
              <w:rPr>
                <w:sz w:val="23"/>
                <w:szCs w:val="23"/>
                <w:color w:val="auto"/>
              </w:rPr>
            </w:pPr>
          </w:p>
        </w:tc>
        <w:tc>
          <w:tcPr>
            <w:tcW w:w="880" w:type="dxa"/>
            <w:vAlign w:val="bottom"/>
            <w:tcBorders>
              <w:bottom w:val="single" w:sz="8" w:color="7B8FAA"/>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1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Michael P. Rutz</w:t>
            </w:r>
          </w:p>
        </w:tc>
        <w:tc>
          <w:tcPr>
            <w:tcW w:w="1800" w:type="dxa"/>
            <w:vAlign w:val="bottom"/>
            <w:tcBorders>
              <w:bottom w:val="single" w:sz="8" w:color="7B8FAA"/>
            </w:tcBorders>
            <w:shd w:val="clear" w:color="auto" w:fill="CCEEFF"/>
          </w:tcPr>
          <w:p>
            <w:pPr>
              <w:ind w:left="140"/>
              <w:spacing w:after="0" w:line="240" w:lineRule="exact"/>
              <w:rPr>
                <w:sz w:val="20"/>
                <w:szCs w:val="20"/>
                <w:color w:val="auto"/>
              </w:rPr>
            </w:pPr>
            <w:r>
              <w:rPr>
                <w:rFonts w:ascii="Arial" w:cs="Arial" w:eastAsia="Arial" w:hAnsi="Arial"/>
                <w:sz w:val="17"/>
                <w:szCs w:val="17"/>
                <w:color w:val="auto"/>
              </w:rPr>
              <w:t>Cash Severance</w:t>
            </w:r>
            <w:r>
              <w:rPr>
                <w:rFonts w:ascii="Arial" w:cs="Arial" w:eastAsia="Arial" w:hAnsi="Arial"/>
                <w:sz w:val="22"/>
                <w:szCs w:val="22"/>
                <w:color w:val="auto"/>
                <w:vertAlign w:val="superscript"/>
              </w:rPr>
              <w:t>(4)</w:t>
            </w:r>
          </w:p>
        </w:tc>
        <w:tc>
          <w:tcPr>
            <w:tcW w:w="44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7B8FAA"/>
            </w:tcBorders>
            <w:shd w:val="clear" w:color="auto" w:fill="CCEEFF"/>
          </w:tcPr>
          <w:p>
            <w:pPr>
              <w:jc w:val="right"/>
              <w:ind w:right="77"/>
              <w:spacing w:after="0"/>
              <w:rPr>
                <w:sz w:val="20"/>
                <w:szCs w:val="20"/>
                <w:color w:val="auto"/>
              </w:rPr>
            </w:pPr>
            <w:r>
              <w:rPr>
                <w:rFonts w:ascii="Arial" w:cs="Arial" w:eastAsia="Arial" w:hAnsi="Arial"/>
                <w:sz w:val="17"/>
                <w:szCs w:val="17"/>
                <w:color w:val="auto"/>
              </w:rPr>
              <w:t>500,000</w:t>
            </w:r>
          </w:p>
        </w:tc>
        <w:tc>
          <w:tcPr>
            <w:tcW w:w="300" w:type="dxa"/>
            <w:vAlign w:val="bottom"/>
            <w:tcBorders>
              <w:bottom w:val="single" w:sz="8" w:color="7B8FAA"/>
            </w:tcBorders>
            <w:shd w:val="clear" w:color="auto" w:fill="CCEEFF"/>
          </w:tcPr>
          <w:p>
            <w:pPr>
              <w:spacing w:after="0"/>
              <w:rPr>
                <w:sz w:val="20"/>
                <w:szCs w:val="20"/>
                <w:color w:val="auto"/>
              </w:rPr>
            </w:pPr>
          </w:p>
        </w:tc>
        <w:tc>
          <w:tcPr>
            <w:tcW w:w="940" w:type="dxa"/>
            <w:vAlign w:val="bottom"/>
            <w:tcBorders>
              <w:bottom w:val="single" w:sz="8" w:color="7B8FAA"/>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7B8FAA"/>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253"/>
        </w:trPr>
        <w:tc>
          <w:tcPr>
            <w:tcW w:w="18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7B8FAA"/>
            </w:tcBorders>
            <w:shd w:val="clear" w:color="auto" w:fill="CCEEFF"/>
          </w:tcPr>
          <w:p>
            <w:pPr>
              <w:ind w:left="140"/>
              <w:spacing w:after="0"/>
              <w:rPr>
                <w:sz w:val="20"/>
                <w:szCs w:val="20"/>
                <w:color w:val="auto"/>
              </w:rPr>
            </w:pPr>
            <w:r>
              <w:rPr>
                <w:rFonts w:ascii="Arial" w:cs="Arial" w:eastAsia="Arial" w:hAnsi="Arial"/>
                <w:sz w:val="17"/>
                <w:szCs w:val="17"/>
                <w:color w:val="auto"/>
                <w:w w:val="93"/>
              </w:rPr>
              <w:t>COBRA continuation</w:t>
            </w:r>
            <w:r>
              <w:rPr>
                <w:rFonts w:ascii="Arial" w:cs="Arial" w:eastAsia="Arial" w:hAnsi="Arial"/>
                <w:sz w:val="22"/>
                <w:szCs w:val="22"/>
                <w:color w:val="auto"/>
                <w:w w:val="93"/>
                <w:vertAlign w:val="superscript"/>
              </w:rPr>
              <w:t>(5)</w:t>
            </w:r>
          </w:p>
        </w:tc>
        <w:tc>
          <w:tcPr>
            <w:tcW w:w="440" w:type="dxa"/>
            <w:vAlign w:val="bottom"/>
            <w:tcBorders>
              <w:bottom w:val="single" w:sz="8" w:color="7B8FAA"/>
            </w:tcBorders>
            <w:shd w:val="clear" w:color="auto" w:fill="CCEEFF"/>
          </w:tcPr>
          <w:p>
            <w:pPr>
              <w:spacing w:after="0"/>
              <w:rPr>
                <w:sz w:val="21"/>
                <w:szCs w:val="21"/>
                <w:color w:val="auto"/>
              </w:rPr>
            </w:pPr>
          </w:p>
        </w:tc>
        <w:tc>
          <w:tcPr>
            <w:tcW w:w="1060" w:type="dxa"/>
            <w:vAlign w:val="bottom"/>
            <w:tcBorders>
              <w:bottom w:val="single" w:sz="8" w:color="7B8FAA"/>
            </w:tcBorders>
            <w:shd w:val="clear" w:color="auto" w:fill="CCEEFF"/>
          </w:tcPr>
          <w:p>
            <w:pPr>
              <w:jc w:val="right"/>
              <w:ind w:right="77"/>
              <w:spacing w:after="0"/>
              <w:rPr>
                <w:sz w:val="20"/>
                <w:szCs w:val="20"/>
                <w:color w:val="auto"/>
              </w:rPr>
            </w:pPr>
            <w:r>
              <w:rPr>
                <w:rFonts w:ascii="Arial" w:cs="Arial" w:eastAsia="Arial" w:hAnsi="Arial"/>
                <w:sz w:val="17"/>
                <w:szCs w:val="17"/>
                <w:color w:val="auto"/>
              </w:rPr>
              <w:t>16,978</w:t>
            </w:r>
          </w:p>
        </w:tc>
        <w:tc>
          <w:tcPr>
            <w:tcW w:w="300" w:type="dxa"/>
            <w:vAlign w:val="bottom"/>
            <w:tcBorders>
              <w:bottom w:val="single" w:sz="8" w:color="7B8FAA"/>
            </w:tcBorders>
            <w:shd w:val="clear" w:color="auto" w:fill="CCEEFF"/>
          </w:tcPr>
          <w:p>
            <w:pPr>
              <w:spacing w:after="0"/>
              <w:rPr>
                <w:sz w:val="21"/>
                <w:szCs w:val="21"/>
                <w:color w:val="auto"/>
              </w:rPr>
            </w:pPr>
          </w:p>
        </w:tc>
        <w:tc>
          <w:tcPr>
            <w:tcW w:w="940" w:type="dxa"/>
            <w:vAlign w:val="bottom"/>
            <w:tcBorders>
              <w:bottom w:val="single" w:sz="8" w:color="7B8FAA"/>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7B8FAA"/>
            </w:tcBorders>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shd w:val="clear" w:color="auto" w:fill="CCEEFF"/>
          </w:tcPr>
          <w:p>
            <w:pPr>
              <w:spacing w:after="0"/>
              <w:rPr>
                <w:sz w:val="21"/>
                <w:szCs w:val="21"/>
                <w:color w:val="auto"/>
              </w:rPr>
            </w:pPr>
          </w:p>
        </w:tc>
        <w:tc>
          <w:tcPr>
            <w:tcW w:w="88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16,978</w:t>
            </w: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spacing w:after="0"/>
              <w:rPr>
                <w:sz w:val="15"/>
                <w:szCs w:val="15"/>
                <w:color w:val="auto"/>
              </w:rPr>
            </w:pPr>
          </w:p>
        </w:tc>
        <w:tc>
          <w:tcPr>
            <w:tcW w:w="18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rPr>
              <w:t>Change in Control</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3"/>
              <w:spacing w:after="0" w:line="180"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76"/>
              <w:spacing w:after="0" w:line="180"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1,500,000</w:t>
            </w:r>
          </w:p>
        </w:tc>
        <w:tc>
          <w:tcPr>
            <w:tcW w:w="0" w:type="dxa"/>
            <w:vAlign w:val="bottom"/>
          </w:tcPr>
          <w:p>
            <w:pPr>
              <w:spacing w:after="0"/>
              <w:rPr>
                <w:sz w:val="1"/>
                <w:szCs w:val="1"/>
                <w:color w:val="auto"/>
              </w:rPr>
            </w:pPr>
          </w:p>
        </w:tc>
      </w:tr>
      <w:tr>
        <w:trPr>
          <w:trHeight w:val="280"/>
        </w:trPr>
        <w:tc>
          <w:tcPr>
            <w:tcW w:w="18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7B8FAA"/>
            </w:tcBorders>
            <w:shd w:val="clear" w:color="auto" w:fill="CCEEFF"/>
          </w:tcPr>
          <w:p>
            <w:pPr>
              <w:ind w:left="140"/>
              <w:spacing w:after="0"/>
              <w:rPr>
                <w:sz w:val="20"/>
                <w:szCs w:val="20"/>
                <w:color w:val="auto"/>
              </w:rPr>
            </w:pPr>
            <w:r>
              <w:rPr>
                <w:rFonts w:ascii="Arial" w:cs="Arial" w:eastAsia="Arial" w:hAnsi="Arial"/>
                <w:sz w:val="17"/>
                <w:szCs w:val="17"/>
                <w:color w:val="auto"/>
              </w:rPr>
              <w:t>Bonus</w:t>
            </w:r>
            <w:r>
              <w:rPr>
                <w:rFonts w:ascii="Arial" w:cs="Arial" w:eastAsia="Arial" w:hAnsi="Arial"/>
                <w:sz w:val="22"/>
                <w:szCs w:val="22"/>
                <w:color w:val="auto"/>
                <w:vertAlign w:val="superscript"/>
              </w:rPr>
              <w:t>(6)</w:t>
            </w:r>
          </w:p>
        </w:tc>
        <w:tc>
          <w:tcPr>
            <w:tcW w:w="440" w:type="dxa"/>
            <w:vAlign w:val="bottom"/>
            <w:tcBorders>
              <w:bottom w:val="single" w:sz="8" w:color="7B8FAA"/>
            </w:tcBorders>
            <w:shd w:val="clear" w:color="auto" w:fill="CCEEFF"/>
          </w:tcPr>
          <w:p>
            <w:pPr>
              <w:spacing w:after="0"/>
              <w:rPr>
                <w:sz w:val="24"/>
                <w:szCs w:val="24"/>
                <w:color w:val="auto"/>
              </w:rPr>
            </w:pPr>
          </w:p>
        </w:tc>
        <w:tc>
          <w:tcPr>
            <w:tcW w:w="1060" w:type="dxa"/>
            <w:vAlign w:val="bottom"/>
            <w:tcBorders>
              <w:bottom w:val="single" w:sz="8" w:color="7B8FAA"/>
            </w:tcBorders>
            <w:shd w:val="clear" w:color="auto" w:fill="CCEEFF"/>
          </w:tcPr>
          <w:p>
            <w:pPr>
              <w:spacing w:after="0"/>
              <w:rPr>
                <w:sz w:val="24"/>
                <w:szCs w:val="24"/>
                <w:color w:val="auto"/>
              </w:rPr>
            </w:pPr>
          </w:p>
        </w:tc>
        <w:tc>
          <w:tcPr>
            <w:tcW w:w="300" w:type="dxa"/>
            <w:vAlign w:val="bottom"/>
            <w:tcBorders>
              <w:bottom w:val="single" w:sz="8" w:color="7B8FAA"/>
            </w:tcBorders>
            <w:shd w:val="clear" w:color="auto" w:fill="CCEEFF"/>
          </w:tcPr>
          <w:p>
            <w:pPr>
              <w:spacing w:after="0"/>
              <w:rPr>
                <w:sz w:val="24"/>
                <w:szCs w:val="24"/>
                <w:color w:val="auto"/>
              </w:rPr>
            </w:pPr>
          </w:p>
        </w:tc>
        <w:tc>
          <w:tcPr>
            <w:tcW w:w="940" w:type="dxa"/>
            <w:vAlign w:val="bottom"/>
            <w:tcBorders>
              <w:bottom w:val="single" w:sz="8" w:color="7B8FAA"/>
            </w:tcBorders>
            <w:shd w:val="clear" w:color="auto" w:fill="CCEEFF"/>
          </w:tcPr>
          <w:p>
            <w:pPr>
              <w:spacing w:after="0"/>
              <w:rPr>
                <w:sz w:val="24"/>
                <w:szCs w:val="24"/>
                <w:color w:val="auto"/>
              </w:rPr>
            </w:pPr>
          </w:p>
        </w:tc>
        <w:tc>
          <w:tcPr>
            <w:tcW w:w="1200" w:type="dxa"/>
            <w:vAlign w:val="bottom"/>
            <w:tcBorders>
              <w:bottom w:val="single" w:sz="8" w:color="7B8FAA"/>
            </w:tcBorders>
            <w:shd w:val="clear" w:color="auto" w:fill="CCEEFF"/>
          </w:tcPr>
          <w:p>
            <w:pPr>
              <w:spacing w:after="0"/>
              <w:rPr>
                <w:sz w:val="24"/>
                <w:szCs w:val="24"/>
                <w:color w:val="auto"/>
              </w:rPr>
            </w:pPr>
          </w:p>
        </w:tc>
        <w:tc>
          <w:tcPr>
            <w:tcW w:w="300" w:type="dxa"/>
            <w:vAlign w:val="bottom"/>
            <w:tcBorders>
              <w:bottom w:val="single" w:sz="8" w:color="7B8FAA"/>
            </w:tcBorders>
            <w:shd w:val="clear" w:color="auto" w:fill="CCEEFF"/>
          </w:tcPr>
          <w:p>
            <w:pPr>
              <w:spacing w:after="0"/>
              <w:rPr>
                <w:sz w:val="24"/>
                <w:szCs w:val="24"/>
                <w:color w:val="auto"/>
              </w:rPr>
            </w:pPr>
          </w:p>
        </w:tc>
        <w:tc>
          <w:tcPr>
            <w:tcW w:w="880" w:type="dxa"/>
            <w:vAlign w:val="bottom"/>
            <w:tcBorders>
              <w:bottom w:val="single" w:sz="8" w:color="7B8FAA"/>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CCEEFF"/>
          </w:tcPr>
          <w:p>
            <w:pPr>
              <w:spacing w:after="0"/>
              <w:rPr>
                <w:sz w:val="15"/>
                <w:szCs w:val="15"/>
                <w:color w:val="auto"/>
              </w:rPr>
            </w:pPr>
          </w:p>
        </w:tc>
        <w:tc>
          <w:tcPr>
            <w:tcW w:w="1800" w:type="dxa"/>
            <w:vAlign w:val="bottom"/>
            <w:shd w:val="clear" w:color="auto" w:fill="CCEEFF"/>
          </w:tcPr>
          <w:p>
            <w:pPr>
              <w:ind w:left="140"/>
              <w:spacing w:after="0" w:line="180" w:lineRule="exact"/>
              <w:rPr>
                <w:sz w:val="20"/>
                <w:szCs w:val="20"/>
                <w:color w:val="auto"/>
              </w:rPr>
            </w:pPr>
            <w:r>
              <w:rPr>
                <w:rFonts w:ascii="Arial" w:cs="Arial" w:eastAsia="Arial" w:hAnsi="Arial"/>
                <w:sz w:val="17"/>
                <w:szCs w:val="17"/>
                <w:color w:val="auto"/>
              </w:rPr>
              <w:t>Value of accelerated</w:t>
            </w:r>
          </w:p>
        </w:tc>
        <w:tc>
          <w:tcPr>
            <w:tcW w:w="4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1,258,259</w:t>
            </w:r>
          </w:p>
        </w:tc>
        <w:tc>
          <w:tcPr>
            <w:tcW w:w="1200" w:type="dxa"/>
            <w:vAlign w:val="bottom"/>
            <w:vMerge w:val="restart"/>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1,414,539</w:t>
            </w:r>
          </w:p>
        </w:tc>
        <w:tc>
          <w:tcPr>
            <w:tcW w:w="0" w:type="dxa"/>
            <w:vAlign w:val="bottom"/>
          </w:tcPr>
          <w:p>
            <w:pPr>
              <w:spacing w:after="0"/>
              <w:rPr>
                <w:sz w:val="1"/>
                <w:szCs w:val="1"/>
                <w:color w:val="auto"/>
              </w:rPr>
            </w:pPr>
          </w:p>
        </w:tc>
      </w:tr>
      <w:tr>
        <w:trPr>
          <w:trHeight w:val="267"/>
        </w:trPr>
        <w:tc>
          <w:tcPr>
            <w:tcW w:w="1800" w:type="dxa"/>
            <w:vAlign w:val="bottom"/>
            <w:tcBorders>
              <w:bottom w:val="single" w:sz="8" w:color="7B8FAA"/>
            </w:tcBorders>
            <w:shd w:val="clear" w:color="auto" w:fill="CCEEFF"/>
          </w:tcPr>
          <w:p>
            <w:pPr>
              <w:spacing w:after="0"/>
              <w:rPr>
                <w:sz w:val="23"/>
                <w:szCs w:val="23"/>
                <w:color w:val="auto"/>
              </w:rPr>
            </w:pPr>
          </w:p>
        </w:tc>
        <w:tc>
          <w:tcPr>
            <w:tcW w:w="1800" w:type="dxa"/>
            <w:vAlign w:val="bottom"/>
            <w:tcBorders>
              <w:bottom w:val="single" w:sz="8" w:color="7B8FAA"/>
            </w:tcBorders>
            <w:shd w:val="clear" w:color="auto" w:fill="CCEEFF"/>
          </w:tcPr>
          <w:p>
            <w:pPr>
              <w:ind w:left="140"/>
              <w:spacing w:after="0"/>
              <w:rPr>
                <w:sz w:val="20"/>
                <w:szCs w:val="20"/>
                <w:color w:val="auto"/>
              </w:rPr>
            </w:pPr>
            <w:r>
              <w:rPr>
                <w:rFonts w:ascii="Arial" w:cs="Arial" w:eastAsia="Arial" w:hAnsi="Arial"/>
                <w:sz w:val="17"/>
                <w:szCs w:val="17"/>
                <w:color w:val="auto"/>
              </w:rPr>
              <w:t>Options and RSUs</w:t>
            </w:r>
            <w:r>
              <w:rPr>
                <w:rFonts w:ascii="Arial" w:cs="Arial" w:eastAsia="Arial" w:hAnsi="Arial"/>
                <w:sz w:val="22"/>
                <w:szCs w:val="22"/>
                <w:color w:val="auto"/>
                <w:vertAlign w:val="superscript"/>
              </w:rPr>
              <w:t>(9)</w:t>
            </w:r>
          </w:p>
        </w:tc>
        <w:tc>
          <w:tcPr>
            <w:tcW w:w="440" w:type="dxa"/>
            <w:vAlign w:val="bottom"/>
            <w:tcBorders>
              <w:bottom w:val="single" w:sz="8" w:color="7B8FAA"/>
            </w:tcBorders>
            <w:shd w:val="clear" w:color="auto" w:fill="CCEEFF"/>
          </w:tcPr>
          <w:p>
            <w:pPr>
              <w:spacing w:after="0"/>
              <w:rPr>
                <w:sz w:val="23"/>
                <w:szCs w:val="23"/>
                <w:color w:val="auto"/>
              </w:rPr>
            </w:pPr>
          </w:p>
        </w:tc>
        <w:tc>
          <w:tcPr>
            <w:tcW w:w="1060" w:type="dxa"/>
            <w:vAlign w:val="bottom"/>
            <w:tcBorders>
              <w:bottom w:val="single" w:sz="8" w:color="7B8FAA"/>
            </w:tcBorders>
            <w:vMerge w:val="continue"/>
            <w:shd w:val="clear" w:color="auto" w:fill="CCEEFF"/>
          </w:tcPr>
          <w:p>
            <w:pPr>
              <w:spacing w:after="0"/>
              <w:rPr>
                <w:sz w:val="23"/>
                <w:szCs w:val="23"/>
                <w:color w:val="auto"/>
              </w:rPr>
            </w:pPr>
          </w:p>
        </w:tc>
        <w:tc>
          <w:tcPr>
            <w:tcW w:w="300" w:type="dxa"/>
            <w:vAlign w:val="bottom"/>
            <w:tcBorders>
              <w:bottom w:val="single" w:sz="8" w:color="7B8FAA"/>
            </w:tcBorders>
            <w:vMerge w:val="continue"/>
            <w:shd w:val="clear" w:color="auto" w:fill="CCEEFF"/>
          </w:tcPr>
          <w:p>
            <w:pPr>
              <w:spacing w:after="0"/>
              <w:rPr>
                <w:sz w:val="23"/>
                <w:szCs w:val="23"/>
                <w:color w:val="auto"/>
              </w:rPr>
            </w:pPr>
          </w:p>
        </w:tc>
        <w:tc>
          <w:tcPr>
            <w:tcW w:w="940" w:type="dxa"/>
            <w:vAlign w:val="bottom"/>
            <w:tcBorders>
              <w:bottom w:val="single" w:sz="8" w:color="7B8FAA"/>
            </w:tcBorders>
            <w:vMerge w:val="continue"/>
            <w:shd w:val="clear" w:color="auto" w:fill="CCEEFF"/>
          </w:tcPr>
          <w:p>
            <w:pPr>
              <w:spacing w:after="0"/>
              <w:rPr>
                <w:sz w:val="23"/>
                <w:szCs w:val="23"/>
                <w:color w:val="auto"/>
              </w:rPr>
            </w:pPr>
          </w:p>
        </w:tc>
        <w:tc>
          <w:tcPr>
            <w:tcW w:w="1200" w:type="dxa"/>
            <w:vAlign w:val="bottom"/>
            <w:tcBorders>
              <w:bottom w:val="single" w:sz="8" w:color="7B8FAA"/>
            </w:tcBorders>
            <w:vMerge w:val="continue"/>
            <w:shd w:val="clear" w:color="auto" w:fill="CCEEFF"/>
          </w:tcPr>
          <w:p>
            <w:pPr>
              <w:spacing w:after="0"/>
              <w:rPr>
                <w:sz w:val="23"/>
                <w:szCs w:val="23"/>
                <w:color w:val="auto"/>
              </w:rPr>
            </w:pPr>
          </w:p>
        </w:tc>
        <w:tc>
          <w:tcPr>
            <w:tcW w:w="300" w:type="dxa"/>
            <w:vAlign w:val="bottom"/>
            <w:tcBorders>
              <w:bottom w:val="single" w:sz="8" w:color="7B8FAA"/>
            </w:tcBorders>
            <w:shd w:val="clear" w:color="auto" w:fill="CCEEFF"/>
          </w:tcPr>
          <w:p>
            <w:pPr>
              <w:spacing w:after="0"/>
              <w:rPr>
                <w:sz w:val="23"/>
                <w:szCs w:val="23"/>
                <w:color w:val="auto"/>
              </w:rPr>
            </w:pPr>
          </w:p>
        </w:tc>
        <w:tc>
          <w:tcPr>
            <w:tcW w:w="880" w:type="dxa"/>
            <w:vAlign w:val="bottom"/>
            <w:tcBorders>
              <w:bottom w:val="single" w:sz="8" w:color="7B8FAA"/>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800" w:type="dxa"/>
            <w:vAlign w:val="bottom"/>
          </w:tcPr>
          <w:p>
            <w:pPr>
              <w:ind w:left="100"/>
              <w:spacing w:after="0"/>
              <w:rPr>
                <w:sz w:val="20"/>
                <w:szCs w:val="20"/>
                <w:color w:val="auto"/>
              </w:rPr>
            </w:pPr>
            <w:r>
              <w:rPr>
                <w:rFonts w:ascii="Arial" w:cs="Arial" w:eastAsia="Arial" w:hAnsi="Arial"/>
                <w:sz w:val="17"/>
                <w:szCs w:val="17"/>
                <w:color w:val="auto"/>
              </w:rPr>
              <w:t>Alexander Dimitrief</w:t>
            </w:r>
          </w:p>
        </w:tc>
        <w:tc>
          <w:tcPr>
            <w:tcW w:w="1800" w:type="dxa"/>
            <w:vAlign w:val="bottom"/>
            <w:tcBorders>
              <w:bottom w:val="single" w:sz="8" w:color="7B8FAA"/>
            </w:tcBorders>
          </w:tcPr>
          <w:p>
            <w:pPr>
              <w:ind w:left="140"/>
              <w:spacing w:after="0"/>
              <w:rPr>
                <w:sz w:val="20"/>
                <w:szCs w:val="20"/>
                <w:color w:val="auto"/>
              </w:rPr>
            </w:pPr>
            <w:r>
              <w:rPr>
                <w:rFonts w:ascii="Arial" w:cs="Arial" w:eastAsia="Arial" w:hAnsi="Arial"/>
                <w:sz w:val="17"/>
                <w:szCs w:val="17"/>
                <w:color w:val="auto"/>
              </w:rPr>
              <w:t>Cash Severance</w:t>
            </w:r>
          </w:p>
        </w:tc>
        <w:tc>
          <w:tcPr>
            <w:tcW w:w="440" w:type="dxa"/>
            <w:vAlign w:val="bottom"/>
            <w:tcBorders>
              <w:bottom w:val="single" w:sz="8" w:color="7B8FAA"/>
            </w:tcBorders>
          </w:tcPr>
          <w:p>
            <w:pPr>
              <w:spacing w:after="0"/>
              <w:rPr>
                <w:sz w:val="20"/>
                <w:szCs w:val="20"/>
                <w:color w:val="auto"/>
              </w:rPr>
            </w:pPr>
          </w:p>
        </w:tc>
        <w:tc>
          <w:tcPr>
            <w:tcW w:w="1060" w:type="dxa"/>
            <w:vAlign w:val="bottom"/>
            <w:tcBorders>
              <w:bottom w:val="single" w:sz="8" w:color="7B8FAA"/>
            </w:tcBorders>
          </w:tcPr>
          <w:p>
            <w:pPr>
              <w:jc w:val="right"/>
              <w:ind w:right="7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tcPr>
          <w:p>
            <w:pPr>
              <w:spacing w:after="0"/>
              <w:rPr>
                <w:sz w:val="20"/>
                <w:szCs w:val="20"/>
                <w:color w:val="auto"/>
              </w:rPr>
            </w:pPr>
          </w:p>
        </w:tc>
        <w:tc>
          <w:tcPr>
            <w:tcW w:w="940" w:type="dxa"/>
            <w:vAlign w:val="bottom"/>
            <w:tcBorders>
              <w:bottom w:val="single" w:sz="8" w:color="7B8FAA"/>
            </w:tcBorders>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7B8FAA"/>
            </w:tcBorders>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7B8FAA"/>
            </w:tcBorders>
          </w:tcPr>
          <w:p>
            <w:pPr>
              <w:spacing w:after="0"/>
              <w:rPr>
                <w:sz w:val="20"/>
                <w:szCs w:val="20"/>
                <w:color w:val="auto"/>
              </w:rPr>
            </w:pPr>
          </w:p>
        </w:tc>
        <w:tc>
          <w:tcPr>
            <w:tcW w:w="88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800" w:type="dxa"/>
            <w:vAlign w:val="bottom"/>
          </w:tcPr>
          <w:p>
            <w:pPr>
              <w:spacing w:after="0"/>
              <w:rPr>
                <w:sz w:val="19"/>
                <w:szCs w:val="19"/>
                <w:color w:val="auto"/>
              </w:rPr>
            </w:pPr>
          </w:p>
        </w:tc>
        <w:tc>
          <w:tcPr>
            <w:tcW w:w="1800" w:type="dxa"/>
            <w:vAlign w:val="bottom"/>
          </w:tcPr>
          <w:p>
            <w:pPr>
              <w:ind w:left="140"/>
              <w:spacing w:after="0"/>
              <w:rPr>
                <w:sz w:val="20"/>
                <w:szCs w:val="20"/>
                <w:color w:val="auto"/>
              </w:rPr>
            </w:pPr>
            <w:r>
              <w:rPr>
                <w:rFonts w:ascii="Arial" w:cs="Arial" w:eastAsia="Arial" w:hAnsi="Arial"/>
                <w:sz w:val="17"/>
                <w:szCs w:val="17"/>
                <w:color w:val="auto"/>
              </w:rPr>
              <w:t>COBRA continuation</w:t>
            </w:r>
          </w:p>
        </w:tc>
        <w:tc>
          <w:tcPr>
            <w:tcW w:w="440" w:type="dxa"/>
            <w:vAlign w:val="bottom"/>
          </w:tcPr>
          <w:p>
            <w:pPr>
              <w:spacing w:after="0"/>
              <w:rPr>
                <w:sz w:val="19"/>
                <w:szCs w:val="19"/>
                <w:color w:val="auto"/>
              </w:rPr>
            </w:pPr>
          </w:p>
        </w:tc>
        <w:tc>
          <w:tcPr>
            <w:tcW w:w="106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4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1800" w:type="dxa"/>
            <w:vAlign w:val="bottom"/>
          </w:tcPr>
          <w:p>
            <w:pPr>
              <w:spacing w:after="0"/>
              <w:rPr>
                <w:sz w:val="2"/>
                <w:szCs w:val="2"/>
                <w:color w:val="auto"/>
              </w:rPr>
            </w:pPr>
          </w:p>
        </w:tc>
        <w:tc>
          <w:tcPr>
            <w:tcW w:w="1800" w:type="dxa"/>
            <w:vAlign w:val="bottom"/>
            <w:tcBorders>
              <w:bottom w:val="single" w:sz="8" w:color="7B8FAA"/>
            </w:tcBorders>
          </w:tcPr>
          <w:p>
            <w:pPr>
              <w:spacing w:after="0"/>
              <w:rPr>
                <w:sz w:val="2"/>
                <w:szCs w:val="2"/>
                <w:color w:val="auto"/>
              </w:rPr>
            </w:pPr>
          </w:p>
        </w:tc>
        <w:tc>
          <w:tcPr>
            <w:tcW w:w="440" w:type="dxa"/>
            <w:vAlign w:val="bottom"/>
            <w:tcBorders>
              <w:bottom w:val="single" w:sz="8" w:color="7B8FAA"/>
            </w:tcBorders>
          </w:tcPr>
          <w:p>
            <w:pPr>
              <w:spacing w:after="0"/>
              <w:rPr>
                <w:sz w:val="2"/>
                <w:szCs w:val="2"/>
                <w:color w:val="auto"/>
              </w:rPr>
            </w:pPr>
          </w:p>
        </w:tc>
        <w:tc>
          <w:tcPr>
            <w:tcW w:w="1060" w:type="dxa"/>
            <w:vAlign w:val="bottom"/>
            <w:tcBorders>
              <w:bottom w:val="single" w:sz="8" w:color="7B8FAA"/>
            </w:tcBorders>
          </w:tcPr>
          <w:p>
            <w:pPr>
              <w:spacing w:after="0"/>
              <w:rPr>
                <w:sz w:val="2"/>
                <w:szCs w:val="2"/>
                <w:color w:val="auto"/>
              </w:rPr>
            </w:pPr>
          </w:p>
        </w:tc>
        <w:tc>
          <w:tcPr>
            <w:tcW w:w="300" w:type="dxa"/>
            <w:vAlign w:val="bottom"/>
            <w:tcBorders>
              <w:bottom w:val="single" w:sz="8" w:color="7B8FAA"/>
            </w:tcBorders>
          </w:tcPr>
          <w:p>
            <w:pPr>
              <w:spacing w:after="0"/>
              <w:rPr>
                <w:sz w:val="2"/>
                <w:szCs w:val="2"/>
                <w:color w:val="auto"/>
              </w:rPr>
            </w:pPr>
          </w:p>
        </w:tc>
        <w:tc>
          <w:tcPr>
            <w:tcW w:w="940" w:type="dxa"/>
            <w:vAlign w:val="bottom"/>
            <w:tcBorders>
              <w:bottom w:val="single" w:sz="8" w:color="7B8FAA"/>
            </w:tcBorders>
          </w:tcPr>
          <w:p>
            <w:pPr>
              <w:spacing w:after="0"/>
              <w:rPr>
                <w:sz w:val="2"/>
                <w:szCs w:val="2"/>
                <w:color w:val="auto"/>
              </w:rPr>
            </w:pPr>
          </w:p>
        </w:tc>
        <w:tc>
          <w:tcPr>
            <w:tcW w:w="1200" w:type="dxa"/>
            <w:vAlign w:val="bottom"/>
            <w:tcBorders>
              <w:bottom w:val="single" w:sz="8" w:color="7B8FAA"/>
            </w:tcBorders>
          </w:tcPr>
          <w:p>
            <w:pPr>
              <w:spacing w:after="0"/>
              <w:rPr>
                <w:sz w:val="2"/>
                <w:szCs w:val="2"/>
                <w:color w:val="auto"/>
              </w:rPr>
            </w:pPr>
          </w:p>
        </w:tc>
        <w:tc>
          <w:tcPr>
            <w:tcW w:w="300" w:type="dxa"/>
            <w:vAlign w:val="bottom"/>
            <w:tcBorders>
              <w:bottom w:val="single" w:sz="8" w:color="7B8FAA"/>
            </w:tcBorders>
          </w:tcPr>
          <w:p>
            <w:pPr>
              <w:spacing w:after="0"/>
              <w:rPr>
                <w:sz w:val="2"/>
                <w:szCs w:val="2"/>
                <w:color w:val="auto"/>
              </w:rPr>
            </w:pPr>
          </w:p>
        </w:tc>
        <w:tc>
          <w:tcPr>
            <w:tcW w:w="880" w:type="dxa"/>
            <w:vAlign w:val="bottom"/>
            <w:tcBorders>
              <w:bottom w:val="single" w:sz="8" w:color="7B8FAA"/>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800" w:type="dxa"/>
            <w:vAlign w:val="bottom"/>
          </w:tcPr>
          <w:p>
            <w:pPr>
              <w:spacing w:after="0"/>
              <w:rPr>
                <w:sz w:val="15"/>
                <w:szCs w:val="15"/>
                <w:color w:val="auto"/>
              </w:rPr>
            </w:pPr>
          </w:p>
        </w:tc>
        <w:tc>
          <w:tcPr>
            <w:tcW w:w="1800" w:type="dxa"/>
            <w:vAlign w:val="bottom"/>
          </w:tcPr>
          <w:p>
            <w:pPr>
              <w:ind w:left="140"/>
              <w:spacing w:after="0" w:line="180" w:lineRule="exact"/>
              <w:rPr>
                <w:sz w:val="20"/>
                <w:szCs w:val="20"/>
                <w:color w:val="auto"/>
              </w:rPr>
            </w:pPr>
            <w:r>
              <w:rPr>
                <w:rFonts w:ascii="Arial" w:cs="Arial" w:eastAsia="Arial" w:hAnsi="Arial"/>
                <w:sz w:val="17"/>
                <w:szCs w:val="17"/>
                <w:color w:val="auto"/>
              </w:rPr>
              <w:t>Value of accelerated</w:t>
            </w:r>
          </w:p>
        </w:tc>
        <w:tc>
          <w:tcPr>
            <w:tcW w:w="440" w:type="dxa"/>
            <w:vAlign w:val="bottom"/>
          </w:tcPr>
          <w:p>
            <w:pPr>
              <w:spacing w:after="0"/>
              <w:rPr>
                <w:sz w:val="15"/>
                <w:szCs w:val="15"/>
                <w:color w:val="auto"/>
              </w:rPr>
            </w:pPr>
          </w:p>
        </w:tc>
        <w:tc>
          <w:tcPr>
            <w:tcW w:w="1060" w:type="dxa"/>
            <w:vAlign w:val="bottom"/>
            <w:vMerge w:val="restart"/>
          </w:tcPr>
          <w:p>
            <w:pPr>
              <w:jc w:val="right"/>
              <w:ind w:right="77"/>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ind w:left="180"/>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73"/>
              <w:spacing w:after="0"/>
              <w:rPr>
                <w:sz w:val="20"/>
                <w:szCs w:val="20"/>
                <w:color w:val="auto"/>
              </w:rPr>
            </w:pPr>
            <w:r>
              <w:rPr>
                <w:rFonts w:ascii="Arial" w:cs="Arial" w:eastAsia="Arial" w:hAnsi="Arial"/>
                <w:sz w:val="17"/>
                <w:szCs w:val="17"/>
                <w:color w:val="auto"/>
              </w:rPr>
              <w:t>468,814</w:t>
            </w:r>
          </w:p>
        </w:tc>
        <w:tc>
          <w:tcPr>
            <w:tcW w:w="1200" w:type="dxa"/>
            <w:vAlign w:val="bottom"/>
            <w:vMerge w:val="restart"/>
          </w:tcPr>
          <w:p>
            <w:pPr>
              <w:jc w:val="right"/>
              <w:ind w:right="76"/>
              <w:spacing w:after="0"/>
              <w:rPr>
                <w:sz w:val="20"/>
                <w:szCs w:val="20"/>
                <w:color w:val="auto"/>
              </w:rPr>
            </w:pPr>
            <w:r>
              <w:rPr>
                <w:rFonts w:ascii="Arial" w:cs="Arial" w:eastAsia="Arial" w:hAnsi="Arial"/>
                <w:sz w:val="17"/>
                <w:szCs w:val="17"/>
                <w:color w:val="auto"/>
              </w:rPr>
              <w:t>—</w:t>
            </w:r>
          </w:p>
        </w:tc>
        <w:tc>
          <w:tcPr>
            <w:tcW w:w="300" w:type="dxa"/>
            <w:vAlign w:val="bottom"/>
            <w:vMerge w:val="restart"/>
          </w:tcPr>
          <w:p>
            <w:pPr>
              <w:ind w:left="160"/>
              <w:spacing w:after="0"/>
              <w:rPr>
                <w:sz w:val="20"/>
                <w:szCs w:val="20"/>
                <w:color w:val="auto"/>
              </w:rPr>
            </w:pPr>
            <w:r>
              <w:rPr>
                <w:rFonts w:ascii="Arial" w:cs="Arial" w:eastAsia="Arial" w:hAnsi="Arial"/>
                <w:sz w:val="17"/>
                <w:szCs w:val="17"/>
                <w:color w:val="auto"/>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703,220</w:t>
            </w:r>
          </w:p>
        </w:tc>
        <w:tc>
          <w:tcPr>
            <w:tcW w:w="0" w:type="dxa"/>
            <w:vAlign w:val="bottom"/>
          </w:tcPr>
          <w:p>
            <w:pPr>
              <w:spacing w:after="0"/>
              <w:rPr>
                <w:sz w:val="1"/>
                <w:szCs w:val="1"/>
                <w:color w:val="auto"/>
              </w:rPr>
            </w:pPr>
          </w:p>
        </w:tc>
      </w:tr>
      <w:tr>
        <w:trPr>
          <w:trHeight w:val="293"/>
        </w:trPr>
        <w:tc>
          <w:tcPr>
            <w:tcW w:w="1800" w:type="dxa"/>
            <w:vAlign w:val="bottom"/>
            <w:tcBorders>
              <w:bottom w:val="single" w:sz="8" w:color="435F86"/>
            </w:tcBorders>
          </w:tcPr>
          <w:p>
            <w:pPr>
              <w:spacing w:after="0"/>
              <w:rPr>
                <w:sz w:val="24"/>
                <w:szCs w:val="24"/>
                <w:color w:val="auto"/>
              </w:rPr>
            </w:pPr>
          </w:p>
        </w:tc>
        <w:tc>
          <w:tcPr>
            <w:tcW w:w="1800" w:type="dxa"/>
            <w:vAlign w:val="bottom"/>
            <w:tcBorders>
              <w:bottom w:val="single" w:sz="8" w:color="435F86"/>
            </w:tcBorders>
          </w:tcPr>
          <w:p>
            <w:pPr>
              <w:ind w:left="140"/>
              <w:spacing w:after="0"/>
              <w:rPr>
                <w:sz w:val="20"/>
                <w:szCs w:val="20"/>
                <w:color w:val="auto"/>
              </w:rPr>
            </w:pPr>
            <w:r>
              <w:rPr>
                <w:rFonts w:ascii="Arial" w:cs="Arial" w:eastAsia="Arial" w:hAnsi="Arial"/>
                <w:sz w:val="17"/>
                <w:szCs w:val="17"/>
                <w:color w:val="auto"/>
              </w:rPr>
              <w:t>Options and RSUs</w:t>
            </w:r>
            <w:r>
              <w:rPr>
                <w:rFonts w:ascii="Arial" w:cs="Arial" w:eastAsia="Arial" w:hAnsi="Arial"/>
                <w:sz w:val="22"/>
                <w:szCs w:val="22"/>
                <w:color w:val="auto"/>
                <w:vertAlign w:val="superscript"/>
              </w:rPr>
              <w:t>(8)</w:t>
            </w:r>
          </w:p>
        </w:tc>
        <w:tc>
          <w:tcPr>
            <w:tcW w:w="440" w:type="dxa"/>
            <w:vAlign w:val="bottom"/>
            <w:tcBorders>
              <w:bottom w:val="single" w:sz="8" w:color="435F86"/>
            </w:tcBorders>
          </w:tcPr>
          <w:p>
            <w:pPr>
              <w:spacing w:after="0"/>
              <w:rPr>
                <w:sz w:val="24"/>
                <w:szCs w:val="24"/>
                <w:color w:val="auto"/>
              </w:rPr>
            </w:pPr>
          </w:p>
        </w:tc>
        <w:tc>
          <w:tcPr>
            <w:tcW w:w="1060" w:type="dxa"/>
            <w:vAlign w:val="bottom"/>
            <w:tcBorders>
              <w:bottom w:val="single" w:sz="8" w:color="435F86"/>
            </w:tcBorders>
            <w:vMerge w:val="continue"/>
          </w:tcPr>
          <w:p>
            <w:pPr>
              <w:spacing w:after="0"/>
              <w:rPr>
                <w:sz w:val="24"/>
                <w:szCs w:val="24"/>
                <w:color w:val="auto"/>
              </w:rPr>
            </w:pPr>
          </w:p>
        </w:tc>
        <w:tc>
          <w:tcPr>
            <w:tcW w:w="300" w:type="dxa"/>
            <w:vAlign w:val="bottom"/>
            <w:tcBorders>
              <w:bottom w:val="single" w:sz="8" w:color="435F86"/>
            </w:tcBorders>
            <w:vMerge w:val="continue"/>
          </w:tcPr>
          <w:p>
            <w:pPr>
              <w:spacing w:after="0"/>
              <w:rPr>
                <w:sz w:val="24"/>
                <w:szCs w:val="24"/>
                <w:color w:val="auto"/>
              </w:rPr>
            </w:pPr>
          </w:p>
        </w:tc>
        <w:tc>
          <w:tcPr>
            <w:tcW w:w="940" w:type="dxa"/>
            <w:vAlign w:val="bottom"/>
            <w:tcBorders>
              <w:bottom w:val="single" w:sz="8" w:color="435F86"/>
            </w:tcBorders>
            <w:vMerge w:val="continue"/>
          </w:tcPr>
          <w:p>
            <w:pPr>
              <w:spacing w:after="0"/>
              <w:rPr>
                <w:sz w:val="24"/>
                <w:szCs w:val="24"/>
                <w:color w:val="auto"/>
              </w:rPr>
            </w:pPr>
          </w:p>
        </w:tc>
        <w:tc>
          <w:tcPr>
            <w:tcW w:w="1200" w:type="dxa"/>
            <w:vAlign w:val="bottom"/>
            <w:tcBorders>
              <w:bottom w:val="single" w:sz="8" w:color="435F86"/>
            </w:tcBorders>
            <w:vMerge w:val="continue"/>
          </w:tcPr>
          <w:p>
            <w:pPr>
              <w:spacing w:after="0"/>
              <w:rPr>
                <w:sz w:val="24"/>
                <w:szCs w:val="24"/>
                <w:color w:val="auto"/>
              </w:rPr>
            </w:pPr>
          </w:p>
        </w:tc>
        <w:tc>
          <w:tcPr>
            <w:tcW w:w="300" w:type="dxa"/>
            <w:vAlign w:val="bottom"/>
            <w:tcBorders>
              <w:bottom w:val="single" w:sz="8" w:color="435F86"/>
            </w:tcBorders>
            <w:vMerge w:val="continue"/>
          </w:tcPr>
          <w:p>
            <w:pPr>
              <w:spacing w:after="0"/>
              <w:rPr>
                <w:sz w:val="24"/>
                <w:szCs w:val="24"/>
                <w:color w:val="auto"/>
              </w:rPr>
            </w:pPr>
          </w:p>
        </w:tc>
        <w:tc>
          <w:tcPr>
            <w:tcW w:w="880" w:type="dxa"/>
            <w:vAlign w:val="bottom"/>
            <w:tcBorders>
              <w:bottom w:val="single" w:sz="8" w:color="435F86"/>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120" w:right="859" w:hanging="337"/>
        <w:spacing w:after="0" w:line="286" w:lineRule="auto"/>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Assumes termination of employment results from involuntary termination without “cause,” or, in the case of Mr. Petras or Mr. Rutz, resignation for “good reason.”</w:t>
      </w:r>
    </w:p>
    <w:p>
      <w:pPr>
        <w:spacing w:after="0" w:line="1" w:lineRule="exact"/>
        <w:rPr>
          <w:rFonts w:ascii="Arial" w:cs="Arial" w:eastAsia="Arial" w:hAnsi="Arial"/>
          <w:sz w:val="17"/>
          <w:szCs w:val="17"/>
          <w:color w:val="auto"/>
        </w:rPr>
      </w:pPr>
    </w:p>
    <w:p>
      <w:pPr>
        <w:ind w:left="1120" w:right="179" w:hanging="337"/>
        <w:spacing w:after="0" w:line="265" w:lineRule="auto"/>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Qualifying retirement means, in the case of Mr. Petras, voluntary retirement following the date on which the sum of Mr. Petras’ attained age and years of service with the Company equals or exceeds 65, in the cases of Mr. Rutz, and Mr. Lyons, voluntary retirement at or older than age 55 with 10 or more years of service to the Company, and in the case of Mr. Dimitrief voluntary retirement at or older than age 65. As of December 31, 2024, only Mr. Petras was eligible for retirement.</w:t>
      </w:r>
    </w:p>
    <w:p>
      <w:pPr>
        <w:spacing w:after="0" w:line="11" w:lineRule="exact"/>
        <w:rPr>
          <w:rFonts w:ascii="Arial" w:cs="Arial" w:eastAsia="Arial" w:hAnsi="Arial"/>
          <w:sz w:val="17"/>
          <w:szCs w:val="17"/>
          <w:color w:val="auto"/>
        </w:rPr>
      </w:pPr>
    </w:p>
    <w:p>
      <w:pPr>
        <w:ind w:left="1120" w:hanging="337"/>
        <w:spacing w:after="0"/>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Assumes termination of employment results from involuntary termination without “cause,” or in the cases of</w:t>
      </w:r>
    </w:p>
    <w:p>
      <w:pPr>
        <w:spacing w:after="0" w:line="28" w:lineRule="exact"/>
        <w:rPr>
          <w:rFonts w:ascii="Arial" w:cs="Arial" w:eastAsia="Arial" w:hAnsi="Arial"/>
          <w:sz w:val="17"/>
          <w:szCs w:val="17"/>
          <w:color w:val="auto"/>
        </w:rPr>
      </w:pPr>
    </w:p>
    <w:p>
      <w:pPr>
        <w:ind w:left="1120" w:right="259"/>
        <w:spacing w:after="0" w:line="261" w:lineRule="auto"/>
        <w:rPr>
          <w:rFonts w:ascii="Arial" w:cs="Arial" w:eastAsia="Arial" w:hAnsi="Arial"/>
          <w:sz w:val="17"/>
          <w:szCs w:val="17"/>
          <w:color w:val="auto"/>
        </w:rPr>
      </w:pPr>
      <w:r>
        <w:rPr>
          <w:rFonts w:ascii="Arial" w:cs="Arial" w:eastAsia="Arial" w:hAnsi="Arial"/>
          <w:sz w:val="17"/>
          <w:szCs w:val="17"/>
          <w:color w:val="auto"/>
        </w:rPr>
        <w:t>Mr. Petras or Mr. Rutz, resignation for “good reason,” in each case within 12 months following a Change in Control. With respect to each NEO’s equity awards, amounts reflect the value of the full vesting of unvested equity awards assumed or substituted by the acquirer upon a termination by the Company without “cause” or resignation by the executive with “good reason” within 12 months following a Change in Control.</w:t>
      </w:r>
    </w:p>
    <w:p>
      <w:pPr>
        <w:spacing w:after="0" w:line="16" w:lineRule="exact"/>
        <w:rPr>
          <w:rFonts w:ascii="Arial" w:cs="Arial" w:eastAsia="Arial" w:hAnsi="Arial"/>
          <w:sz w:val="17"/>
          <w:szCs w:val="17"/>
          <w:color w:val="auto"/>
        </w:rPr>
      </w:pPr>
    </w:p>
    <w:p>
      <w:pPr>
        <w:ind w:left="1120" w:right="199" w:hanging="337"/>
        <w:spacing w:after="0" w:line="260" w:lineRule="auto"/>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further described above, cash severance is based on each executive’s annual base salary and the severance period specified in the executive’s employment agreement or offer letter and reflects the cash severance each NEO is entitled to upon a termination without “cause” or, in the cases of Mr. Petras or Mr. Rutz, resignation for “good reason.” Except for Mr. Petras, who would receive any cash severance payments in a lump sum, each NEO’s cash severance is payable in the form of base salary continuation. Amounts shown reflect the following percentage of each executive’s annual base salary: Mr. Petras: 200%; Mr. Rutz and Mr. Lyons: 100%. Messrs. Petras, Rutz and Lyons are entitled to cash severance upon a qualifying termination whether or not a Change in Control has occurred. Amounts in the table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138430</wp:posOffset>
            </wp:positionV>
            <wp:extent cx="5538470" cy="165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36830</wp:posOffset>
            </wp:positionV>
            <wp:extent cx="656971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2024 Potential Post-Employment Payments Table</w:t>
      </w:r>
    </w:p>
    <w:p>
      <w:pPr>
        <w:spacing w:after="0" w:line="247" w:lineRule="exact"/>
        <w:rPr>
          <w:sz w:val="20"/>
          <w:szCs w:val="20"/>
          <w:color w:val="auto"/>
        </w:rPr>
      </w:pPr>
    </w:p>
    <w:p>
      <w:pPr>
        <w:jc w:val="both"/>
        <w:ind w:left="1120" w:right="219"/>
        <w:spacing w:after="0" w:line="275" w:lineRule="auto"/>
        <w:rPr>
          <w:sz w:val="20"/>
          <w:szCs w:val="20"/>
          <w:color w:val="auto"/>
        </w:rPr>
      </w:pPr>
      <w:r>
        <w:rPr>
          <w:rFonts w:ascii="Arial" w:cs="Arial" w:eastAsia="Arial" w:hAnsi="Arial"/>
          <w:sz w:val="17"/>
          <w:szCs w:val="17"/>
          <w:color w:val="auto"/>
        </w:rPr>
        <w:t>not reflect accrued but unused vacation as the policy governing vacation for executive officers requires forfeiture of all accrued vacation for the current year not used by the end of the year, and each scenario assumes termination of employment on the last day of the year.</w:t>
      </w:r>
    </w:p>
    <w:p>
      <w:pPr>
        <w:spacing w:after="0" w:line="29" w:lineRule="exact"/>
        <w:rPr>
          <w:sz w:val="20"/>
          <w:szCs w:val="20"/>
          <w:color w:val="auto"/>
        </w:rPr>
      </w:pPr>
    </w:p>
    <w:p>
      <w:pPr>
        <w:ind w:left="1120" w:right="159" w:hanging="337"/>
        <w:spacing w:after="0" w:line="290" w:lineRule="auto"/>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reflect the Company’s portion of health and dental insurance premiums payable to Messrs. Petras and Rutz, in the event of a qualifying termination. In such case, executives are entitled to payment of an amount equal to the difference between the monthly COBRA premium over the monthly premium he would have paid for such coverage under the Company’s health plans for the 12 month period following termination of employment.</w:t>
      </w:r>
    </w:p>
    <w:p>
      <w:pPr>
        <w:spacing w:after="0" w:line="19" w:lineRule="exact"/>
        <w:rPr>
          <w:rFonts w:ascii="Arial" w:cs="Arial" w:eastAsia="Arial" w:hAnsi="Arial"/>
          <w:sz w:val="16"/>
          <w:szCs w:val="16"/>
          <w:color w:val="auto"/>
        </w:rPr>
      </w:pPr>
    </w:p>
    <w:p>
      <w:pPr>
        <w:ind w:left="1120" w:right="239" w:hanging="337"/>
        <w:spacing w:after="0" w:line="275" w:lineRule="auto"/>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Mr. Rutz is entitled to receive a one-time lump sum cash payment equal to $1,500,000, less applicable tax withholdings, upon a change in control, contingent upon his continued employment through the consummation of a change in control.</w:t>
      </w:r>
    </w:p>
    <w:p>
      <w:pPr>
        <w:spacing w:after="0" w:line="15" w:lineRule="exact"/>
        <w:rPr>
          <w:rFonts w:ascii="Arial" w:cs="Arial" w:eastAsia="Arial" w:hAnsi="Arial"/>
          <w:sz w:val="17"/>
          <w:szCs w:val="17"/>
          <w:color w:val="auto"/>
        </w:rPr>
      </w:pPr>
    </w:p>
    <w:p>
      <w:pPr>
        <w:ind w:left="1120" w:right="159" w:hanging="337"/>
        <w:spacing w:after="0" w:line="273" w:lineRule="auto"/>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Petras was granted stock options and RSUs on March 2, 2022 that vest on the first three anniversaries of the date of grant. Mr. Petras was also granted stock options and RSUs on March 6, 2023 that vest on March 2, 2024, March 2, 2025 and March 2, 2026. Mr. Petras was also granted stock options and RSUs on March 4, 2024 that vested or vest on March 4, 2025, March 4, 2026 and March 4, 2027. Amounts shown here reflect the value of the acceleration of Mr. Petras’ equity awards as of December 31, 2024: (A) in the event of termination due to death or Disability, all unvested equity awards that would have vested in the 2 year period immediately following the date of such termination will vest as of the date of Mr. Petras’ termination of employment and (B) in the event of a termination by the Company without “cause” or by Mr. Petras for “good reason” and subject to Mr. Petras satisfying the Release Requirement (as defined in the Amended and Restated CEO Employment Agreement and not breaching any of the provisions of the general release executed in connection therewith, all unvested equity awards that would have vested in the two-year period immediately following the date of such termination will vest as of the date of termination. The value of accelerated stock options that vest is calculated as the number of shares underlying options that will vest on each qualifying termination multiplied by the difference between the strike price of outstanding stock options, which is $20.03 for stock options granted in March 2022, $17.59 for stock options granted in 2023 and $14.59 for the stock options granted in 2024, and the price of our stock on December 31, 2024, which was $13.68. The value of accelerated RSUs is calculated as the number of shares underlying RSUs that will vest on each qualifying termination multiplied by the price of our stock on December 31, 2024, which was $13.68. In the event (i) an acquirer does not assume or substitute the equity awards upon a Change in Control, or (ii) the acquirer does assume or substitute the unvested portion of the equity award and Mr. Petras’ employment is terminated by him for “good reason” or by the acquiror without “cause” within 12 months following a Change in Control, in each case all unvested equity awards will vest in full.</w:t>
      </w:r>
    </w:p>
    <w:p>
      <w:pPr>
        <w:spacing w:after="0" w:line="31" w:lineRule="exact"/>
        <w:rPr>
          <w:rFonts w:ascii="Arial" w:cs="Arial" w:eastAsia="Arial" w:hAnsi="Arial"/>
          <w:sz w:val="16"/>
          <w:szCs w:val="16"/>
          <w:color w:val="auto"/>
        </w:rPr>
      </w:pPr>
    </w:p>
    <w:p>
      <w:pPr>
        <w:ind w:left="1120" w:right="179" w:hanging="337"/>
        <w:spacing w:after="0" w:line="278" w:lineRule="auto"/>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Mr. Dimitrief was granted stock options and RSUs on March 4, 2024 that vested or vest on March 4, 2025, March 4, 2026 and March 4, 2027. Amounts shown here include the value of acceleration of the unvested awards in the event of a termination by the Company without “cause” or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$14.59 and the price of our stock on December 31, 2024, which was $13.68. The value of accelerated restricted stock is calculated as the number of shares underlying restricted stock that will vest on each qualifying termination multiplied by the price of our stock on December 31, 2024, which was $13.68. In the event an acquirer does not assume or substitute the award upon a Change in Control, the awards will vest in full.</w:t>
      </w:r>
    </w:p>
    <w:p>
      <w:pPr>
        <w:spacing w:after="0" w:line="28" w:lineRule="exact"/>
        <w:rPr>
          <w:rFonts w:ascii="Arial" w:cs="Arial" w:eastAsia="Arial" w:hAnsi="Arial"/>
          <w:sz w:val="16"/>
          <w:szCs w:val="16"/>
          <w:color w:val="auto"/>
        </w:rPr>
      </w:pPr>
    </w:p>
    <w:p>
      <w:pPr>
        <w:ind w:left="1120" w:right="159" w:hanging="337"/>
        <w:spacing w:after="0" w:line="258" w:lineRule="auto"/>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Mr. Rutz was granted stock options and RSUs on March 2, 2022 that vest on the first three anniversaries of the date of grant. Mr. Rutz was also granted stock options and RSUs on March 6, 2023 that vest on March 2, 2024, March 2, 2025 and March 2, 2026. Mr. Rutz was also granted stock options and RSUs on March 4, 2024 that vested or vest on March 4, 2025, March 4, 2026 and March 4, 2027.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$20.03 for stock options granted in 2022, $17.59 for stock options granted in 2023, and $14.59 for stock options granted in 2024, and the price of our stock on December 31, 2024, which was $13.68. The value of accelerated RSUs is calculated as the number of shares underlying RSUs that will vest on each qualifying termination multiplied by the price of our stock on December 31, 2024, which was $13.68. In the event (i) an acquirer does not assume or substitute the equity awards or (ii) the acquirer does assume or substitute the unvested portion of the equity award and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311785</wp:posOffset>
            </wp:positionV>
            <wp:extent cx="494665" cy="165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179705</wp:posOffset>
            </wp:positionV>
            <wp:extent cx="5538470"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Potential Termination Payments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2024 Potential Post-Employment Payments Table</w:t>
      </w:r>
    </w:p>
    <w:p>
      <w:pPr>
        <w:spacing w:after="0" w:line="247" w:lineRule="exact"/>
        <w:rPr>
          <w:sz w:val="20"/>
          <w:szCs w:val="20"/>
          <w:color w:val="auto"/>
        </w:rPr>
      </w:pPr>
    </w:p>
    <w:p>
      <w:pPr>
        <w:ind w:left="1120" w:right="1240"/>
        <w:spacing w:after="0" w:line="321" w:lineRule="auto"/>
        <w:rPr>
          <w:sz w:val="20"/>
          <w:szCs w:val="20"/>
          <w:color w:val="auto"/>
        </w:rPr>
      </w:pPr>
      <w:r>
        <w:rPr>
          <w:rFonts w:ascii="Arial" w:cs="Arial" w:eastAsia="Arial" w:hAnsi="Arial"/>
          <w:sz w:val="16"/>
          <w:szCs w:val="16"/>
          <w:color w:val="auto"/>
        </w:rPr>
        <w:t>employment is terminated by the acquiror without “cause” or, in the case or Mr. Rutz, by him for “good reason” within 12 months following a Change in Control, in each case all unvested equity awards will vest in full.</w:t>
      </w:r>
    </w:p>
    <w:p>
      <w:pPr>
        <w:spacing w:after="0" w:line="1" w:lineRule="exact"/>
        <w:rPr>
          <w:sz w:val="20"/>
          <w:szCs w:val="20"/>
          <w:color w:val="auto"/>
        </w:rPr>
      </w:pPr>
    </w:p>
    <w:p>
      <w:pPr>
        <w:ind w:left="1120" w:right="800" w:hanging="337"/>
        <w:spacing w:after="0" w:line="258" w:lineRule="auto"/>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Lyons was granted stock options and RSUs on August 7, 2023 that vest on August 5, 2024, August 5, 2025 and August 5, 2026. Mr. Lyons was also granted stock options and RSUs on March 4, 2024 that vested or vest on March 4, 2025, March 4, 2026 and March 4, 2027. Amounts shown here include the value of acceleration of outstanding unvested equity awards in the event of a termination due to death or Disability. The value of accelerated stock options that vest is calculated as the number of shares underlying options that will vest on each qualifying termination multiplied by the difference between the strike price of outstanding stock options, which was $16.89 for stock options granted in 2023 and $14.59 for stock options granted in 2024, and the price of our stock on December 31, 2024, which was $13.68. The value of accelerated RSUs is calculated as the number of shares underlying RSUs that will vest on each qualifying termination multiplied by the price of our stock on December 31, 2023, which was $13.68. In the event (i) an acquirer does not assume or substitute the equity awards or (ii) the acquirer does assume or substitute the unvested portion of the equity award and the NEO’s employment is terminated by the acquiror without “cause” within 12 months following a Change in Control, in each case all unvested equity awards will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4960620</wp:posOffset>
            </wp:positionV>
            <wp:extent cx="5538470" cy="16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68</w:t>
            </w:r>
          </w:p>
        </w:tc>
      </w:tr>
      <w:tr>
        <w:trPr>
          <w:trHeight w:val="93"/>
        </w:trPr>
        <w:tc>
          <w:tcPr>
            <w:tcW w:w="4140" w:type="dxa"/>
            <w:vAlign w:val="bottom"/>
            <w:tcBorders>
              <w:bottom w:val="single" w:sz="8" w:color="9A9A9A"/>
            </w:tcBorders>
          </w:tcPr>
          <w:p>
            <w:pPr>
              <w:spacing w:after="0"/>
              <w:rPr>
                <w:sz w:val="8"/>
                <w:szCs w:val="8"/>
                <w:color w:val="auto"/>
              </w:rPr>
            </w:pPr>
          </w:p>
        </w:tc>
        <w:tc>
          <w:tcPr>
            <w:tcW w:w="6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Equity Compensation Plan Information</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2020 Omnibus Incentive Plan</w:t>
      </w:r>
    </w:p>
    <w:p>
      <w:pPr>
        <w:spacing w:after="0" w:line="209" w:lineRule="exact"/>
        <w:rPr>
          <w:sz w:val="20"/>
          <w:szCs w:val="20"/>
          <w:color w:val="auto"/>
        </w:rPr>
      </w:pPr>
    </w:p>
    <w:p>
      <w:pPr>
        <w:ind w:left="780" w:right="2799"/>
        <w:spacing w:after="0" w:line="269" w:lineRule="auto"/>
        <w:rPr>
          <w:sz w:val="20"/>
          <w:szCs w:val="20"/>
          <w:color w:val="auto"/>
        </w:rPr>
      </w:pPr>
      <w:r>
        <w:rPr>
          <w:rFonts w:ascii="Arial" w:cs="Arial" w:eastAsia="Arial" w:hAnsi="Arial"/>
          <w:sz w:val="42"/>
          <w:szCs w:val="42"/>
          <w:b w:val="1"/>
          <w:bCs w:val="1"/>
          <w:color w:val="28B5DE"/>
        </w:rPr>
        <w:t>EQUITY COMPENSATION PLAN INFORMATION</w:t>
      </w:r>
    </w:p>
    <w:p>
      <w:pPr>
        <w:spacing w:after="0" w:line="62" w:lineRule="exact"/>
        <w:rPr>
          <w:sz w:val="20"/>
          <w:szCs w:val="20"/>
          <w:color w:val="auto"/>
        </w:rPr>
      </w:pPr>
    </w:p>
    <w:p>
      <w:pPr>
        <w:ind w:left="780" w:right="319"/>
        <w:spacing w:after="0" w:line="264" w:lineRule="auto"/>
        <w:rPr>
          <w:sz w:val="20"/>
          <w:szCs w:val="20"/>
          <w:color w:val="auto"/>
        </w:rPr>
      </w:pPr>
      <w:r>
        <w:rPr>
          <w:rFonts w:ascii="Arial" w:cs="Arial" w:eastAsia="Arial" w:hAnsi="Arial"/>
          <w:sz w:val="21"/>
          <w:szCs w:val="21"/>
          <w:color w:val="auto"/>
        </w:rPr>
        <w:t>The following table provides information as of December 31, 2024 with respect to the shares of our common stock that may be issued under our 2020 Incentive Plan.</w:t>
      </w:r>
    </w:p>
    <w:p>
      <w:pPr>
        <w:spacing w:after="0" w:line="244"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jc w:val="center"/>
              <w:ind w:right="239"/>
              <w:spacing w:after="0"/>
              <w:rPr>
                <w:sz w:val="20"/>
                <w:szCs w:val="20"/>
                <w:color w:val="auto"/>
              </w:rPr>
            </w:pPr>
            <w:r>
              <w:rPr>
                <w:rFonts w:ascii="Arial" w:cs="Arial" w:eastAsia="Arial" w:hAnsi="Arial"/>
                <w:sz w:val="16"/>
                <w:szCs w:val="16"/>
                <w:b w:val="1"/>
                <w:bCs w:val="1"/>
                <w:color w:val="435F86"/>
                <w:w w:val="92"/>
              </w:rPr>
              <w:t>Number of</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center"/>
              <w:ind w:left="79"/>
              <w:spacing w:after="0" w:line="169" w:lineRule="exact"/>
              <w:rPr>
                <w:sz w:val="20"/>
                <w:szCs w:val="20"/>
                <w:color w:val="auto"/>
              </w:rPr>
            </w:pPr>
            <w:r>
              <w:rPr>
                <w:rFonts w:ascii="Arial" w:cs="Arial" w:eastAsia="Arial" w:hAnsi="Arial"/>
                <w:sz w:val="16"/>
                <w:szCs w:val="16"/>
                <w:b w:val="1"/>
                <w:bCs w:val="1"/>
                <w:color w:val="435F86"/>
                <w:w w:val="94"/>
              </w:rPr>
              <w:t>Securities Remaining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vMerge w:val="restart"/>
          </w:tcPr>
          <w:p>
            <w:pPr>
              <w:jc w:val="center"/>
              <w:ind w:left="22"/>
              <w:spacing w:after="0"/>
              <w:rPr>
                <w:sz w:val="20"/>
                <w:szCs w:val="20"/>
                <w:color w:val="auto"/>
              </w:rPr>
            </w:pPr>
            <w:r>
              <w:rPr>
                <w:rFonts w:ascii="Arial" w:cs="Arial" w:eastAsia="Arial" w:hAnsi="Arial"/>
                <w:sz w:val="16"/>
                <w:szCs w:val="16"/>
                <w:b w:val="1"/>
                <w:bCs w:val="1"/>
                <w:color w:val="435F86"/>
                <w:w w:val="95"/>
              </w:rPr>
              <w:t>Weighted-</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center"/>
              <w:ind w:right="239"/>
              <w:spacing w:after="0" w:line="169" w:lineRule="exact"/>
              <w:rPr>
                <w:sz w:val="20"/>
                <w:szCs w:val="20"/>
                <w:color w:val="auto"/>
              </w:rPr>
            </w:pPr>
            <w:r>
              <w:rPr>
                <w:rFonts w:ascii="Arial" w:cs="Arial" w:eastAsia="Arial" w:hAnsi="Arial"/>
                <w:sz w:val="16"/>
                <w:szCs w:val="16"/>
                <w:b w:val="1"/>
                <w:bCs w:val="1"/>
                <w:color w:val="435F86"/>
                <w:w w:val="93"/>
              </w:rPr>
              <w:t>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vMerge w:val="restart"/>
          </w:tcPr>
          <w:p>
            <w:pPr>
              <w:jc w:val="center"/>
              <w:ind w:right="317"/>
              <w:spacing w:after="0"/>
              <w:rPr>
                <w:sz w:val="20"/>
                <w:szCs w:val="20"/>
                <w:color w:val="auto"/>
              </w:rPr>
            </w:pPr>
            <w:r>
              <w:rPr>
                <w:rFonts w:ascii="Arial" w:cs="Arial" w:eastAsia="Arial" w:hAnsi="Arial"/>
                <w:sz w:val="16"/>
                <w:szCs w:val="16"/>
                <w:b w:val="1"/>
                <w:bCs w:val="1"/>
                <w:color w:val="435F86"/>
                <w:w w:val="94"/>
              </w:rPr>
              <w:t>Number of</w:t>
            </w:r>
          </w:p>
        </w:tc>
        <w:tc>
          <w:tcPr>
            <w:tcW w:w="2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left="79"/>
              <w:spacing w:after="0" w:line="182" w:lineRule="exact"/>
              <w:rPr>
                <w:sz w:val="20"/>
                <w:szCs w:val="20"/>
                <w:color w:val="auto"/>
              </w:rPr>
            </w:pPr>
            <w:r>
              <w:rPr>
                <w:rFonts w:ascii="Arial" w:cs="Arial" w:eastAsia="Arial" w:hAnsi="Arial"/>
                <w:sz w:val="16"/>
                <w:szCs w:val="16"/>
                <w:b w:val="1"/>
                <w:bCs w:val="1"/>
                <w:color w:val="435F86"/>
                <w:w w:val="92"/>
              </w:rPr>
              <w:t>Future Issuance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left="22"/>
              <w:spacing w:after="0" w:line="169" w:lineRule="exact"/>
              <w:rPr>
                <w:sz w:val="20"/>
                <w:szCs w:val="20"/>
                <w:color w:val="auto"/>
              </w:rPr>
            </w:pPr>
            <w:r>
              <w:rPr>
                <w:rFonts w:ascii="Arial" w:cs="Arial" w:eastAsia="Arial" w:hAnsi="Arial"/>
                <w:sz w:val="16"/>
                <w:szCs w:val="16"/>
                <w:b w:val="1"/>
                <w:bCs w:val="1"/>
                <w:color w:val="435F86"/>
                <w:w w:val="91"/>
              </w:rPr>
              <w:t>Average</w:t>
            </w:r>
          </w:p>
        </w:tc>
        <w:tc>
          <w:tcPr>
            <w:tcW w:w="240" w:type="dxa"/>
            <w:vAlign w:val="bottom"/>
          </w:tcPr>
          <w:p>
            <w:pPr>
              <w:spacing w:after="0"/>
              <w:rPr>
                <w:sz w:val="14"/>
                <w:szCs w:val="14"/>
                <w:color w:val="auto"/>
              </w:rPr>
            </w:pPr>
          </w:p>
        </w:tc>
        <w:tc>
          <w:tcPr>
            <w:tcW w:w="1700" w:type="dxa"/>
            <w:vAlign w:val="bottom"/>
            <w:gridSpan w:val="2"/>
          </w:tcPr>
          <w:p>
            <w:pPr>
              <w:jc w:val="center"/>
              <w:ind w:left="79"/>
              <w:spacing w:after="0" w:line="169" w:lineRule="exact"/>
              <w:rPr>
                <w:sz w:val="20"/>
                <w:szCs w:val="20"/>
                <w:color w:val="auto"/>
              </w:rPr>
            </w:pPr>
            <w:r>
              <w:rPr>
                <w:rFonts w:ascii="Arial" w:cs="Arial" w:eastAsia="Arial" w:hAnsi="Arial"/>
                <w:sz w:val="16"/>
                <w:szCs w:val="16"/>
                <w:b w:val="1"/>
                <w:bCs w:val="1"/>
                <w:color w:val="435F86"/>
                <w:w w:val="94"/>
              </w:rPr>
              <w:t>Under 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spacing w:after="0" w:line="169" w:lineRule="exact"/>
              <w:rPr>
                <w:sz w:val="20"/>
                <w:szCs w:val="20"/>
                <w:color w:val="auto"/>
              </w:rPr>
            </w:pPr>
            <w:r>
              <w:rPr>
                <w:rFonts w:ascii="Arial" w:cs="Arial" w:eastAsia="Arial" w:hAnsi="Arial"/>
                <w:sz w:val="16"/>
                <w:szCs w:val="16"/>
                <w:b w:val="1"/>
                <w:bCs w:val="1"/>
                <w:color w:val="435F86"/>
                <w:w w:val="94"/>
              </w:rPr>
              <w:t>Securities to be Issued</w:t>
            </w:r>
          </w:p>
        </w:tc>
        <w:tc>
          <w:tcPr>
            <w:tcW w:w="280" w:type="dxa"/>
            <w:vAlign w:val="bottom"/>
          </w:tcPr>
          <w:p>
            <w:pPr>
              <w:spacing w:after="0"/>
              <w:rPr>
                <w:sz w:val="14"/>
                <w:szCs w:val="14"/>
                <w:color w:val="auto"/>
              </w:rPr>
            </w:pPr>
          </w:p>
        </w:tc>
        <w:tc>
          <w:tcPr>
            <w:tcW w:w="1400" w:type="dxa"/>
            <w:vAlign w:val="bottom"/>
            <w:gridSpan w:val="2"/>
          </w:tcPr>
          <w:p>
            <w:pPr>
              <w:jc w:val="center"/>
              <w:ind w:left="22"/>
              <w:spacing w:after="0" w:line="169" w:lineRule="exact"/>
              <w:rPr>
                <w:sz w:val="20"/>
                <w:szCs w:val="20"/>
                <w:color w:val="auto"/>
              </w:rPr>
            </w:pPr>
            <w:r>
              <w:rPr>
                <w:rFonts w:ascii="Arial" w:cs="Arial" w:eastAsia="Arial" w:hAnsi="Arial"/>
                <w:sz w:val="16"/>
                <w:szCs w:val="16"/>
                <w:b w:val="1"/>
                <w:bCs w:val="1"/>
                <w:color w:val="435F86"/>
                <w:w w:val="94"/>
              </w:rPr>
              <w:t>Exercise Price of</w:t>
            </w:r>
          </w:p>
        </w:tc>
        <w:tc>
          <w:tcPr>
            <w:tcW w:w="240" w:type="dxa"/>
            <w:vAlign w:val="bottom"/>
          </w:tcPr>
          <w:p>
            <w:pPr>
              <w:spacing w:after="0"/>
              <w:rPr>
                <w:sz w:val="14"/>
                <w:szCs w:val="14"/>
                <w:color w:val="auto"/>
              </w:rPr>
            </w:pPr>
          </w:p>
        </w:tc>
        <w:tc>
          <w:tcPr>
            <w:tcW w:w="1700" w:type="dxa"/>
            <w:vAlign w:val="bottom"/>
            <w:gridSpan w:val="2"/>
          </w:tcPr>
          <w:p>
            <w:pPr>
              <w:jc w:val="center"/>
              <w:ind w:left="79"/>
              <w:spacing w:after="0" w:line="169" w:lineRule="exact"/>
              <w:rPr>
                <w:sz w:val="20"/>
                <w:szCs w:val="20"/>
                <w:color w:val="auto"/>
              </w:rPr>
            </w:pPr>
            <w:r>
              <w:rPr>
                <w:rFonts w:ascii="Arial" w:cs="Arial" w:eastAsia="Arial" w:hAnsi="Arial"/>
                <w:sz w:val="16"/>
                <w:szCs w:val="16"/>
                <w:b w:val="1"/>
                <w:bCs w:val="1"/>
                <w:color w:val="435F86"/>
                <w:w w:val="94"/>
              </w:rPr>
              <w:t>Compensation Plans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spacing w:after="0" w:line="169" w:lineRule="exact"/>
              <w:rPr>
                <w:sz w:val="20"/>
                <w:szCs w:val="20"/>
                <w:color w:val="auto"/>
              </w:rPr>
            </w:pPr>
            <w:r>
              <w:rPr>
                <w:rFonts w:ascii="Arial" w:cs="Arial" w:eastAsia="Arial" w:hAnsi="Arial"/>
                <w:sz w:val="16"/>
                <w:szCs w:val="16"/>
                <w:b w:val="1"/>
                <w:bCs w:val="1"/>
                <w:color w:val="435F86"/>
                <w:w w:val="93"/>
              </w:rPr>
              <w:t>Upon Exercise of</w:t>
            </w:r>
          </w:p>
        </w:tc>
        <w:tc>
          <w:tcPr>
            <w:tcW w:w="280" w:type="dxa"/>
            <w:vAlign w:val="bottom"/>
          </w:tcPr>
          <w:p>
            <w:pPr>
              <w:spacing w:after="0"/>
              <w:rPr>
                <w:sz w:val="14"/>
                <w:szCs w:val="14"/>
                <w:color w:val="auto"/>
              </w:rPr>
            </w:pPr>
          </w:p>
        </w:tc>
        <w:tc>
          <w:tcPr>
            <w:tcW w:w="1400" w:type="dxa"/>
            <w:vAlign w:val="bottom"/>
            <w:gridSpan w:val="2"/>
          </w:tcPr>
          <w:p>
            <w:pPr>
              <w:jc w:val="center"/>
              <w:ind w:left="22"/>
              <w:spacing w:after="0" w:line="169" w:lineRule="exact"/>
              <w:rPr>
                <w:sz w:val="20"/>
                <w:szCs w:val="20"/>
                <w:color w:val="auto"/>
              </w:rPr>
            </w:pPr>
            <w:r>
              <w:rPr>
                <w:rFonts w:ascii="Arial" w:cs="Arial" w:eastAsia="Arial" w:hAnsi="Arial"/>
                <w:sz w:val="16"/>
                <w:szCs w:val="16"/>
                <w:b w:val="1"/>
                <w:bCs w:val="1"/>
                <w:color w:val="435F86"/>
                <w:w w:val="95"/>
              </w:rPr>
              <w:t>Outstanding</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center"/>
              <w:ind w:right="239"/>
              <w:spacing w:after="0" w:line="169" w:lineRule="exact"/>
              <w:rPr>
                <w:sz w:val="20"/>
                <w:szCs w:val="20"/>
                <w:color w:val="auto"/>
              </w:rPr>
            </w:pPr>
            <w:r>
              <w:rPr>
                <w:rFonts w:ascii="Arial" w:cs="Arial" w:eastAsia="Arial" w:hAnsi="Arial"/>
                <w:sz w:val="16"/>
                <w:szCs w:val="16"/>
                <w:b w:val="1"/>
                <w:bCs w:val="1"/>
                <w:color w:val="435F86"/>
                <w:w w:val="92"/>
              </w:rPr>
              <w:t>(excluding</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435F86"/>
                <w:w w:val="94"/>
              </w:rPr>
              <w:t>Outstanding Options,</w:t>
            </w:r>
          </w:p>
        </w:tc>
        <w:tc>
          <w:tcPr>
            <w:tcW w:w="280" w:type="dxa"/>
            <w:vAlign w:val="bottom"/>
          </w:tcPr>
          <w:p>
            <w:pPr>
              <w:spacing w:after="0"/>
              <w:rPr>
                <w:sz w:val="15"/>
                <w:szCs w:val="15"/>
                <w:color w:val="auto"/>
              </w:rPr>
            </w:pPr>
          </w:p>
        </w:tc>
        <w:tc>
          <w:tcPr>
            <w:tcW w:w="1400" w:type="dxa"/>
            <w:vAlign w:val="bottom"/>
            <w:gridSpan w:val="2"/>
          </w:tcPr>
          <w:p>
            <w:pPr>
              <w:jc w:val="center"/>
              <w:ind w:left="22"/>
              <w:spacing w:after="0" w:line="182" w:lineRule="exact"/>
              <w:rPr>
                <w:sz w:val="20"/>
                <w:szCs w:val="20"/>
                <w:color w:val="auto"/>
              </w:rPr>
            </w:pPr>
            <w:r>
              <w:rPr>
                <w:rFonts w:ascii="Arial" w:cs="Arial" w:eastAsia="Arial" w:hAnsi="Arial"/>
                <w:sz w:val="16"/>
                <w:szCs w:val="16"/>
                <w:b w:val="1"/>
                <w:bCs w:val="1"/>
                <w:color w:val="435F86"/>
                <w:w w:val="93"/>
              </w:rPr>
              <w:t>Options, Warrants</w:t>
            </w:r>
          </w:p>
        </w:tc>
        <w:tc>
          <w:tcPr>
            <w:tcW w:w="240" w:type="dxa"/>
            <w:vAlign w:val="bottom"/>
          </w:tcPr>
          <w:p>
            <w:pPr>
              <w:spacing w:after="0"/>
              <w:rPr>
                <w:sz w:val="15"/>
                <w:szCs w:val="15"/>
                <w:color w:val="auto"/>
              </w:rPr>
            </w:pPr>
          </w:p>
        </w:tc>
        <w:tc>
          <w:tcPr>
            <w:tcW w:w="1700" w:type="dxa"/>
            <w:vAlign w:val="bottom"/>
            <w:gridSpan w:val="2"/>
          </w:tcPr>
          <w:p>
            <w:pPr>
              <w:jc w:val="center"/>
              <w:ind w:left="59"/>
              <w:spacing w:after="0" w:line="182" w:lineRule="exact"/>
              <w:rPr>
                <w:sz w:val="20"/>
                <w:szCs w:val="20"/>
                <w:color w:val="auto"/>
              </w:rPr>
            </w:pPr>
            <w:r>
              <w:rPr>
                <w:rFonts w:ascii="Arial" w:cs="Arial" w:eastAsia="Arial" w:hAnsi="Arial"/>
                <w:sz w:val="16"/>
                <w:szCs w:val="16"/>
                <w:b w:val="1"/>
                <w:bCs w:val="1"/>
                <w:color w:val="435F86"/>
                <w:w w:val="93"/>
              </w:rPr>
              <w:t>securities reflected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spacing w:after="0" w:line="169" w:lineRule="exact"/>
              <w:rPr>
                <w:sz w:val="20"/>
                <w:szCs w:val="20"/>
                <w:color w:val="auto"/>
              </w:rPr>
            </w:pPr>
            <w:r>
              <w:rPr>
                <w:rFonts w:ascii="Arial" w:cs="Arial" w:eastAsia="Arial" w:hAnsi="Arial"/>
                <w:sz w:val="16"/>
                <w:szCs w:val="16"/>
                <w:b w:val="1"/>
                <w:bCs w:val="1"/>
                <w:color w:val="435F86"/>
                <w:w w:val="93"/>
              </w:rPr>
              <w:t>Warrants and Rights</w:t>
            </w:r>
          </w:p>
        </w:tc>
        <w:tc>
          <w:tcPr>
            <w:tcW w:w="280" w:type="dxa"/>
            <w:vAlign w:val="bottom"/>
          </w:tcPr>
          <w:p>
            <w:pPr>
              <w:spacing w:after="0"/>
              <w:rPr>
                <w:sz w:val="14"/>
                <w:szCs w:val="14"/>
                <w:color w:val="auto"/>
              </w:rPr>
            </w:pPr>
          </w:p>
        </w:tc>
        <w:tc>
          <w:tcPr>
            <w:tcW w:w="1400" w:type="dxa"/>
            <w:vAlign w:val="bottom"/>
            <w:gridSpan w:val="2"/>
          </w:tcPr>
          <w:p>
            <w:pPr>
              <w:jc w:val="center"/>
              <w:ind w:left="22"/>
              <w:spacing w:after="0" w:line="169" w:lineRule="exact"/>
              <w:rPr>
                <w:sz w:val="20"/>
                <w:szCs w:val="20"/>
                <w:color w:val="auto"/>
              </w:rPr>
            </w:pPr>
            <w:r>
              <w:rPr>
                <w:rFonts w:ascii="Arial" w:cs="Arial" w:eastAsia="Arial" w:hAnsi="Arial"/>
                <w:sz w:val="16"/>
                <w:szCs w:val="16"/>
                <w:b w:val="1"/>
                <w:bCs w:val="1"/>
                <w:color w:val="435F86"/>
                <w:w w:val="94"/>
              </w:rPr>
              <w:t>and Rights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jc w:val="center"/>
              <w:ind w:right="239"/>
              <w:spacing w:after="0" w:line="169" w:lineRule="exact"/>
              <w:rPr>
                <w:sz w:val="20"/>
                <w:szCs w:val="20"/>
                <w:color w:val="auto"/>
              </w:rPr>
            </w:pPr>
            <w:r>
              <w:rPr>
                <w:rFonts w:ascii="Arial" w:cs="Arial" w:eastAsia="Arial" w:hAnsi="Arial"/>
                <w:sz w:val="16"/>
                <w:szCs w:val="16"/>
                <w:b w:val="1"/>
                <w:bCs w:val="1"/>
                <w:color w:val="435F86"/>
                <w:w w:val="92"/>
              </w:rPr>
              <w:t>in column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060" w:type="dxa"/>
            <w:vAlign w:val="bottom"/>
            <w:tcBorders>
              <w:bottom w:val="single" w:sz="8" w:color="435F86"/>
            </w:tcBorders>
          </w:tcPr>
          <w:p>
            <w:pPr>
              <w:ind w:left="80"/>
              <w:spacing w:after="0"/>
              <w:rPr>
                <w:sz w:val="20"/>
                <w:szCs w:val="20"/>
                <w:color w:val="auto"/>
              </w:rPr>
            </w:pPr>
            <w:r>
              <w:rPr>
                <w:rFonts w:ascii="Arial" w:cs="Arial" w:eastAsia="Arial" w:hAnsi="Arial"/>
                <w:sz w:val="16"/>
                <w:szCs w:val="16"/>
                <w:b w:val="1"/>
                <w:bCs w:val="1"/>
                <w:color w:val="435F86"/>
              </w:rPr>
              <w:t>Plan Category</w:t>
            </w:r>
          </w:p>
        </w:tc>
        <w:tc>
          <w:tcPr>
            <w:tcW w:w="180" w:type="dxa"/>
            <w:vAlign w:val="bottom"/>
            <w:tcBorders>
              <w:bottom w:val="single" w:sz="8" w:color="435F86"/>
            </w:tcBorders>
          </w:tcPr>
          <w:p>
            <w:pPr>
              <w:ind w:left="60"/>
              <w:spacing w:after="0"/>
              <w:rPr>
                <w:sz w:val="20"/>
                <w:szCs w:val="20"/>
                <w:color w:val="auto"/>
              </w:rPr>
            </w:pPr>
            <w:r>
              <w:rPr>
                <w:rFonts w:ascii="Arial" w:cs="Arial" w:eastAsia="Arial" w:hAnsi="Arial"/>
                <w:sz w:val="16"/>
                <w:szCs w:val="16"/>
                <w:b w:val="1"/>
                <w:bCs w:val="1"/>
                <w:color w:val="435F86"/>
              </w:rPr>
              <w:t>​</w:t>
            </w:r>
          </w:p>
        </w:tc>
        <w:tc>
          <w:tcPr>
            <w:tcW w:w="120" w:type="dxa"/>
            <w:vAlign w:val="bottom"/>
            <w:tcBorders>
              <w:bottom w:val="single" w:sz="8" w:color="435F86"/>
            </w:tcBorders>
          </w:tcPr>
          <w:p>
            <w:pPr>
              <w:ind w:left="60"/>
              <w:spacing w:after="0"/>
              <w:rPr>
                <w:sz w:val="20"/>
                <w:szCs w:val="20"/>
                <w:color w:val="auto"/>
              </w:rPr>
            </w:pPr>
            <w:r>
              <w:rPr>
                <w:rFonts w:ascii="Arial" w:cs="Arial" w:eastAsia="Arial" w:hAnsi="Arial"/>
                <w:sz w:val="16"/>
                <w:szCs w:val="16"/>
                <w:b w:val="1"/>
                <w:bCs w:val="1"/>
                <w:color w:val="435F86"/>
              </w:rPr>
              <w:t>​</w:t>
            </w:r>
          </w:p>
        </w:tc>
        <w:tc>
          <w:tcPr>
            <w:tcW w:w="420" w:type="dxa"/>
            <w:vAlign w:val="bottom"/>
            <w:tcBorders>
              <w:bottom w:val="single" w:sz="8" w:color="435F86"/>
            </w:tcBorders>
          </w:tcPr>
          <w:p>
            <w:pPr>
              <w:spacing w:after="0"/>
              <w:rPr>
                <w:sz w:val="19"/>
                <w:szCs w:val="19"/>
                <w:color w:val="auto"/>
              </w:rPr>
            </w:pPr>
          </w:p>
        </w:tc>
        <w:tc>
          <w:tcPr>
            <w:tcW w:w="1240" w:type="dxa"/>
            <w:vAlign w:val="bottom"/>
            <w:tcBorders>
              <w:bottom w:val="single" w:sz="8" w:color="435F86"/>
            </w:tcBorders>
          </w:tcPr>
          <w:p>
            <w:pPr>
              <w:jc w:val="center"/>
              <w:ind w:right="277"/>
              <w:spacing w:after="0"/>
              <w:rPr>
                <w:sz w:val="20"/>
                <w:szCs w:val="20"/>
                <w:color w:val="auto"/>
              </w:rPr>
            </w:pPr>
            <w:r>
              <w:rPr>
                <w:rFonts w:ascii="Arial" w:cs="Arial" w:eastAsia="Arial" w:hAnsi="Arial"/>
                <w:sz w:val="16"/>
                <w:szCs w:val="16"/>
                <w:b w:val="1"/>
                <w:bCs w:val="1"/>
                <w:color w:val="435F86"/>
                <w:w w:val="91"/>
              </w:rPr>
              <w:t>(#)(a)</w:t>
            </w:r>
          </w:p>
        </w:tc>
        <w:tc>
          <w:tcPr>
            <w:tcW w:w="280" w:type="dxa"/>
            <w:vAlign w:val="bottom"/>
            <w:tcBorders>
              <w:bottom w:val="single" w:sz="8" w:color="435F86"/>
            </w:tcBorders>
          </w:tcPr>
          <w:p>
            <w:pPr>
              <w:jc w:val="right"/>
              <w:ind w:right="36"/>
              <w:spacing w:after="0"/>
              <w:rPr>
                <w:sz w:val="20"/>
                <w:szCs w:val="20"/>
                <w:color w:val="auto"/>
              </w:rPr>
            </w:pPr>
            <w:r>
              <w:rPr>
                <w:rFonts w:ascii="Arial" w:cs="Arial" w:eastAsia="Arial" w:hAnsi="Arial"/>
                <w:sz w:val="16"/>
                <w:szCs w:val="16"/>
                <w:b w:val="1"/>
                <w:bCs w:val="1"/>
                <w:color w:val="435F86"/>
              </w:rPr>
              <w:t>​</w:t>
            </w:r>
          </w:p>
        </w:tc>
        <w:tc>
          <w:tcPr>
            <w:tcW w:w="520" w:type="dxa"/>
            <w:vAlign w:val="bottom"/>
            <w:tcBorders>
              <w:bottom w:val="single" w:sz="8" w:color="435F86"/>
            </w:tcBorders>
          </w:tcPr>
          <w:p>
            <w:pPr>
              <w:spacing w:after="0"/>
              <w:rPr>
                <w:sz w:val="19"/>
                <w:szCs w:val="19"/>
                <w:color w:val="auto"/>
              </w:rPr>
            </w:pPr>
          </w:p>
        </w:tc>
        <w:tc>
          <w:tcPr>
            <w:tcW w:w="880" w:type="dxa"/>
            <w:vAlign w:val="bottom"/>
            <w:tcBorders>
              <w:bottom w:val="single" w:sz="8" w:color="435F86"/>
            </w:tcBorders>
          </w:tcPr>
          <w:p>
            <w:pPr>
              <w:jc w:val="center"/>
              <w:ind w:right="296"/>
              <w:spacing w:after="0"/>
              <w:rPr>
                <w:sz w:val="20"/>
                <w:szCs w:val="20"/>
                <w:color w:val="auto"/>
              </w:rPr>
            </w:pPr>
            <w:r>
              <w:rPr>
                <w:rFonts w:ascii="Arial" w:cs="Arial" w:eastAsia="Arial" w:hAnsi="Arial"/>
                <w:sz w:val="16"/>
                <w:szCs w:val="16"/>
                <w:b w:val="1"/>
                <w:bCs w:val="1"/>
                <w:color w:val="435F86"/>
                <w:w w:val="94"/>
              </w:rPr>
              <w:t>($)(b)</w:t>
            </w:r>
          </w:p>
        </w:tc>
        <w:tc>
          <w:tcPr>
            <w:tcW w:w="240" w:type="dxa"/>
            <w:vAlign w:val="bottom"/>
            <w:tcBorders>
              <w:bottom w:val="single" w:sz="8" w:color="435F86"/>
            </w:tcBorders>
          </w:tcPr>
          <w:p>
            <w:pPr>
              <w:spacing w:after="0"/>
              <w:rPr>
                <w:sz w:val="19"/>
                <w:szCs w:val="19"/>
                <w:color w:val="auto"/>
              </w:rPr>
            </w:pPr>
          </w:p>
        </w:tc>
        <w:tc>
          <w:tcPr>
            <w:tcW w:w="480" w:type="dxa"/>
            <w:vAlign w:val="bottom"/>
            <w:tcBorders>
              <w:bottom w:val="single" w:sz="8" w:color="435F86"/>
            </w:tcBorders>
          </w:tcPr>
          <w:p>
            <w:pPr>
              <w:spacing w:after="0"/>
              <w:rPr>
                <w:sz w:val="19"/>
                <w:szCs w:val="19"/>
                <w:color w:val="auto"/>
              </w:rPr>
            </w:pPr>
          </w:p>
        </w:tc>
        <w:tc>
          <w:tcPr>
            <w:tcW w:w="1220" w:type="dxa"/>
            <w:vAlign w:val="bottom"/>
            <w:tcBorders>
              <w:bottom w:val="single" w:sz="8" w:color="435F86"/>
            </w:tcBorders>
          </w:tcPr>
          <w:p>
            <w:pPr>
              <w:jc w:val="center"/>
              <w:ind w:right="199"/>
              <w:spacing w:after="0"/>
              <w:rPr>
                <w:sz w:val="20"/>
                <w:szCs w:val="20"/>
                <w:color w:val="auto"/>
              </w:rPr>
            </w:pPr>
            <w:r>
              <w:rPr>
                <w:rFonts w:ascii="Arial" w:cs="Arial" w:eastAsia="Arial" w:hAnsi="Arial"/>
                <w:sz w:val="16"/>
                <w:szCs w:val="16"/>
                <w:b w:val="1"/>
                <w:bCs w:val="1"/>
                <w:color w:val="435F86"/>
                <w:w w:val="94"/>
              </w:rPr>
              <w:t>(a))(c)</w:t>
            </w:r>
          </w:p>
        </w:tc>
        <w:tc>
          <w:tcPr>
            <w:tcW w:w="80" w:type="dxa"/>
            <w:vAlign w:val="bottom"/>
            <w:tcBorders>
              <w:bottom w:val="single" w:sz="8" w:color="435F86"/>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80"/>
              <w:spacing w:after="0"/>
              <w:rPr>
                <w:sz w:val="20"/>
                <w:szCs w:val="20"/>
                <w:color w:val="auto"/>
              </w:rPr>
            </w:pPr>
            <w:r>
              <w:rPr>
                <w:rFonts w:ascii="Arial" w:cs="Arial" w:eastAsia="Arial" w:hAnsi="Arial"/>
                <w:sz w:val="17"/>
                <w:szCs w:val="17"/>
                <w:color w:val="auto"/>
                <w:w w:val="98"/>
              </w:rPr>
              <w:t>Equity compensation plans approved by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97"/>
              <w:spacing w:after="0"/>
              <w:rPr>
                <w:sz w:val="20"/>
                <w:szCs w:val="20"/>
                <w:color w:val="auto"/>
              </w:rPr>
            </w:pPr>
            <w:r>
              <w:rPr>
                <w:rFonts w:ascii="Arial" w:cs="Arial" w:eastAsia="Arial" w:hAnsi="Arial"/>
                <w:sz w:val="17"/>
                <w:szCs w:val="17"/>
                <w:color w:val="auto"/>
              </w:rPr>
              <w:t>10,593,534</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136"/>
              <w:spacing w:after="0"/>
              <w:rPr>
                <w:sz w:val="20"/>
                <w:szCs w:val="20"/>
                <w:color w:val="auto"/>
              </w:rPr>
            </w:pPr>
            <w:r>
              <w:rPr>
                <w:rFonts w:ascii="Arial" w:cs="Arial" w:eastAsia="Arial" w:hAnsi="Arial"/>
                <w:sz w:val="17"/>
                <w:szCs w:val="17"/>
                <w:color w:val="auto"/>
                <w:w w:val="94"/>
              </w:rPr>
              <w:t xml:space="preserve">14.94 </w:t>
            </w:r>
            <w:r>
              <w:rPr>
                <w:rFonts w:ascii="Arial" w:cs="Arial" w:eastAsia="Arial" w:hAnsi="Arial"/>
                <w:sz w:val="25"/>
                <w:szCs w:val="25"/>
                <w:color w:val="auto"/>
                <w:w w:val="94"/>
                <w:vertAlign w:val="superscript"/>
              </w:rPr>
              <w:t>(2)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7"/>
                <w:szCs w:val="17"/>
                <w:color w:val="auto"/>
              </w:rPr>
              <w:t>15,556,889</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060" w:type="dxa"/>
            <w:vAlign w:val="bottom"/>
            <w:shd w:val="clear" w:color="auto" w:fill="CCEEFF"/>
          </w:tcPr>
          <w:p>
            <w:pPr>
              <w:ind w:left="80"/>
              <w:spacing w:after="0" w:line="172" w:lineRule="exact"/>
              <w:rPr>
                <w:sz w:val="20"/>
                <w:szCs w:val="20"/>
                <w:color w:val="auto"/>
              </w:rPr>
            </w:pPr>
            <w:r>
              <w:rPr>
                <w:rFonts w:ascii="Arial" w:cs="Arial" w:eastAsia="Arial" w:hAnsi="Arial"/>
                <w:sz w:val="17"/>
                <w:szCs w:val="17"/>
                <w:color w:val="auto"/>
              </w:rPr>
              <w:t>security holders</w:t>
            </w:r>
          </w:p>
        </w:tc>
        <w:tc>
          <w:tcPr>
            <w:tcW w:w="18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20" w:type="dxa"/>
            <w:vAlign w:val="bottom"/>
            <w:vMerge w:val="restart"/>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vMerge w:val="continue"/>
            <w:shd w:val="clear" w:color="auto" w:fill="CCEEFF"/>
          </w:tcPr>
          <w:p>
            <w:pPr>
              <w:spacing w:after="0"/>
              <w:rPr>
                <w:sz w:val="15"/>
                <w:szCs w:val="15"/>
                <w:color w:val="auto"/>
              </w:rPr>
            </w:pPr>
          </w:p>
        </w:tc>
        <w:tc>
          <w:tcPr>
            <w:tcW w:w="28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 ​</w:t>
            </w:r>
          </w:p>
        </w:tc>
        <w:tc>
          <w:tcPr>
            <w:tcW w:w="520" w:type="dxa"/>
            <w:vAlign w:val="bottom"/>
            <w:shd w:val="clear" w:color="auto" w:fill="CCEEFF"/>
          </w:tcPr>
          <w:p>
            <w:pPr>
              <w:jc w:val="right"/>
              <w:spacing w:after="0" w:line="172" w:lineRule="exact"/>
              <w:rPr>
                <w:sz w:val="20"/>
                <w:szCs w:val="20"/>
                <w:color w:val="auto"/>
              </w:rPr>
            </w:pPr>
            <w:r>
              <w:rPr>
                <w:rFonts w:ascii="Arial" w:cs="Arial" w:eastAsia="Arial" w:hAnsi="Arial"/>
                <w:sz w:val="17"/>
                <w:szCs w:val="17"/>
                <w:color w:val="auto"/>
              </w:rPr>
              <w:t>$</w:t>
            </w:r>
          </w:p>
        </w:tc>
        <w:tc>
          <w:tcPr>
            <w:tcW w:w="88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20" w:type="dxa"/>
            <w:vAlign w:val="bottom"/>
            <w:vMerge w:val="continue"/>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1"/>
        </w:trPr>
        <w:tc>
          <w:tcPr>
            <w:tcW w:w="3060" w:type="dxa"/>
            <w:vAlign w:val="bottom"/>
            <w:tcBorders>
              <w:bottom w:val="single" w:sz="8" w:color="7B8FAA"/>
            </w:tcBorders>
            <w:shd w:val="clear" w:color="auto" w:fill="CCEEFF"/>
          </w:tcPr>
          <w:p>
            <w:pPr>
              <w:spacing w:after="0"/>
              <w:rPr>
                <w:sz w:val="7"/>
                <w:szCs w:val="7"/>
                <w:color w:val="auto"/>
              </w:rPr>
            </w:pPr>
          </w:p>
        </w:tc>
        <w:tc>
          <w:tcPr>
            <w:tcW w:w="180" w:type="dxa"/>
            <w:vAlign w:val="bottom"/>
            <w:tcBorders>
              <w:bottom w:val="single" w:sz="8" w:color="7B8FAA"/>
            </w:tcBorders>
            <w:vMerge w:val="continue"/>
            <w:shd w:val="clear" w:color="auto" w:fill="CCEEFF"/>
          </w:tcPr>
          <w:p>
            <w:pPr>
              <w:spacing w:after="0"/>
              <w:rPr>
                <w:sz w:val="7"/>
                <w:szCs w:val="7"/>
                <w:color w:val="auto"/>
              </w:rPr>
            </w:pPr>
          </w:p>
        </w:tc>
        <w:tc>
          <w:tcPr>
            <w:tcW w:w="120" w:type="dxa"/>
            <w:vAlign w:val="bottom"/>
            <w:tcBorders>
              <w:bottom w:val="single" w:sz="8" w:color="7B8FAA"/>
            </w:tcBorders>
            <w:vMerge w:val="continue"/>
            <w:shd w:val="clear" w:color="auto" w:fill="CCEEFF"/>
          </w:tcPr>
          <w:p>
            <w:pPr>
              <w:spacing w:after="0"/>
              <w:rPr>
                <w:sz w:val="7"/>
                <w:szCs w:val="7"/>
                <w:color w:val="auto"/>
              </w:rPr>
            </w:pPr>
          </w:p>
        </w:tc>
        <w:tc>
          <w:tcPr>
            <w:tcW w:w="420" w:type="dxa"/>
            <w:vAlign w:val="bottom"/>
            <w:tcBorders>
              <w:bottom w:val="single" w:sz="8" w:color="7B8FAA"/>
            </w:tcBorders>
            <w:vMerge w:val="continue"/>
            <w:shd w:val="clear" w:color="auto" w:fill="CCEEFF"/>
          </w:tcPr>
          <w:p>
            <w:pPr>
              <w:spacing w:after="0"/>
              <w:rPr>
                <w:sz w:val="7"/>
                <w:szCs w:val="7"/>
                <w:color w:val="auto"/>
              </w:rPr>
            </w:pPr>
          </w:p>
        </w:tc>
        <w:tc>
          <w:tcPr>
            <w:tcW w:w="1240" w:type="dxa"/>
            <w:vAlign w:val="bottom"/>
            <w:tcBorders>
              <w:bottom w:val="single" w:sz="8" w:color="7B8FAA"/>
            </w:tcBorders>
            <w:shd w:val="clear" w:color="auto" w:fill="CCEEFF"/>
          </w:tcPr>
          <w:p>
            <w:pPr>
              <w:spacing w:after="0"/>
              <w:rPr>
                <w:sz w:val="7"/>
                <w:szCs w:val="7"/>
                <w:color w:val="auto"/>
              </w:rPr>
            </w:pPr>
          </w:p>
        </w:tc>
        <w:tc>
          <w:tcPr>
            <w:tcW w:w="280" w:type="dxa"/>
            <w:vAlign w:val="bottom"/>
            <w:tcBorders>
              <w:bottom w:val="single" w:sz="8" w:color="7B8FAA"/>
            </w:tcBorders>
            <w:vMerge w:val="continue"/>
            <w:shd w:val="clear" w:color="auto" w:fill="CCEEFF"/>
          </w:tcPr>
          <w:p>
            <w:pPr>
              <w:spacing w:after="0"/>
              <w:rPr>
                <w:sz w:val="7"/>
                <w:szCs w:val="7"/>
                <w:color w:val="auto"/>
              </w:rPr>
            </w:pPr>
          </w:p>
        </w:tc>
        <w:tc>
          <w:tcPr>
            <w:tcW w:w="520" w:type="dxa"/>
            <w:vAlign w:val="bottom"/>
            <w:tcBorders>
              <w:bottom w:val="single" w:sz="8" w:color="7B8FAA"/>
            </w:tcBorders>
            <w:shd w:val="clear" w:color="auto" w:fill="CCEEFF"/>
          </w:tcPr>
          <w:p>
            <w:pPr>
              <w:ind w:left="360"/>
              <w:spacing w:after="0" w:line="91" w:lineRule="exact"/>
              <w:rPr>
                <w:sz w:val="20"/>
                <w:szCs w:val="20"/>
                <w:color w:val="auto"/>
              </w:rPr>
            </w:pPr>
            <w:r>
              <w:rPr>
                <w:rFonts w:ascii="Arial" w:cs="Arial" w:eastAsia="Arial" w:hAnsi="Arial"/>
                <w:sz w:val="10"/>
                <w:szCs w:val="10"/>
                <w:color w:val="auto"/>
              </w:rPr>
              <w:t>​</w:t>
            </w:r>
          </w:p>
        </w:tc>
        <w:tc>
          <w:tcPr>
            <w:tcW w:w="880" w:type="dxa"/>
            <w:vAlign w:val="bottom"/>
            <w:tcBorders>
              <w:bottom w:val="single" w:sz="8" w:color="7B8FAA"/>
            </w:tcBorders>
            <w:shd w:val="clear" w:color="auto" w:fill="CCEEFF"/>
          </w:tcPr>
          <w:p>
            <w:pPr>
              <w:spacing w:after="0"/>
              <w:rPr>
                <w:sz w:val="7"/>
                <w:szCs w:val="7"/>
                <w:color w:val="auto"/>
              </w:rPr>
            </w:pPr>
          </w:p>
        </w:tc>
        <w:tc>
          <w:tcPr>
            <w:tcW w:w="240" w:type="dxa"/>
            <w:vAlign w:val="bottom"/>
            <w:tcBorders>
              <w:bottom w:val="single" w:sz="8" w:color="7B8FAA"/>
            </w:tcBorders>
            <w:vMerge w:val="continue"/>
            <w:shd w:val="clear" w:color="auto" w:fill="CCEEFF"/>
          </w:tcPr>
          <w:p>
            <w:pPr>
              <w:spacing w:after="0"/>
              <w:rPr>
                <w:sz w:val="7"/>
                <w:szCs w:val="7"/>
                <w:color w:val="auto"/>
              </w:rPr>
            </w:pPr>
          </w:p>
        </w:tc>
        <w:tc>
          <w:tcPr>
            <w:tcW w:w="480" w:type="dxa"/>
            <w:vAlign w:val="bottom"/>
            <w:tcBorders>
              <w:bottom w:val="single" w:sz="8" w:color="7B8FAA"/>
            </w:tcBorders>
            <w:vMerge w:val="continue"/>
            <w:shd w:val="clear" w:color="auto" w:fill="CCEEFF"/>
          </w:tcPr>
          <w:p>
            <w:pPr>
              <w:spacing w:after="0"/>
              <w:rPr>
                <w:sz w:val="7"/>
                <w:szCs w:val="7"/>
                <w:color w:val="auto"/>
              </w:rPr>
            </w:pPr>
          </w:p>
        </w:tc>
        <w:tc>
          <w:tcPr>
            <w:tcW w:w="1220" w:type="dxa"/>
            <w:vAlign w:val="bottom"/>
            <w:tcBorders>
              <w:bottom w:val="single" w:sz="8" w:color="7B8FAA"/>
            </w:tcBorders>
            <w:shd w:val="clear" w:color="auto" w:fill="CCEEFF"/>
          </w:tcPr>
          <w:p>
            <w:pPr>
              <w:spacing w:after="0"/>
              <w:rPr>
                <w:sz w:val="7"/>
                <w:szCs w:val="7"/>
                <w:color w:val="auto"/>
              </w:rPr>
            </w:pPr>
          </w:p>
        </w:tc>
        <w:tc>
          <w:tcPr>
            <w:tcW w:w="80" w:type="dxa"/>
            <w:vAlign w:val="bottom"/>
            <w:tcBorders>
              <w:bottom w:val="single" w:sz="8" w:color="7B8FAA"/>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060" w:type="dxa"/>
            <w:vAlign w:val="bottom"/>
          </w:tcPr>
          <w:p>
            <w:pPr>
              <w:ind w:left="80"/>
              <w:spacing w:after="0"/>
              <w:rPr>
                <w:sz w:val="20"/>
                <w:szCs w:val="20"/>
                <w:color w:val="auto"/>
              </w:rPr>
            </w:pPr>
            <w:r>
              <w:rPr>
                <w:rFonts w:ascii="Arial" w:cs="Arial" w:eastAsia="Arial" w:hAnsi="Arial"/>
                <w:sz w:val="17"/>
                <w:szCs w:val="17"/>
                <w:color w:val="auto"/>
              </w:rPr>
              <w:t>Equity compensation plans not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6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rPr>
              <w:t>approved by security holders</w:t>
            </w:r>
          </w:p>
        </w:tc>
        <w:tc>
          <w:tcPr>
            <w:tcW w:w="18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7B8FAA"/>
            </w:tcBorders>
          </w:tcPr>
          <w:p>
            <w:pPr>
              <w:ind w:left="3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7B8FAA"/>
            </w:tcBorders>
          </w:tcPr>
          <w:p>
            <w:pPr>
              <w:jc w:val="right"/>
              <w:ind w:right="237"/>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7B8FAA"/>
            </w:tcBorders>
          </w:tcPr>
          <w:p>
            <w:pPr>
              <w:jc w:val="right"/>
              <w:ind w:right="36"/>
              <w:spacing w:after="0"/>
              <w:rPr>
                <w:sz w:val="20"/>
                <w:szCs w:val="20"/>
                <w:color w:val="auto"/>
              </w:rPr>
            </w:pPr>
            <w:r>
              <w:rPr>
                <w:rFonts w:ascii="Arial" w:cs="Arial" w:eastAsia="Arial" w:hAnsi="Arial"/>
                <w:sz w:val="17"/>
                <w:szCs w:val="17"/>
                <w:color w:val="auto"/>
              </w:rPr>
              <w:t>​ ​</w:t>
            </w:r>
          </w:p>
        </w:tc>
        <w:tc>
          <w:tcPr>
            <w:tcW w:w="520" w:type="dxa"/>
            <w:vAlign w:val="bottom"/>
            <w:tcBorders>
              <w:bottom w:val="single" w:sz="8" w:color="7B8FAA"/>
            </w:tcBorders>
          </w:tcPr>
          <w:p>
            <w:pPr>
              <w:ind w:left="3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7B8FAA"/>
            </w:tcBorders>
          </w:tcPr>
          <w:p>
            <w:pPr>
              <w:jc w:val="right"/>
              <w:ind w:right="176"/>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7B8FAA"/>
            </w:tcBorders>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7B8FAA"/>
            </w:tcBorders>
          </w:tcPr>
          <w:p>
            <w:pPr>
              <w:ind w:left="4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7B8FAA"/>
            </w:tcBorders>
          </w:tcPr>
          <w:p>
            <w:pPr>
              <w:jc w:val="right"/>
              <w:ind w:right="179"/>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3060" w:type="dxa"/>
            <w:vAlign w:val="bottom"/>
            <w:tcBorders>
              <w:bottom w:val="single" w:sz="8" w:color="435F86"/>
            </w:tcBorders>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435F86"/>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435F86"/>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435F86"/>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435F86"/>
            </w:tcBorders>
            <w:shd w:val="clear" w:color="auto" w:fill="CCEEFF"/>
          </w:tcPr>
          <w:p>
            <w:pPr>
              <w:jc w:val="right"/>
              <w:ind w:right="237"/>
              <w:spacing w:after="0"/>
              <w:rPr>
                <w:sz w:val="20"/>
                <w:szCs w:val="20"/>
                <w:color w:val="auto"/>
              </w:rPr>
            </w:pPr>
            <w:r>
              <w:rPr>
                <w:rFonts w:ascii="Arial" w:cs="Arial" w:eastAsia="Arial" w:hAnsi="Arial"/>
                <w:sz w:val="17"/>
                <w:szCs w:val="17"/>
                <w:color w:val="auto"/>
              </w:rPr>
              <w:t>10,593,534</w:t>
            </w:r>
          </w:p>
        </w:tc>
        <w:tc>
          <w:tcPr>
            <w:tcW w:w="280" w:type="dxa"/>
            <w:vAlign w:val="bottom"/>
            <w:tcBorders>
              <w:bottom w:val="single" w:sz="8" w:color="435F86"/>
            </w:tcBorders>
            <w:shd w:val="clear" w:color="auto" w:fill="CCEEFF"/>
          </w:tcPr>
          <w:p>
            <w:pPr>
              <w:jc w:val="right"/>
              <w:ind w:right="36"/>
              <w:spacing w:after="0"/>
              <w:rPr>
                <w:sz w:val="20"/>
                <w:szCs w:val="20"/>
                <w:color w:val="auto"/>
              </w:rPr>
            </w:pPr>
            <w:r>
              <w:rPr>
                <w:rFonts w:ascii="Arial" w:cs="Arial" w:eastAsia="Arial" w:hAnsi="Arial"/>
                <w:sz w:val="17"/>
                <w:szCs w:val="17"/>
                <w:color w:val="auto"/>
              </w:rPr>
              <w:t>​ ​</w:t>
            </w:r>
          </w:p>
        </w:tc>
        <w:tc>
          <w:tcPr>
            <w:tcW w:w="520" w:type="dxa"/>
            <w:vAlign w:val="bottom"/>
            <w:tcBorders>
              <w:bottom w:val="single" w:sz="8" w:color="435F86"/>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435F86"/>
            </w:tcBorders>
            <w:shd w:val="clear" w:color="auto" w:fill="CCEEFF"/>
          </w:tcPr>
          <w:p>
            <w:pPr>
              <w:jc w:val="right"/>
              <w:ind w:right="176"/>
              <w:spacing w:after="0"/>
              <w:rPr>
                <w:sz w:val="20"/>
                <w:szCs w:val="20"/>
                <w:color w:val="auto"/>
              </w:rPr>
            </w:pPr>
            <w:r>
              <w:rPr>
                <w:rFonts w:ascii="Arial" w:cs="Arial" w:eastAsia="Arial" w:hAnsi="Arial"/>
                <w:sz w:val="17"/>
                <w:szCs w:val="17"/>
                <w:color w:val="auto"/>
              </w:rPr>
              <w:t>14.94</w:t>
            </w:r>
          </w:p>
        </w:tc>
        <w:tc>
          <w:tcPr>
            <w:tcW w:w="240" w:type="dxa"/>
            <w:vAlign w:val="bottom"/>
            <w:tcBorders>
              <w:bottom w:val="single" w:sz="8" w:color="435F86"/>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435F86"/>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435F86"/>
            </w:tcBorders>
            <w:shd w:val="clear" w:color="auto" w:fill="CCEEFF"/>
          </w:tcPr>
          <w:p>
            <w:pPr>
              <w:jc w:val="right"/>
              <w:ind w:right="179"/>
              <w:spacing w:after="0"/>
              <w:rPr>
                <w:sz w:val="20"/>
                <w:szCs w:val="20"/>
                <w:color w:val="auto"/>
              </w:rPr>
            </w:pPr>
            <w:r>
              <w:rPr>
                <w:rFonts w:ascii="Arial" w:cs="Arial" w:eastAsia="Arial" w:hAnsi="Arial"/>
                <w:sz w:val="17"/>
                <w:szCs w:val="17"/>
                <w:color w:val="auto"/>
              </w:rPr>
              <w:t>15,556,889</w:t>
            </w:r>
          </w:p>
        </w:tc>
        <w:tc>
          <w:tcPr>
            <w:tcW w:w="80" w:type="dxa"/>
            <w:vAlign w:val="bottom"/>
            <w:tcBorders>
              <w:bottom w:val="single" w:sz="8" w:color="435F86"/>
            </w:tcBorders>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both"/>
        <w:ind w:left="1120" w:right="699" w:hanging="337"/>
        <w:spacing w:after="0" w:line="275" w:lineRule="auto"/>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Includes (i) 2,265,483 shares of common stock issuable upon the vesting of RSUs awarded under our 2020 Incentive Plan; and (ii) 8,328,051 shares of common stock issuable upon the exercise of outstanding options granted under our 2020 Incentive Plan.</w:t>
      </w:r>
    </w:p>
    <w:p>
      <w:pPr>
        <w:spacing w:after="0" w:line="15" w:lineRule="exact"/>
        <w:rPr>
          <w:rFonts w:ascii="Arial" w:cs="Arial" w:eastAsia="Arial" w:hAnsi="Arial"/>
          <w:sz w:val="17"/>
          <w:szCs w:val="17"/>
          <w:color w:val="auto"/>
        </w:rPr>
      </w:pPr>
    </w:p>
    <w:p>
      <w:pPr>
        <w:ind w:left="1120" w:hanging="337"/>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Excludes RSUs as they have no exercise price.</w:t>
      </w:r>
    </w:p>
    <w:p>
      <w:pPr>
        <w:spacing w:after="0" w:line="77" w:lineRule="exact"/>
        <w:rPr>
          <w:rFonts w:ascii="Arial" w:cs="Arial" w:eastAsia="Arial" w:hAnsi="Arial"/>
          <w:sz w:val="17"/>
          <w:szCs w:val="17"/>
          <w:color w:val="auto"/>
        </w:rPr>
      </w:pPr>
    </w:p>
    <w:p>
      <w:pPr>
        <w:ind w:left="1120" w:right="239" w:hanging="337"/>
        <w:spacing w:after="0" w:line="275" w:lineRule="auto"/>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Reflects shares available for future issuance under the 2020 Incentive Plan, excluding shares underlying outstanding awards. </w:t>
      </w:r>
      <w:r>
        <w:rPr>
          <w:rFonts w:ascii="Arial" w:cs="Arial" w:eastAsia="Arial" w:hAnsi="Arial"/>
          <w:sz w:val="17"/>
          <w:szCs w:val="17"/>
          <w:b w:val="1"/>
          <w:bCs w:val="1"/>
          <w:color w:val="auto"/>
        </w:rPr>
        <w:t>All</w:t>
      </w:r>
      <w:r>
        <w:rPr>
          <w:rFonts w:ascii="Arial" w:cs="Arial" w:eastAsia="Arial" w:hAnsi="Arial"/>
          <w:sz w:val="17"/>
          <w:szCs w:val="17"/>
          <w:color w:val="auto"/>
        </w:rPr>
        <w:t xml:space="preserve"> of these shares may be issued with respect to award vehicles other than just stock options or share appreciation rights or other rights to acquire shares.</w:t>
      </w:r>
    </w:p>
    <w:p>
      <w:pPr>
        <w:spacing w:after="0" w:line="240"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2020 Omnibus Incentive Plan</w:t>
      </w:r>
    </w:p>
    <w:p>
      <w:pPr>
        <w:spacing w:after="0" w:line="202" w:lineRule="exact"/>
        <w:rPr>
          <w:sz w:val="20"/>
          <w:szCs w:val="20"/>
          <w:color w:val="auto"/>
        </w:rPr>
      </w:pPr>
    </w:p>
    <w:p>
      <w:pPr>
        <w:ind w:left="780" w:right="219"/>
        <w:spacing w:after="0" w:line="248" w:lineRule="auto"/>
        <w:rPr>
          <w:sz w:val="20"/>
          <w:szCs w:val="20"/>
          <w:color w:val="auto"/>
        </w:rPr>
      </w:pPr>
      <w:r>
        <w:rPr>
          <w:rFonts w:ascii="Arial" w:cs="Arial" w:eastAsia="Arial" w:hAnsi="Arial"/>
          <w:sz w:val="21"/>
          <w:szCs w:val="21"/>
          <w:color w:val="auto"/>
        </w:rPr>
        <w:t>Prior to our IPO, our Board adopted, and our sole shareholder approved, our 2020 Incentive Plan. The maximum number of shares of our common stock that may be issued under our 2020 Incentive Plan is 27,900,000 shares.</w:t>
      </w:r>
    </w:p>
    <w:p>
      <w:pPr>
        <w:spacing w:after="0" w:line="160" w:lineRule="exact"/>
        <w:rPr>
          <w:sz w:val="20"/>
          <w:szCs w:val="20"/>
          <w:color w:val="auto"/>
        </w:rPr>
      </w:pPr>
    </w:p>
    <w:p>
      <w:pPr>
        <w:ind w:left="780" w:right="239"/>
        <w:spacing w:after="0" w:line="251" w:lineRule="auto"/>
        <w:rPr>
          <w:sz w:val="20"/>
          <w:szCs w:val="20"/>
          <w:color w:val="auto"/>
        </w:rPr>
      </w:pPr>
      <w:r>
        <w:rPr>
          <w:rFonts w:ascii="Arial" w:cs="Arial" w:eastAsia="Arial" w:hAnsi="Arial"/>
          <w:sz w:val="20"/>
          <w:szCs w:val="20"/>
          <w:color w:val="auto"/>
        </w:rPr>
        <w:t>Any employee, director or consultant of the Company is eligible to receive an award under the 2020 Incentive Plan, to the extent that a grant of such award is permitted by applicable law, stock market or exchange rules and regulations, or any accounting or tax rules and regulations. The 2020 Incentive Plan provides for the grant of stock options (including incentive stock options and nonqualified stock options), restricted stock awards, RSUs and other cash-based, equity-based or equity-related awards. Each award granted under the 2020 Incentive Plan will be set forth in a separate award agreement and will indicate the type and terms and conditions of the award.</w:t>
      </w:r>
    </w:p>
    <w:p>
      <w:pPr>
        <w:spacing w:after="0" w:line="159" w:lineRule="exact"/>
        <w:rPr>
          <w:sz w:val="20"/>
          <w:szCs w:val="20"/>
          <w:color w:val="auto"/>
        </w:rPr>
      </w:pPr>
    </w:p>
    <w:p>
      <w:pPr>
        <w:ind w:left="780" w:right="179"/>
        <w:spacing w:after="0" w:line="268" w:lineRule="auto"/>
        <w:rPr>
          <w:sz w:val="20"/>
          <w:szCs w:val="20"/>
          <w:color w:val="auto"/>
        </w:rPr>
      </w:pPr>
      <w:r>
        <w:rPr>
          <w:rFonts w:ascii="Arial" w:cs="Arial" w:eastAsia="Arial" w:hAnsi="Arial"/>
          <w:sz w:val="19"/>
          <w:szCs w:val="19"/>
          <w:color w:val="auto"/>
        </w:rPr>
        <w:t>As provided for under the 2020 Incentive Plan, the administrator of the 2020 Incentive Plan shall be either the Board or a committee appointed by the Board to administer the 2020 Incentive Plan. The Board has designated the LDC Committee to administer the 2020 Incentive Plan and grant awards thereunder. Pursuant to the terms of the 2020 Incentive Plan, the administrator has the authority to authorize a subcommittee consisting of one or more members of the Board (including members who are employees of the Company) or employees of the Company to grant awards to persons who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298450</wp:posOffset>
            </wp:positionV>
            <wp:extent cx="494665" cy="165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175260</wp:posOffset>
            </wp:positionV>
            <wp:extent cx="5538470" cy="165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Equity Compensation Plan Information</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2020 Omnibus Incentive Plan</w:t>
      </w:r>
    </w:p>
    <w:p>
      <w:pPr>
        <w:spacing w:after="0" w:line="238" w:lineRule="exact"/>
        <w:rPr>
          <w:sz w:val="20"/>
          <w:szCs w:val="20"/>
          <w:color w:val="auto"/>
        </w:rPr>
      </w:pPr>
    </w:p>
    <w:p>
      <w:pPr>
        <w:ind w:left="780" w:right="800"/>
        <w:spacing w:after="0" w:line="246" w:lineRule="auto"/>
        <w:rPr>
          <w:sz w:val="20"/>
          <w:szCs w:val="20"/>
          <w:color w:val="auto"/>
        </w:rPr>
      </w:pPr>
      <w:r>
        <w:rPr>
          <w:rFonts w:ascii="Arial" w:cs="Arial" w:eastAsia="Arial" w:hAnsi="Arial"/>
          <w:sz w:val="21"/>
          <w:szCs w:val="21"/>
          <w:color w:val="auto"/>
        </w:rPr>
        <w:t>not “executive officers” of the Company. The LDC Committee has delegated to Mr. Petras, in his capacity as both a Board member and employee, the power to grant, without any further action required by the LDC Committee, a predetermined number of equity awards to employees who are not executive officers of the Company. The purpose of this delegation of authority is to enhance the flexibility of equity award administration within the Company and to facilitate the timely grant of equity incentives to non-executive officer employees, within the limits approved by the LDC Committee or the Board.</w:t>
      </w:r>
    </w:p>
    <w:p>
      <w:pPr>
        <w:spacing w:after="0" w:line="266"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Corporate Reorganization &amp; Distribution of Shares</w:t>
      </w:r>
    </w:p>
    <w:p>
      <w:pPr>
        <w:spacing w:after="0" w:line="215" w:lineRule="exact"/>
        <w:rPr>
          <w:sz w:val="20"/>
          <w:szCs w:val="20"/>
          <w:color w:val="auto"/>
        </w:rPr>
      </w:pPr>
    </w:p>
    <w:p>
      <w:pPr>
        <w:ind w:left="780" w:right="940"/>
        <w:spacing w:after="0" w:line="269" w:lineRule="auto"/>
        <w:rPr>
          <w:sz w:val="20"/>
          <w:szCs w:val="20"/>
          <w:color w:val="auto"/>
        </w:rPr>
      </w:pPr>
      <w:r>
        <w:rPr>
          <w:rFonts w:ascii="Arial" w:cs="Arial" w:eastAsia="Arial" w:hAnsi="Arial"/>
          <w:sz w:val="19"/>
          <w:szCs w:val="19"/>
          <w:color w:val="auto"/>
        </w:rPr>
        <w:t>Before our IPO, we were a wholly owned subsidiary of Topco Parent, a Delaware limited partnership. Pursuant to the terms of the corporate reorganization that we completed prior to our IPO, Topco Parent dissolved and in liquidation distributed shares of Sotera Health Company common stock to its limited partners in accordance with the limited partnership agreement of Topco Parent. Each holder of limited partnership interests in Topco Parent prior to our IPO, including</w:t>
      </w:r>
    </w:p>
    <w:p>
      <w:pPr>
        <w:spacing w:after="0" w:line="3" w:lineRule="exact"/>
        <w:rPr>
          <w:sz w:val="20"/>
          <w:szCs w:val="20"/>
          <w:color w:val="auto"/>
        </w:rPr>
      </w:pPr>
    </w:p>
    <w:p>
      <w:pPr>
        <w:jc w:val="both"/>
        <w:ind w:left="780" w:right="840"/>
        <w:spacing w:after="0" w:line="244" w:lineRule="auto"/>
        <w:rPr>
          <w:sz w:val="20"/>
          <w:szCs w:val="20"/>
          <w:color w:val="auto"/>
        </w:rPr>
      </w:pPr>
      <w:r>
        <w:rPr>
          <w:rFonts w:ascii="Arial" w:cs="Arial" w:eastAsia="Arial" w:hAnsi="Arial"/>
          <w:sz w:val="21"/>
          <w:szCs w:val="21"/>
          <w:color w:val="auto"/>
        </w:rPr>
        <w:t>Mr. Petras and Mr. Rutz and Ms. Klee and the Sponsors, received an in-kind distribution of shares of our common stock (in certain circumstances subject to restrictions as described below) with respect to those interests as part of the corporate reorganization.</w:t>
      </w:r>
    </w:p>
    <w:p>
      <w:pPr>
        <w:spacing w:after="0" w:line="178" w:lineRule="exact"/>
        <w:rPr>
          <w:sz w:val="20"/>
          <w:szCs w:val="20"/>
          <w:color w:val="auto"/>
        </w:rPr>
      </w:pPr>
    </w:p>
    <w:p>
      <w:pPr>
        <w:ind w:left="780" w:right="800"/>
        <w:spacing w:after="0" w:line="255" w:lineRule="auto"/>
        <w:rPr>
          <w:sz w:val="20"/>
          <w:szCs w:val="20"/>
          <w:color w:val="auto"/>
        </w:rPr>
      </w:pPr>
      <w:r>
        <w:rPr>
          <w:rFonts w:ascii="Arial" w:cs="Arial" w:eastAsia="Arial" w:hAnsi="Arial"/>
          <w:sz w:val="20"/>
          <w:szCs w:val="20"/>
          <w:color w:val="auto"/>
        </w:rPr>
        <w:t>In connection with such distribution, each individual holder of limited partnership interests in Topco Parent prior to the IPO, including our named executive officers and Ms. Klee, executed the Restricted Stock Agreement and Acknowledgment (the “RSA”) in the form filed as an exhibit to our registration statement. The RSA provides that any shares of our common stock distributed to an individual in respect of any partnership interests that were vested as of the distribution were not subject to any vesting or forfeiture restrictions following the IPO. With respect to shares of common stock distributed in respect of any partnership interests that were unvested as of the distribution, the RSA generally provides that such shares shall be subject to the same vesting and forfeiture restrictions that applied to such unvested partnership interests prior to the distribution. Pursuant to the terms of our Stockholders Agreement, following the distribution, shares of our common stock held by members of our management team and certain members of our Board (including Mr. Petras) are subject to transfer restrictions unless such restrictions are otherwise waived by the LDC Committee. See “Stockholders Agreement,” on page 87, for additional information on our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1866265</wp:posOffset>
            </wp:positionV>
            <wp:extent cx="5538470" cy="165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70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35F86"/>
        </w:rPr>
        <w:t>​</w:t>
      </w:r>
    </w:p>
    <w:p>
      <w:pPr>
        <w:spacing w:after="0" w:line="207" w:lineRule="exact"/>
        <w:rPr>
          <w:sz w:val="20"/>
          <w:szCs w:val="20"/>
          <w:color w:val="auto"/>
        </w:rPr>
      </w:pPr>
    </w:p>
    <w:p>
      <w:pPr>
        <w:jc w:val="right"/>
        <w:ind w:right="340"/>
        <w:spacing w:after="0"/>
        <w:rPr>
          <w:sz w:val="20"/>
          <w:szCs w:val="20"/>
          <w:color w:val="auto"/>
        </w:rPr>
      </w:pPr>
      <w:r>
        <w:rPr>
          <w:rFonts w:ascii="Arial" w:cs="Arial" w:eastAsia="Arial" w:hAnsi="Arial"/>
          <w:sz w:val="17"/>
          <w:szCs w:val="17"/>
          <w:b w:val="1"/>
          <w:bCs w:val="1"/>
          <w:color w:val="auto"/>
        </w:rPr>
        <w:t>Pay Versus Performance</w:t>
      </w:r>
    </w:p>
    <w:p>
      <w:pPr>
        <w:spacing w:after="0" w:line="48" w:lineRule="exact"/>
        <w:rPr>
          <w:sz w:val="20"/>
          <w:szCs w:val="20"/>
          <w:color w:val="auto"/>
        </w:rPr>
      </w:pPr>
    </w:p>
    <w:p>
      <w:pPr>
        <w:jc w:val="right"/>
        <w:ind w:right="340"/>
        <w:spacing w:after="0"/>
        <w:rPr>
          <w:sz w:val="20"/>
          <w:szCs w:val="20"/>
          <w:color w:val="auto"/>
        </w:rPr>
      </w:pPr>
      <w:r>
        <w:rPr>
          <w:rFonts w:ascii="Arial" w:cs="Arial" w:eastAsia="Arial" w:hAnsi="Arial"/>
          <w:sz w:val="14"/>
          <w:szCs w:val="14"/>
          <w:b w:val="1"/>
          <w:bCs w:val="1"/>
          <w:color w:val="auto"/>
        </w:rPr>
        <w:t>2024 Pay Versus Performance Table</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PAY VERSUS PERFORMANCE</w:t>
      </w:r>
    </w:p>
    <w:p>
      <w:pPr>
        <w:spacing w:after="0" w:line="14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Pay Versus Performance Table</w:t>
      </w:r>
    </w:p>
    <w:p>
      <w:pPr>
        <w:spacing w:after="0" w:line="215" w:lineRule="exact"/>
        <w:rPr>
          <w:sz w:val="20"/>
          <w:szCs w:val="20"/>
          <w:color w:val="auto"/>
        </w:rPr>
      </w:pPr>
    </w:p>
    <w:p>
      <w:pPr>
        <w:ind w:left="780" w:right="340"/>
        <w:spacing w:after="0" w:line="244" w:lineRule="auto"/>
        <w:rPr>
          <w:sz w:val="20"/>
          <w:szCs w:val="20"/>
          <w:color w:val="auto"/>
        </w:rPr>
      </w:pPr>
      <w:r>
        <w:rPr>
          <w:rFonts w:ascii="Arial" w:cs="Arial" w:eastAsia="Arial" w:hAnsi="Arial"/>
          <w:sz w:val="21"/>
          <w:szCs w:val="21"/>
          <w:color w:val="auto"/>
        </w:rPr>
        <w:t>As required by the SEC’s pay versus performance (“PVP”) rules, the following Pay Versus Performance table (“PVP Table”) provides SEC-required information about compensation for 2024 for this Proxy Statement’s NEOs, as well as our named executive officers from our 2024, 2023, 2022 and 2021 Proxy Statements (each of 2020, 2021, 2022, 2023, and 2024, a “Covered Year”). We refer to all of the NEOs or named executive officers covered in the PVP Table below as “PVP NEOs.” The PVP Table also provides information about the results for certain measures of financial performance during those same Covered Years. In reviewing this information, there are a few important things we believe you should consider:</w:t>
      </w:r>
    </w:p>
    <w:p>
      <w:pPr>
        <w:spacing w:after="0" w:line="74" w:lineRule="exact"/>
        <w:rPr>
          <w:sz w:val="20"/>
          <w:szCs w:val="20"/>
          <w:color w:val="auto"/>
        </w:rPr>
      </w:pPr>
    </w:p>
    <w:p>
      <w:pPr>
        <w:ind w:left="1480" w:right="600" w:hanging="351"/>
        <w:spacing w:after="0" w:line="277" w:lineRule="auto"/>
        <w:tabs>
          <w:tab w:leader="none" w:pos="1480" w:val="left"/>
        </w:tabs>
        <w:numPr>
          <w:ilvl w:val="0"/>
          <w:numId w:val="55"/>
        </w:numPr>
        <w:rPr>
          <w:rFonts w:ascii="Arial" w:cs="Arial" w:eastAsia="Arial" w:hAnsi="Arial"/>
          <w:sz w:val="21"/>
          <w:szCs w:val="21"/>
          <w:color w:val="435F86"/>
        </w:rPr>
      </w:pPr>
      <w:r>
        <w:rPr>
          <w:rFonts w:ascii="Arial" w:cs="Arial" w:eastAsia="Arial" w:hAnsi="Arial"/>
          <w:sz w:val="21"/>
          <w:szCs w:val="21"/>
          <w:color w:val="auto"/>
        </w:rPr>
        <w:t>The information in columns (b) and (d) of the PVP Table comes directly from this year’s or prior years’ Summary Compensation Tables; and</w:t>
      </w:r>
    </w:p>
    <w:p>
      <w:pPr>
        <w:spacing w:after="0" w:line="26" w:lineRule="exact"/>
        <w:rPr>
          <w:rFonts w:ascii="Arial" w:cs="Arial" w:eastAsia="Arial" w:hAnsi="Arial"/>
          <w:sz w:val="21"/>
          <w:szCs w:val="21"/>
          <w:color w:val="435F86"/>
        </w:rPr>
      </w:pPr>
    </w:p>
    <w:p>
      <w:pPr>
        <w:ind w:left="1480" w:right="580" w:hanging="351"/>
        <w:spacing w:after="0" w:line="286" w:lineRule="auto"/>
        <w:tabs>
          <w:tab w:leader="none" w:pos="1480" w:val="left"/>
        </w:tabs>
        <w:numPr>
          <w:ilvl w:val="0"/>
          <w:numId w:val="55"/>
        </w:numPr>
        <w:rPr>
          <w:rFonts w:ascii="Arial" w:cs="Arial" w:eastAsia="Arial" w:hAnsi="Arial"/>
          <w:sz w:val="19"/>
          <w:szCs w:val="19"/>
          <w:color w:val="435F86"/>
        </w:rPr>
      </w:pPr>
      <w:r>
        <w:rPr>
          <w:rFonts w:ascii="Arial" w:cs="Arial" w:eastAsia="Arial" w:hAnsi="Arial"/>
          <w:sz w:val="19"/>
          <w:szCs w:val="19"/>
          <w:color w:val="auto"/>
        </w:rPr>
        <w:t>As required by the SEC’s PVP rules, we describe the information in columns (c) and (e) of the PVP Table as “compensation actually paid” (or​ “CAP”) to the applicable PVP NEOs. However, these CAP amounts may not necessarily reflect the final compensation that our PVP NEOs actually earned or walked away with for their service in the Covered Years.</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392"/>
        </w:trPr>
        <w:tc>
          <w:tcPr>
            <w:tcW w:w="540" w:type="dxa"/>
            <w:vAlign w:val="bottom"/>
          </w:tcPr>
          <w:p>
            <w:pPr>
              <w:ind w:left="40"/>
              <w:spacing w:after="0"/>
              <w:rPr>
                <w:sz w:val="20"/>
                <w:szCs w:val="20"/>
                <w:color w:val="auto"/>
              </w:rPr>
            </w:pPr>
            <w:r>
              <w:rPr>
                <w:rFonts w:ascii="Arial" w:cs="Arial" w:eastAsia="Arial" w:hAnsi="Arial"/>
                <w:sz w:val="27"/>
                <w:szCs w:val="27"/>
                <w:b w:val="1"/>
                <w:bCs w:val="1"/>
                <w:color w:val="435F86"/>
                <w:vertAlign w:val="subscript"/>
              </w:rPr>
              <w:t>​</w:t>
            </w:r>
            <w:r>
              <w:rPr>
                <w:rFonts w:ascii="Arial" w:cs="Arial" w:eastAsia="Arial" w:hAnsi="Arial"/>
                <w:sz w:val="14"/>
                <w:szCs w:val="14"/>
                <w:b w:val="1"/>
                <w:bCs w:val="1"/>
                <w:color w:val="435F86"/>
              </w:rPr>
              <w:t>(a)</w:t>
            </w:r>
          </w:p>
        </w:tc>
        <w:tc>
          <w:tcPr>
            <w:tcW w:w="280" w:type="dxa"/>
            <w:vAlign w:val="bottom"/>
          </w:tcPr>
          <w:p>
            <w:pPr>
              <w:ind w:left="100"/>
              <w:spacing w:after="0"/>
              <w:rPr>
                <w:sz w:val="20"/>
                <w:szCs w:val="20"/>
                <w:color w:val="auto"/>
              </w:rPr>
            </w:pPr>
            <w:r>
              <w:rPr>
                <w:rFonts w:ascii="Arial" w:cs="Arial" w:eastAsia="Arial" w:hAnsi="Arial"/>
                <w:sz w:val="14"/>
                <w:szCs w:val="14"/>
                <w:b w:val="1"/>
                <w:bCs w:val="1"/>
                <w:color w:val="435F86"/>
              </w:rPr>
              <w:t>​ ​</w:t>
            </w:r>
          </w:p>
        </w:tc>
        <w:tc>
          <w:tcPr>
            <w:tcW w:w="900" w:type="dxa"/>
            <w:vAlign w:val="bottom"/>
          </w:tcPr>
          <w:p>
            <w:pPr>
              <w:jc w:val="center"/>
              <w:ind w:right="25"/>
              <w:spacing w:after="0"/>
              <w:rPr>
                <w:sz w:val="20"/>
                <w:szCs w:val="20"/>
                <w:color w:val="auto"/>
              </w:rPr>
            </w:pPr>
            <w:r>
              <w:rPr>
                <w:rFonts w:ascii="Arial" w:cs="Arial" w:eastAsia="Arial" w:hAnsi="Arial"/>
                <w:sz w:val="14"/>
                <w:szCs w:val="14"/>
                <w:b w:val="1"/>
                <w:bCs w:val="1"/>
                <w:color w:val="435F86"/>
                <w:w w:val="88"/>
              </w:rPr>
              <w:t>(b)</w:t>
            </w:r>
            <w:r>
              <w:rPr>
                <w:rFonts w:ascii="Arial" w:cs="Arial" w:eastAsia="Arial" w:hAnsi="Arial"/>
                <w:sz w:val="17"/>
                <w:szCs w:val="17"/>
                <w:b w:val="1"/>
                <w:bCs w:val="1"/>
                <w:color w:val="435F86"/>
                <w:w w:val="88"/>
                <w:vertAlign w:val="superscript"/>
              </w:rPr>
              <w:t>(1)</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435F86"/>
              </w:rPr>
              <w:t>​ ​</w:t>
            </w:r>
          </w:p>
        </w:tc>
        <w:tc>
          <w:tcPr>
            <w:tcW w:w="880" w:type="dxa"/>
            <w:vAlign w:val="bottom"/>
          </w:tcPr>
          <w:p>
            <w:pPr>
              <w:jc w:val="center"/>
              <w:ind w:right="48"/>
              <w:spacing w:after="0"/>
              <w:rPr>
                <w:sz w:val="20"/>
                <w:szCs w:val="20"/>
                <w:color w:val="auto"/>
              </w:rPr>
            </w:pPr>
            <w:r>
              <w:rPr>
                <w:rFonts w:ascii="Arial" w:cs="Arial" w:eastAsia="Arial" w:hAnsi="Arial"/>
                <w:sz w:val="27"/>
                <w:szCs w:val="27"/>
                <w:b w:val="1"/>
                <w:bCs w:val="1"/>
                <w:color w:val="435F86"/>
                <w:w w:val="81"/>
                <w:vertAlign w:val="subscript"/>
              </w:rPr>
              <w:t>(c)</w:t>
            </w:r>
            <w:r>
              <w:rPr>
                <w:rFonts w:ascii="Arial" w:cs="Arial" w:eastAsia="Arial" w:hAnsi="Arial"/>
                <w:sz w:val="9"/>
                <w:szCs w:val="9"/>
                <w:b w:val="1"/>
                <w:bCs w:val="1"/>
                <w:color w:val="435F86"/>
                <w:w w:val="81"/>
              </w:rPr>
              <w:t>(1)(2)</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435F86"/>
              </w:rPr>
              <w:t>​ ​</w:t>
            </w:r>
          </w:p>
        </w:tc>
        <w:tc>
          <w:tcPr>
            <w:tcW w:w="860" w:type="dxa"/>
            <w:vAlign w:val="bottom"/>
          </w:tcPr>
          <w:p>
            <w:pPr>
              <w:jc w:val="center"/>
              <w:ind w:right="26"/>
              <w:spacing w:after="0"/>
              <w:rPr>
                <w:sz w:val="20"/>
                <w:szCs w:val="20"/>
                <w:color w:val="auto"/>
              </w:rPr>
            </w:pPr>
            <w:r>
              <w:rPr>
                <w:rFonts w:ascii="Arial" w:cs="Arial" w:eastAsia="Arial" w:hAnsi="Arial"/>
                <w:sz w:val="14"/>
                <w:szCs w:val="14"/>
                <w:b w:val="1"/>
                <w:bCs w:val="1"/>
                <w:color w:val="435F86"/>
                <w:w w:val="88"/>
              </w:rPr>
              <w:t>(d)</w:t>
            </w:r>
            <w:r>
              <w:rPr>
                <w:rFonts w:ascii="Arial" w:cs="Arial" w:eastAsia="Arial" w:hAnsi="Arial"/>
                <w:sz w:val="17"/>
                <w:szCs w:val="17"/>
                <w:b w:val="1"/>
                <w:bCs w:val="1"/>
                <w:color w:val="435F86"/>
                <w:w w:val="88"/>
                <w:vertAlign w:val="superscript"/>
              </w:rPr>
              <w:t>(3)</w:t>
            </w:r>
          </w:p>
        </w:tc>
        <w:tc>
          <w:tcPr>
            <w:tcW w:w="280" w:type="dxa"/>
            <w:vAlign w:val="bottom"/>
          </w:tcPr>
          <w:p>
            <w:pPr>
              <w:ind w:left="40"/>
              <w:spacing w:after="0"/>
              <w:rPr>
                <w:sz w:val="20"/>
                <w:szCs w:val="20"/>
                <w:color w:val="auto"/>
              </w:rPr>
            </w:pPr>
            <w:r>
              <w:rPr>
                <w:rFonts w:ascii="Arial" w:cs="Arial" w:eastAsia="Arial" w:hAnsi="Arial"/>
                <w:sz w:val="14"/>
                <w:szCs w:val="14"/>
                <w:b w:val="1"/>
                <w:bCs w:val="1"/>
                <w:color w:val="435F86"/>
              </w:rPr>
              <w:t>​ ​</w:t>
            </w:r>
          </w:p>
        </w:tc>
        <w:tc>
          <w:tcPr>
            <w:tcW w:w="80" w:type="dxa"/>
            <w:vAlign w:val="bottom"/>
          </w:tcPr>
          <w:p>
            <w:pPr>
              <w:spacing w:after="0"/>
              <w:rPr>
                <w:sz w:val="24"/>
                <w:szCs w:val="24"/>
                <w:color w:val="auto"/>
              </w:rPr>
            </w:pPr>
          </w:p>
        </w:tc>
        <w:tc>
          <w:tcPr>
            <w:tcW w:w="820" w:type="dxa"/>
            <w:vAlign w:val="bottom"/>
          </w:tcPr>
          <w:p>
            <w:pPr>
              <w:jc w:val="center"/>
              <w:ind w:right="107"/>
              <w:spacing w:after="0"/>
              <w:rPr>
                <w:sz w:val="20"/>
                <w:szCs w:val="20"/>
                <w:color w:val="auto"/>
              </w:rPr>
            </w:pPr>
            <w:r>
              <w:rPr>
                <w:rFonts w:ascii="Arial" w:cs="Arial" w:eastAsia="Arial" w:hAnsi="Arial"/>
                <w:sz w:val="27"/>
                <w:szCs w:val="27"/>
                <w:b w:val="1"/>
                <w:bCs w:val="1"/>
                <w:color w:val="435F86"/>
                <w:w w:val="81"/>
                <w:vertAlign w:val="subscript"/>
              </w:rPr>
              <w:t>(e)</w:t>
            </w:r>
            <w:r>
              <w:rPr>
                <w:rFonts w:ascii="Arial" w:cs="Arial" w:eastAsia="Arial" w:hAnsi="Arial"/>
                <w:sz w:val="9"/>
                <w:szCs w:val="9"/>
                <w:b w:val="1"/>
                <w:bCs w:val="1"/>
                <w:color w:val="435F86"/>
                <w:w w:val="81"/>
              </w:rPr>
              <w:t>(3)(4)</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435F86"/>
              </w:rPr>
              <w:t>​ ​</w:t>
            </w:r>
          </w:p>
        </w:tc>
        <w:tc>
          <w:tcPr>
            <w:tcW w:w="180" w:type="dxa"/>
            <w:vAlign w:val="bottom"/>
          </w:tcPr>
          <w:p>
            <w:pPr>
              <w:spacing w:after="0"/>
              <w:rPr>
                <w:sz w:val="24"/>
                <w:szCs w:val="24"/>
                <w:color w:val="auto"/>
              </w:rPr>
            </w:pPr>
          </w:p>
        </w:tc>
        <w:tc>
          <w:tcPr>
            <w:tcW w:w="560" w:type="dxa"/>
            <w:vAlign w:val="bottom"/>
            <w:gridSpan w:val="2"/>
          </w:tcPr>
          <w:p>
            <w:pPr>
              <w:jc w:val="center"/>
              <w:ind w:right="113"/>
              <w:spacing w:after="0"/>
              <w:rPr>
                <w:sz w:val="20"/>
                <w:szCs w:val="20"/>
                <w:color w:val="auto"/>
              </w:rPr>
            </w:pPr>
            <w:r>
              <w:rPr>
                <w:rFonts w:ascii="Arial" w:cs="Arial" w:eastAsia="Arial" w:hAnsi="Arial"/>
                <w:sz w:val="14"/>
                <w:szCs w:val="14"/>
                <w:b w:val="1"/>
                <w:bCs w:val="1"/>
                <w:color w:val="435F86"/>
                <w:w w:val="86"/>
              </w:rPr>
              <w:t>(f)</w:t>
            </w:r>
            <w:r>
              <w:rPr>
                <w:rFonts w:ascii="Arial" w:cs="Arial" w:eastAsia="Arial" w:hAnsi="Arial"/>
                <w:sz w:val="17"/>
                <w:szCs w:val="17"/>
                <w:b w:val="1"/>
                <w:bCs w:val="1"/>
                <w:color w:val="435F86"/>
                <w:w w:val="86"/>
                <w:vertAlign w:val="superscript"/>
              </w:rPr>
              <w:t>(5)</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435F86"/>
              </w:rPr>
              <w:t>​ ​</w:t>
            </w:r>
          </w:p>
        </w:tc>
        <w:tc>
          <w:tcPr>
            <w:tcW w:w="220" w:type="dxa"/>
            <w:vAlign w:val="bottom"/>
          </w:tcPr>
          <w:p>
            <w:pPr>
              <w:spacing w:after="0"/>
              <w:rPr>
                <w:sz w:val="24"/>
                <w:szCs w:val="24"/>
                <w:color w:val="auto"/>
              </w:rPr>
            </w:pPr>
          </w:p>
        </w:tc>
        <w:tc>
          <w:tcPr>
            <w:tcW w:w="560" w:type="dxa"/>
            <w:vAlign w:val="bottom"/>
          </w:tcPr>
          <w:p>
            <w:pPr>
              <w:jc w:val="center"/>
              <w:ind w:right="104"/>
              <w:spacing w:after="0"/>
              <w:rPr>
                <w:sz w:val="20"/>
                <w:szCs w:val="20"/>
                <w:color w:val="auto"/>
              </w:rPr>
            </w:pPr>
            <w:r>
              <w:rPr>
                <w:rFonts w:ascii="Arial" w:cs="Arial" w:eastAsia="Arial" w:hAnsi="Arial"/>
                <w:sz w:val="27"/>
                <w:szCs w:val="27"/>
                <w:b w:val="1"/>
                <w:bCs w:val="1"/>
                <w:color w:val="435F86"/>
                <w:w w:val="84"/>
                <w:vertAlign w:val="subscript"/>
              </w:rPr>
              <w:t>(g)</w:t>
            </w:r>
            <w:r>
              <w:rPr>
                <w:rFonts w:ascii="Arial" w:cs="Arial" w:eastAsia="Arial" w:hAnsi="Arial"/>
                <w:sz w:val="9"/>
                <w:szCs w:val="9"/>
                <w:b w:val="1"/>
                <w:bCs w:val="1"/>
                <w:color w:val="435F86"/>
                <w:w w:val="84"/>
              </w:rPr>
              <w:t>(5)(6)</w:t>
            </w:r>
          </w:p>
        </w:tc>
        <w:tc>
          <w:tcPr>
            <w:tcW w:w="320" w:type="dxa"/>
            <w:vAlign w:val="bottom"/>
            <w:gridSpan w:val="2"/>
          </w:tcPr>
          <w:p>
            <w:pPr>
              <w:ind w:left="80"/>
              <w:spacing w:after="0"/>
              <w:rPr>
                <w:sz w:val="20"/>
                <w:szCs w:val="20"/>
                <w:color w:val="auto"/>
              </w:rPr>
            </w:pPr>
            <w:r>
              <w:rPr>
                <w:rFonts w:ascii="Arial" w:cs="Arial" w:eastAsia="Arial" w:hAnsi="Arial"/>
                <w:sz w:val="14"/>
                <w:szCs w:val="14"/>
                <w:b w:val="1"/>
                <w:bCs w:val="1"/>
                <w:color w:val="435F86"/>
              </w:rPr>
              <w:t>​ ​</w:t>
            </w:r>
          </w:p>
        </w:tc>
        <w:tc>
          <w:tcPr>
            <w:tcW w:w="60" w:type="dxa"/>
            <w:vAlign w:val="bottom"/>
          </w:tcPr>
          <w:p>
            <w:pPr>
              <w:spacing w:after="0"/>
              <w:rPr>
                <w:sz w:val="24"/>
                <w:szCs w:val="24"/>
                <w:color w:val="auto"/>
              </w:rPr>
            </w:pPr>
          </w:p>
        </w:tc>
        <w:tc>
          <w:tcPr>
            <w:tcW w:w="700" w:type="dxa"/>
            <w:vAlign w:val="bottom"/>
          </w:tcPr>
          <w:p>
            <w:pPr>
              <w:jc w:val="center"/>
              <w:ind w:right="86"/>
              <w:spacing w:after="0"/>
              <w:rPr>
                <w:sz w:val="20"/>
                <w:szCs w:val="20"/>
                <w:color w:val="auto"/>
              </w:rPr>
            </w:pPr>
            <w:r>
              <w:rPr>
                <w:rFonts w:ascii="Arial" w:cs="Arial" w:eastAsia="Arial" w:hAnsi="Arial"/>
                <w:sz w:val="14"/>
                <w:szCs w:val="14"/>
                <w:b w:val="1"/>
                <w:bCs w:val="1"/>
                <w:color w:val="435F86"/>
                <w:w w:val="81"/>
              </w:rPr>
              <w:t>(h)</w:t>
            </w:r>
            <w:r>
              <w:rPr>
                <w:rFonts w:ascii="Arial" w:cs="Arial" w:eastAsia="Arial" w:hAnsi="Arial"/>
                <w:sz w:val="17"/>
                <w:szCs w:val="17"/>
                <w:b w:val="1"/>
                <w:bCs w:val="1"/>
                <w:color w:val="435F86"/>
                <w:w w:val="81"/>
                <w:vertAlign w:val="superscript"/>
              </w:rPr>
              <w:t>(7)</w:t>
            </w:r>
          </w:p>
        </w:tc>
        <w:tc>
          <w:tcPr>
            <w:tcW w:w="320" w:type="dxa"/>
            <w:vAlign w:val="bottom"/>
          </w:tcPr>
          <w:p>
            <w:pPr>
              <w:jc w:val="right"/>
              <w:ind w:right="77"/>
              <w:spacing w:after="0"/>
              <w:rPr>
                <w:sz w:val="20"/>
                <w:szCs w:val="20"/>
                <w:color w:val="auto"/>
              </w:rPr>
            </w:pPr>
            <w:r>
              <w:rPr>
                <w:rFonts w:ascii="Arial" w:cs="Arial" w:eastAsia="Arial" w:hAnsi="Arial"/>
                <w:sz w:val="14"/>
                <w:szCs w:val="14"/>
                <w:b w:val="1"/>
                <w:bCs w:val="1"/>
                <w:color w:val="435F86"/>
              </w:rPr>
              <w:t>​ ​</w:t>
            </w:r>
          </w:p>
        </w:tc>
        <w:tc>
          <w:tcPr>
            <w:tcW w:w="760" w:type="dxa"/>
            <w:vAlign w:val="bottom"/>
          </w:tcPr>
          <w:p>
            <w:pPr>
              <w:jc w:val="center"/>
              <w:ind w:right="25"/>
              <w:spacing w:after="0"/>
              <w:rPr>
                <w:sz w:val="20"/>
                <w:szCs w:val="20"/>
                <w:color w:val="auto"/>
              </w:rPr>
            </w:pPr>
            <w:r>
              <w:rPr>
                <w:rFonts w:ascii="Arial" w:cs="Arial" w:eastAsia="Arial" w:hAnsi="Arial"/>
                <w:sz w:val="14"/>
                <w:szCs w:val="14"/>
                <w:b w:val="1"/>
                <w:bCs w:val="1"/>
                <w:color w:val="435F86"/>
                <w:w w:val="81"/>
              </w:rPr>
              <w:t>(i)</w:t>
            </w:r>
            <w:r>
              <w:rPr>
                <w:rFonts w:ascii="Arial" w:cs="Arial" w:eastAsia="Arial" w:hAnsi="Arial"/>
                <w:sz w:val="17"/>
                <w:szCs w:val="17"/>
                <w:b w:val="1"/>
                <w:bCs w:val="1"/>
                <w:color w:val="435F86"/>
                <w:w w:val="81"/>
                <w:vertAlign w:val="superscript"/>
              </w:rPr>
              <w:t>(8)</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435F86"/>
              </w:rPr>
              <w:t>​</w:t>
            </w:r>
          </w:p>
        </w:tc>
        <w:tc>
          <w:tcPr>
            <w:tcW w:w="0" w:type="dxa"/>
            <w:vAlign w:val="bottom"/>
          </w:tcPr>
          <w:p>
            <w:pPr>
              <w:spacing w:after="0"/>
              <w:rPr>
                <w:sz w:val="1"/>
                <w:szCs w:val="1"/>
                <w:color w:val="auto"/>
              </w:rPr>
            </w:pPr>
          </w:p>
        </w:tc>
      </w:tr>
      <w:tr>
        <w:trPr>
          <w:trHeight w:val="165"/>
        </w:trPr>
        <w:tc>
          <w:tcPr>
            <w:tcW w:w="540" w:type="dxa"/>
            <w:vAlign w:val="bottom"/>
            <w:tcBorders>
              <w:top w:val="single" w:sz="8" w:color="435F86"/>
            </w:tcBorders>
          </w:tcPr>
          <w:p>
            <w:pPr>
              <w:spacing w:after="0"/>
              <w:rPr>
                <w:sz w:val="14"/>
                <w:szCs w:val="14"/>
                <w:color w:val="auto"/>
              </w:rPr>
            </w:pPr>
          </w:p>
        </w:tc>
        <w:tc>
          <w:tcPr>
            <w:tcW w:w="280" w:type="dxa"/>
            <w:vAlign w:val="bottom"/>
            <w:tcBorders>
              <w:top w:val="single" w:sz="8" w:color="435F86"/>
            </w:tcBorders>
          </w:tcPr>
          <w:p>
            <w:pPr>
              <w:spacing w:after="0"/>
              <w:rPr>
                <w:sz w:val="14"/>
                <w:szCs w:val="14"/>
                <w:color w:val="auto"/>
              </w:rPr>
            </w:pPr>
          </w:p>
        </w:tc>
        <w:tc>
          <w:tcPr>
            <w:tcW w:w="900" w:type="dxa"/>
            <w:vAlign w:val="bottom"/>
            <w:tcBorders>
              <w:top w:val="single" w:sz="8" w:color="435F86"/>
            </w:tcBorders>
          </w:tcPr>
          <w:p>
            <w:pPr>
              <w:spacing w:after="0"/>
              <w:rPr>
                <w:sz w:val="14"/>
                <w:szCs w:val="14"/>
                <w:color w:val="auto"/>
              </w:rPr>
            </w:pPr>
          </w:p>
        </w:tc>
        <w:tc>
          <w:tcPr>
            <w:tcW w:w="240" w:type="dxa"/>
            <w:vAlign w:val="bottom"/>
            <w:tcBorders>
              <w:top w:val="single" w:sz="8" w:color="435F86"/>
            </w:tcBorders>
          </w:tcPr>
          <w:p>
            <w:pPr>
              <w:spacing w:after="0"/>
              <w:rPr>
                <w:sz w:val="14"/>
                <w:szCs w:val="14"/>
                <w:color w:val="auto"/>
              </w:rPr>
            </w:pPr>
          </w:p>
        </w:tc>
        <w:tc>
          <w:tcPr>
            <w:tcW w:w="880" w:type="dxa"/>
            <w:vAlign w:val="bottom"/>
            <w:tcBorders>
              <w:top w:val="single" w:sz="8" w:color="435F86"/>
            </w:tcBorders>
          </w:tcPr>
          <w:p>
            <w:pPr>
              <w:spacing w:after="0"/>
              <w:rPr>
                <w:sz w:val="14"/>
                <w:szCs w:val="14"/>
                <w:color w:val="auto"/>
              </w:rPr>
            </w:pPr>
          </w:p>
        </w:tc>
        <w:tc>
          <w:tcPr>
            <w:tcW w:w="260" w:type="dxa"/>
            <w:vAlign w:val="bottom"/>
            <w:tcBorders>
              <w:top w:val="single" w:sz="8" w:color="435F86"/>
            </w:tcBorders>
          </w:tcPr>
          <w:p>
            <w:pPr>
              <w:spacing w:after="0"/>
              <w:rPr>
                <w:sz w:val="14"/>
                <w:szCs w:val="14"/>
                <w:color w:val="auto"/>
              </w:rPr>
            </w:pPr>
          </w:p>
        </w:tc>
        <w:tc>
          <w:tcPr>
            <w:tcW w:w="860" w:type="dxa"/>
            <w:vAlign w:val="bottom"/>
            <w:tcBorders>
              <w:top w:val="single" w:sz="8" w:color="435F86"/>
            </w:tcBorders>
          </w:tcPr>
          <w:p>
            <w:pPr>
              <w:spacing w:after="0"/>
              <w:rPr>
                <w:sz w:val="14"/>
                <w:szCs w:val="14"/>
                <w:color w:val="auto"/>
              </w:rPr>
            </w:pPr>
          </w:p>
        </w:tc>
        <w:tc>
          <w:tcPr>
            <w:tcW w:w="280" w:type="dxa"/>
            <w:vAlign w:val="bottom"/>
            <w:tcBorders>
              <w:top w:val="single" w:sz="8" w:color="435F86"/>
            </w:tcBorders>
          </w:tcPr>
          <w:p>
            <w:pPr>
              <w:spacing w:after="0"/>
              <w:rPr>
                <w:sz w:val="14"/>
                <w:szCs w:val="14"/>
                <w:color w:val="auto"/>
              </w:rPr>
            </w:pPr>
          </w:p>
        </w:tc>
        <w:tc>
          <w:tcPr>
            <w:tcW w:w="80" w:type="dxa"/>
            <w:vAlign w:val="bottom"/>
            <w:tcBorders>
              <w:top w:val="single" w:sz="8" w:color="435F86"/>
            </w:tcBorders>
          </w:tcPr>
          <w:p>
            <w:pPr>
              <w:spacing w:after="0"/>
              <w:rPr>
                <w:sz w:val="14"/>
                <w:szCs w:val="14"/>
                <w:color w:val="auto"/>
              </w:rPr>
            </w:pPr>
          </w:p>
        </w:tc>
        <w:tc>
          <w:tcPr>
            <w:tcW w:w="820" w:type="dxa"/>
            <w:vAlign w:val="bottom"/>
            <w:tcBorders>
              <w:top w:val="single" w:sz="8" w:color="435F86"/>
            </w:tcBorders>
          </w:tcPr>
          <w:p>
            <w:pPr>
              <w:spacing w:after="0"/>
              <w:rPr>
                <w:sz w:val="14"/>
                <w:szCs w:val="14"/>
                <w:color w:val="auto"/>
              </w:rPr>
            </w:pPr>
          </w:p>
        </w:tc>
        <w:tc>
          <w:tcPr>
            <w:tcW w:w="80" w:type="dxa"/>
            <w:vAlign w:val="bottom"/>
            <w:tcBorders>
              <w:top w:val="single" w:sz="8" w:color="435F86"/>
            </w:tcBorders>
          </w:tcPr>
          <w:p>
            <w:pPr>
              <w:spacing w:after="0"/>
              <w:rPr>
                <w:sz w:val="14"/>
                <w:szCs w:val="14"/>
                <w:color w:val="auto"/>
              </w:rPr>
            </w:pPr>
          </w:p>
        </w:tc>
        <w:tc>
          <w:tcPr>
            <w:tcW w:w="140" w:type="dxa"/>
            <w:vAlign w:val="bottom"/>
            <w:tcBorders>
              <w:top w:val="single" w:sz="8" w:color="435F86"/>
            </w:tcBorders>
          </w:tcPr>
          <w:p>
            <w:pPr>
              <w:spacing w:after="0"/>
              <w:rPr>
                <w:sz w:val="14"/>
                <w:szCs w:val="14"/>
                <w:color w:val="auto"/>
              </w:rPr>
            </w:pPr>
          </w:p>
        </w:tc>
        <w:tc>
          <w:tcPr>
            <w:tcW w:w="180" w:type="dxa"/>
            <w:vAlign w:val="bottom"/>
            <w:tcBorders>
              <w:top w:val="single" w:sz="8" w:color="435F86"/>
            </w:tcBorders>
          </w:tcPr>
          <w:p>
            <w:pPr>
              <w:spacing w:after="0"/>
              <w:rPr>
                <w:sz w:val="14"/>
                <w:szCs w:val="14"/>
                <w:color w:val="auto"/>
              </w:rPr>
            </w:pPr>
          </w:p>
        </w:tc>
        <w:tc>
          <w:tcPr>
            <w:tcW w:w="1580" w:type="dxa"/>
            <w:vAlign w:val="bottom"/>
            <w:tcBorders>
              <w:top w:val="single" w:sz="8" w:color="435F86"/>
            </w:tcBorders>
            <w:gridSpan w:val="5"/>
          </w:tcPr>
          <w:p>
            <w:pPr>
              <w:jc w:val="center"/>
              <w:ind w:right="144"/>
              <w:spacing w:after="0"/>
              <w:rPr>
                <w:sz w:val="20"/>
                <w:szCs w:val="20"/>
                <w:color w:val="auto"/>
              </w:rPr>
            </w:pPr>
            <w:r>
              <w:rPr>
                <w:rFonts w:ascii="Arial" w:cs="Arial" w:eastAsia="Arial" w:hAnsi="Arial"/>
                <w:sz w:val="14"/>
                <w:szCs w:val="14"/>
                <w:b w:val="1"/>
                <w:bCs w:val="1"/>
                <w:color w:val="435F86"/>
                <w:w w:val="94"/>
              </w:rPr>
              <w:t>Value of initial fixed</w:t>
            </w:r>
          </w:p>
        </w:tc>
        <w:tc>
          <w:tcPr>
            <w:tcW w:w="100" w:type="dxa"/>
            <w:vAlign w:val="bottom"/>
            <w:tcBorders>
              <w:top w:val="single" w:sz="8" w:color="435F86"/>
            </w:tcBorders>
          </w:tcPr>
          <w:p>
            <w:pPr>
              <w:spacing w:after="0"/>
              <w:rPr>
                <w:sz w:val="14"/>
                <w:szCs w:val="14"/>
                <w:color w:val="auto"/>
              </w:rPr>
            </w:pPr>
          </w:p>
        </w:tc>
        <w:tc>
          <w:tcPr>
            <w:tcW w:w="220" w:type="dxa"/>
            <w:vAlign w:val="bottom"/>
            <w:tcBorders>
              <w:top w:val="single" w:sz="8" w:color="435F86"/>
            </w:tcBorders>
          </w:tcPr>
          <w:p>
            <w:pPr>
              <w:spacing w:after="0"/>
              <w:rPr>
                <w:sz w:val="14"/>
                <w:szCs w:val="14"/>
                <w:color w:val="auto"/>
              </w:rPr>
            </w:pPr>
          </w:p>
        </w:tc>
        <w:tc>
          <w:tcPr>
            <w:tcW w:w="60" w:type="dxa"/>
            <w:vAlign w:val="bottom"/>
            <w:tcBorders>
              <w:top w:val="single" w:sz="8" w:color="435F86"/>
            </w:tcBorders>
          </w:tcPr>
          <w:p>
            <w:pPr>
              <w:spacing w:after="0"/>
              <w:rPr>
                <w:sz w:val="14"/>
                <w:szCs w:val="14"/>
                <w:color w:val="auto"/>
              </w:rPr>
            </w:pPr>
          </w:p>
        </w:tc>
        <w:tc>
          <w:tcPr>
            <w:tcW w:w="700" w:type="dxa"/>
            <w:vAlign w:val="bottom"/>
            <w:tcBorders>
              <w:top w:val="single" w:sz="8" w:color="435F86"/>
            </w:tcBorders>
          </w:tcPr>
          <w:p>
            <w:pPr>
              <w:spacing w:after="0"/>
              <w:rPr>
                <w:sz w:val="14"/>
                <w:szCs w:val="14"/>
                <w:color w:val="auto"/>
              </w:rPr>
            </w:pPr>
          </w:p>
        </w:tc>
        <w:tc>
          <w:tcPr>
            <w:tcW w:w="320" w:type="dxa"/>
            <w:vAlign w:val="bottom"/>
            <w:tcBorders>
              <w:top w:val="single" w:sz="8" w:color="435F86"/>
            </w:tcBorders>
          </w:tcPr>
          <w:p>
            <w:pPr>
              <w:spacing w:after="0"/>
              <w:rPr>
                <w:sz w:val="14"/>
                <w:szCs w:val="14"/>
                <w:color w:val="auto"/>
              </w:rPr>
            </w:pPr>
          </w:p>
        </w:tc>
        <w:tc>
          <w:tcPr>
            <w:tcW w:w="760" w:type="dxa"/>
            <w:vAlign w:val="bottom"/>
            <w:tcBorders>
              <w:top w:val="single" w:sz="8" w:color="435F86"/>
            </w:tcBorders>
          </w:tcPr>
          <w:p>
            <w:pPr>
              <w:spacing w:after="0"/>
              <w:rPr>
                <w:sz w:val="14"/>
                <w:szCs w:val="14"/>
                <w:color w:val="auto"/>
              </w:rPr>
            </w:pPr>
          </w:p>
        </w:tc>
        <w:tc>
          <w:tcPr>
            <w:tcW w:w="80" w:type="dxa"/>
            <w:vAlign w:val="bottom"/>
            <w:tcBorders>
              <w:top w:val="single" w:sz="8" w:color="435F86"/>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40" w:type="dxa"/>
            <w:vAlign w:val="bottom"/>
          </w:tcPr>
          <w:p>
            <w:pPr>
              <w:ind w:left="40"/>
              <w:spacing w:after="0"/>
              <w:rPr>
                <w:sz w:val="20"/>
                <w:szCs w:val="20"/>
                <w:color w:val="auto"/>
              </w:rPr>
            </w:pPr>
            <w:r>
              <w:rPr>
                <w:rFonts w:ascii="Arial" w:cs="Arial" w:eastAsia="Arial" w:hAnsi="Arial"/>
                <w:sz w:val="14"/>
                <w:szCs w:val="14"/>
                <w:b w:val="1"/>
                <w:bCs w:val="1"/>
                <w:color w:val="435F86"/>
              </w:rPr>
              <w:t>​​</w:t>
            </w:r>
          </w:p>
        </w:tc>
        <w:tc>
          <w:tcPr>
            <w:tcW w:w="280" w:type="dxa"/>
            <w:vAlign w:val="bottom"/>
          </w:tcPr>
          <w:p>
            <w:pPr>
              <w:ind w:left="100"/>
              <w:spacing w:after="0"/>
              <w:rPr>
                <w:sz w:val="20"/>
                <w:szCs w:val="20"/>
                <w:color w:val="auto"/>
              </w:rPr>
            </w:pPr>
            <w:r>
              <w:rPr>
                <w:rFonts w:ascii="Arial" w:cs="Arial" w:eastAsia="Arial" w:hAnsi="Arial"/>
                <w:sz w:val="14"/>
                <w:szCs w:val="14"/>
                <w:b w:val="1"/>
                <w:bCs w:val="1"/>
                <w:color w:val="435F86"/>
              </w:rPr>
              <w:t>​ ​​</w:t>
            </w:r>
          </w:p>
        </w:tc>
        <w:tc>
          <w:tcPr>
            <w:tcW w:w="900" w:type="dxa"/>
            <w:vAlign w:val="bottom"/>
          </w:tcPr>
          <w:p>
            <w:pPr>
              <w:ind w:left="20"/>
              <w:spacing w:after="0"/>
              <w:rPr>
                <w:sz w:val="20"/>
                <w:szCs w:val="20"/>
                <w:color w:val="auto"/>
              </w:rPr>
            </w:pPr>
            <w:r>
              <w:rPr>
                <w:rFonts w:ascii="Arial" w:cs="Arial" w:eastAsia="Arial" w:hAnsi="Arial"/>
                <w:sz w:val="14"/>
                <w:szCs w:val="14"/>
                <w:b w:val="1"/>
                <w:bCs w:val="1"/>
                <w:color w:val="435F86"/>
              </w:rPr>
              <w:t>​</w:t>
            </w:r>
          </w:p>
        </w:tc>
        <w:tc>
          <w:tcPr>
            <w:tcW w:w="240" w:type="dxa"/>
            <w:vAlign w:val="bottom"/>
          </w:tcPr>
          <w:p>
            <w:pPr>
              <w:spacing w:after="0"/>
              <w:rPr>
                <w:sz w:val="20"/>
                <w:szCs w:val="20"/>
                <w:color w:val="auto"/>
              </w:rPr>
            </w:pPr>
            <w:r>
              <w:rPr>
                <w:rFonts w:ascii="Arial" w:cs="Arial" w:eastAsia="Arial" w:hAnsi="Arial"/>
                <w:sz w:val="14"/>
                <w:szCs w:val="14"/>
                <w:b w:val="1"/>
                <w:bCs w:val="1"/>
                <w:color w:val="435F86"/>
              </w:rPr>
              <w:t>​​ ​​</w:t>
            </w:r>
          </w:p>
        </w:tc>
        <w:tc>
          <w:tcPr>
            <w:tcW w:w="880" w:type="dxa"/>
            <w:vAlign w:val="bottom"/>
          </w:tcPr>
          <w:p>
            <w:pPr>
              <w:spacing w:after="0"/>
              <w:rPr>
                <w:sz w:val="20"/>
                <w:szCs w:val="20"/>
                <w:color w:val="auto"/>
              </w:rPr>
            </w:pPr>
            <w:r>
              <w:rPr>
                <w:rFonts w:ascii="Arial" w:cs="Arial" w:eastAsia="Arial" w:hAnsi="Arial"/>
                <w:sz w:val="14"/>
                <w:szCs w:val="14"/>
                <w:b w:val="1"/>
                <w:bCs w:val="1"/>
                <w:color w:val="435F86"/>
              </w:rPr>
              <w:t>​</w:t>
            </w:r>
          </w:p>
        </w:tc>
        <w:tc>
          <w:tcPr>
            <w:tcW w:w="260" w:type="dxa"/>
            <w:vAlign w:val="bottom"/>
          </w:tcPr>
          <w:p>
            <w:pPr>
              <w:spacing w:after="0"/>
              <w:rPr>
                <w:sz w:val="20"/>
                <w:szCs w:val="20"/>
                <w:color w:val="auto"/>
              </w:rPr>
            </w:pPr>
            <w:r>
              <w:rPr>
                <w:rFonts w:ascii="Arial" w:cs="Arial" w:eastAsia="Arial" w:hAnsi="Arial"/>
                <w:sz w:val="14"/>
                <w:szCs w:val="14"/>
                <w:b w:val="1"/>
                <w:bCs w:val="1"/>
                <w:color w:val="435F86"/>
              </w:rPr>
              <w:t>​​ ​​</w:t>
            </w:r>
          </w:p>
        </w:tc>
        <w:tc>
          <w:tcPr>
            <w:tcW w:w="860" w:type="dxa"/>
            <w:vAlign w:val="bottom"/>
          </w:tcPr>
          <w:p>
            <w:pPr>
              <w:spacing w:after="0"/>
              <w:rPr>
                <w:sz w:val="20"/>
                <w:szCs w:val="20"/>
                <w:color w:val="auto"/>
              </w:rPr>
            </w:pPr>
            <w:r>
              <w:rPr>
                <w:rFonts w:ascii="Arial" w:cs="Arial" w:eastAsia="Arial" w:hAnsi="Arial"/>
                <w:sz w:val="14"/>
                <w:szCs w:val="14"/>
                <w:b w:val="1"/>
                <w:bCs w:val="1"/>
                <w:color w:val="435F86"/>
              </w:rPr>
              <w:t>​</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435F86"/>
              </w:rPr>
              <w:t>​​ ​​ ​</w:t>
            </w:r>
          </w:p>
        </w:tc>
        <w:tc>
          <w:tcPr>
            <w:tcW w:w="8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435F86"/>
              </w:rPr>
              <w:t>​​ ​</w:t>
            </w:r>
          </w:p>
        </w:tc>
        <w:tc>
          <w:tcPr>
            <w:tcW w:w="1760" w:type="dxa"/>
            <w:vAlign w:val="bottom"/>
            <w:gridSpan w:val="6"/>
          </w:tcPr>
          <w:p>
            <w:pPr>
              <w:jc w:val="center"/>
              <w:spacing w:after="0"/>
              <w:rPr>
                <w:sz w:val="20"/>
                <w:szCs w:val="20"/>
                <w:color w:val="auto"/>
              </w:rPr>
            </w:pPr>
            <w:r>
              <w:rPr>
                <w:rFonts w:ascii="Arial" w:cs="Arial" w:eastAsia="Arial" w:hAnsi="Arial"/>
                <w:sz w:val="14"/>
                <w:szCs w:val="14"/>
                <w:b w:val="1"/>
                <w:bCs w:val="1"/>
                <w:color w:val="435F86"/>
                <w:w w:val="94"/>
              </w:rPr>
              <w:t>$100 investment based on:</w:t>
            </w:r>
          </w:p>
        </w:tc>
        <w:tc>
          <w:tcPr>
            <w:tcW w:w="320" w:type="dxa"/>
            <w:vAlign w:val="bottom"/>
            <w:gridSpan w:val="2"/>
          </w:tcPr>
          <w:p>
            <w:pPr>
              <w:ind w:left="80"/>
              <w:spacing w:after="0"/>
              <w:rPr>
                <w:sz w:val="20"/>
                <w:szCs w:val="20"/>
                <w:color w:val="auto"/>
              </w:rPr>
            </w:pPr>
            <w:r>
              <w:rPr>
                <w:rFonts w:ascii="Arial" w:cs="Arial" w:eastAsia="Arial" w:hAnsi="Arial"/>
                <w:sz w:val="14"/>
                <w:szCs w:val="14"/>
                <w:b w:val="1"/>
                <w:bCs w:val="1"/>
                <w:color w:val="435F86"/>
              </w:rPr>
              <w:t>​</w:t>
            </w:r>
          </w:p>
        </w:tc>
        <w:tc>
          <w:tcPr>
            <w:tcW w:w="60" w:type="dxa"/>
            <w:vAlign w:val="bottom"/>
          </w:tcPr>
          <w:p>
            <w:pPr>
              <w:spacing w:after="0"/>
              <w:rPr>
                <w:sz w:val="18"/>
                <w:szCs w:val="18"/>
                <w:color w:val="auto"/>
              </w:rPr>
            </w:pPr>
          </w:p>
        </w:tc>
        <w:tc>
          <w:tcPr>
            <w:tcW w:w="700" w:type="dxa"/>
            <w:vAlign w:val="bottom"/>
          </w:tcPr>
          <w:p>
            <w:pPr>
              <w:jc w:val="center"/>
              <w:ind w:right="46"/>
              <w:spacing w:after="0"/>
              <w:rPr>
                <w:sz w:val="20"/>
                <w:szCs w:val="20"/>
                <w:color w:val="auto"/>
              </w:rPr>
            </w:pPr>
            <w:r>
              <w:rPr>
                <w:rFonts w:ascii="Arial" w:cs="Arial" w:eastAsia="Arial" w:hAnsi="Arial"/>
                <w:sz w:val="14"/>
                <w:szCs w:val="14"/>
                <w:b w:val="1"/>
                <w:bCs w:val="1"/>
                <w:color w:val="435F86"/>
              </w:rPr>
              <w:t>​</w:t>
            </w:r>
          </w:p>
        </w:tc>
        <w:tc>
          <w:tcPr>
            <w:tcW w:w="320" w:type="dxa"/>
            <w:vAlign w:val="bottom"/>
          </w:tcPr>
          <w:p>
            <w:pPr>
              <w:spacing w:after="0"/>
              <w:rPr>
                <w:sz w:val="18"/>
                <w:szCs w:val="18"/>
                <w:color w:val="auto"/>
              </w:rPr>
            </w:pPr>
          </w:p>
        </w:tc>
        <w:tc>
          <w:tcPr>
            <w:tcW w:w="760" w:type="dxa"/>
            <w:vAlign w:val="bottom"/>
          </w:tcPr>
          <w:p>
            <w:pPr>
              <w:jc w:val="center"/>
              <w:ind w:right="5"/>
              <w:spacing w:after="0"/>
              <w:rPr>
                <w:sz w:val="20"/>
                <w:szCs w:val="20"/>
                <w:color w:val="auto"/>
              </w:rPr>
            </w:pPr>
            <w:r>
              <w:rPr>
                <w:rFonts w:ascii="Arial" w:cs="Arial" w:eastAsia="Arial" w:hAnsi="Arial"/>
                <w:sz w:val="14"/>
                <w:szCs w:val="14"/>
                <w:b w:val="1"/>
                <w:bCs w:val="1"/>
                <w:color w:val="435F86"/>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66"/>
              <w:spacing w:after="0"/>
              <w:rPr>
                <w:sz w:val="20"/>
                <w:szCs w:val="20"/>
                <w:color w:val="auto"/>
              </w:rPr>
            </w:pPr>
            <w:r>
              <w:rPr>
                <w:rFonts w:ascii="Arial" w:cs="Arial" w:eastAsia="Arial" w:hAnsi="Arial"/>
                <w:sz w:val="14"/>
                <w:szCs w:val="14"/>
                <w:b w:val="1"/>
                <w:bCs w:val="1"/>
                <w:color w:val="435F86"/>
                <w:w w:val="94"/>
              </w:rPr>
              <w:t>Average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435F86"/>
            </w:tcBorders>
          </w:tcPr>
          <w:p>
            <w:pPr>
              <w:spacing w:after="0"/>
              <w:rPr>
                <w:sz w:val="14"/>
                <w:szCs w:val="14"/>
                <w:color w:val="auto"/>
              </w:rPr>
            </w:pPr>
          </w:p>
        </w:tc>
        <w:tc>
          <w:tcPr>
            <w:tcW w:w="180" w:type="dxa"/>
            <w:vAlign w:val="bottom"/>
            <w:tcBorders>
              <w:top w:val="single" w:sz="8" w:color="435F86"/>
            </w:tcBorders>
          </w:tcPr>
          <w:p>
            <w:pPr>
              <w:spacing w:after="0"/>
              <w:rPr>
                <w:sz w:val="14"/>
                <w:szCs w:val="14"/>
                <w:color w:val="auto"/>
              </w:rPr>
            </w:pPr>
          </w:p>
        </w:tc>
        <w:tc>
          <w:tcPr>
            <w:tcW w:w="160" w:type="dxa"/>
            <w:vAlign w:val="bottom"/>
            <w:tcBorders>
              <w:top w:val="single" w:sz="8" w:color="435F86"/>
            </w:tcBorders>
          </w:tcPr>
          <w:p>
            <w:pPr>
              <w:spacing w:after="0"/>
              <w:rPr>
                <w:sz w:val="14"/>
                <w:szCs w:val="14"/>
                <w:color w:val="auto"/>
              </w:rPr>
            </w:pPr>
          </w:p>
        </w:tc>
        <w:tc>
          <w:tcPr>
            <w:tcW w:w="400" w:type="dxa"/>
            <w:vAlign w:val="bottom"/>
            <w:tcBorders>
              <w:top w:val="single" w:sz="8" w:color="435F86"/>
            </w:tcBorders>
          </w:tcPr>
          <w:p>
            <w:pPr>
              <w:spacing w:after="0"/>
              <w:rPr>
                <w:sz w:val="14"/>
                <w:szCs w:val="14"/>
                <w:color w:val="auto"/>
              </w:rPr>
            </w:pPr>
          </w:p>
        </w:tc>
        <w:tc>
          <w:tcPr>
            <w:tcW w:w="240" w:type="dxa"/>
            <w:vAlign w:val="bottom"/>
            <w:tcBorders>
              <w:top w:val="single" w:sz="8" w:color="435F86"/>
            </w:tcBorders>
          </w:tcPr>
          <w:p>
            <w:pPr>
              <w:spacing w:after="0"/>
              <w:rPr>
                <w:sz w:val="14"/>
                <w:szCs w:val="14"/>
                <w:color w:val="auto"/>
              </w:rPr>
            </w:pPr>
          </w:p>
        </w:tc>
        <w:tc>
          <w:tcPr>
            <w:tcW w:w="220" w:type="dxa"/>
            <w:vAlign w:val="bottom"/>
            <w:tcBorders>
              <w:top w:val="single" w:sz="8" w:color="435F86"/>
            </w:tcBorders>
          </w:tcPr>
          <w:p>
            <w:pPr>
              <w:spacing w:after="0"/>
              <w:rPr>
                <w:sz w:val="14"/>
                <w:szCs w:val="14"/>
                <w:color w:val="auto"/>
              </w:rPr>
            </w:pPr>
          </w:p>
        </w:tc>
        <w:tc>
          <w:tcPr>
            <w:tcW w:w="560" w:type="dxa"/>
            <w:vAlign w:val="bottom"/>
            <w:tcBorders>
              <w:top w:val="single" w:sz="8" w:color="435F86"/>
            </w:tcBorders>
          </w:tcPr>
          <w:p>
            <w:pPr>
              <w:spacing w:after="0"/>
              <w:rPr>
                <w:sz w:val="14"/>
                <w:szCs w:val="14"/>
                <w:color w:val="auto"/>
              </w:rPr>
            </w:pPr>
          </w:p>
        </w:tc>
        <w:tc>
          <w:tcPr>
            <w:tcW w:w="100" w:type="dxa"/>
            <w:vAlign w:val="bottom"/>
            <w:tcBorders>
              <w:top w:val="single" w:sz="8" w:color="435F86"/>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center"/>
              <w:ind w:right="66"/>
              <w:spacing w:after="0" w:line="143" w:lineRule="exact"/>
              <w:rPr>
                <w:sz w:val="20"/>
                <w:szCs w:val="20"/>
                <w:color w:val="auto"/>
              </w:rPr>
            </w:pPr>
            <w:r>
              <w:rPr>
                <w:rFonts w:ascii="Arial" w:cs="Arial" w:eastAsia="Arial" w:hAnsi="Arial"/>
                <w:sz w:val="14"/>
                <w:szCs w:val="14"/>
                <w:b w:val="1"/>
                <w:bCs w:val="1"/>
                <w:color w:val="435F86"/>
                <w:w w:val="93"/>
              </w:rPr>
              <w:t>Summary</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center"/>
              <w:ind w:right="45"/>
              <w:spacing w:after="0" w:line="156" w:lineRule="exact"/>
              <w:rPr>
                <w:sz w:val="20"/>
                <w:szCs w:val="20"/>
                <w:color w:val="auto"/>
              </w:rPr>
            </w:pPr>
            <w:r>
              <w:rPr>
                <w:rFonts w:ascii="Arial" w:cs="Arial" w:eastAsia="Arial" w:hAnsi="Arial"/>
                <w:sz w:val="14"/>
                <w:szCs w:val="14"/>
                <w:b w:val="1"/>
                <w:bCs w:val="1"/>
                <w:color w:val="435F86"/>
                <w:w w:val="97"/>
              </w:rPr>
              <w:t>Summary</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2"/>
          </w:tcPr>
          <w:p>
            <w:pPr>
              <w:jc w:val="center"/>
              <w:ind w:left="54"/>
              <w:spacing w:after="0" w:line="156" w:lineRule="exact"/>
              <w:rPr>
                <w:sz w:val="20"/>
                <w:szCs w:val="20"/>
                <w:color w:val="auto"/>
              </w:rPr>
            </w:pPr>
            <w:r>
              <w:rPr>
                <w:rFonts w:ascii="Arial" w:cs="Arial" w:eastAsia="Arial" w:hAnsi="Arial"/>
                <w:sz w:val="14"/>
                <w:szCs w:val="14"/>
                <w:b w:val="1"/>
                <w:bCs w:val="1"/>
                <w:color w:val="435F86"/>
                <w:w w:val="94"/>
              </w:rPr>
              <w:t>Compensation</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7"/>
              <w:spacing w:after="0" w:line="156" w:lineRule="exact"/>
              <w:rPr>
                <w:sz w:val="20"/>
                <w:szCs w:val="20"/>
                <w:color w:val="auto"/>
              </w:rPr>
            </w:pPr>
            <w:r>
              <w:rPr>
                <w:rFonts w:ascii="Arial" w:cs="Arial" w:eastAsia="Arial" w:hAnsi="Arial"/>
                <w:sz w:val="14"/>
                <w:szCs w:val="14"/>
                <w:b w:val="1"/>
                <w:bCs w:val="1"/>
                <w:color w:val="435F86"/>
                <w:w w:val="94"/>
              </w:rPr>
              <w:t>Average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tcPr>
          <w:p>
            <w:pPr>
              <w:jc w:val="center"/>
              <w:spacing w:after="0" w:line="156" w:lineRule="exact"/>
              <w:rPr>
                <w:sz w:val="20"/>
                <w:szCs w:val="20"/>
                <w:color w:val="auto"/>
              </w:rPr>
            </w:pPr>
            <w:r>
              <w:rPr>
                <w:rFonts w:ascii="Arial" w:cs="Arial" w:eastAsia="Arial" w:hAnsi="Arial"/>
                <w:sz w:val="14"/>
                <w:szCs w:val="14"/>
                <w:b w:val="1"/>
                <w:bCs w:val="1"/>
                <w:color w:val="435F86"/>
                <w:w w:val="97"/>
              </w:rPr>
              <w:t>Company</w:t>
            </w:r>
          </w:p>
        </w:tc>
        <w:tc>
          <w:tcPr>
            <w:tcW w:w="240" w:type="dxa"/>
            <w:vAlign w:val="bottom"/>
          </w:tcPr>
          <w:p>
            <w:pPr>
              <w:spacing w:after="0"/>
              <w:rPr>
                <w:sz w:val="13"/>
                <w:szCs w:val="13"/>
                <w:color w:val="auto"/>
              </w:rPr>
            </w:pPr>
          </w:p>
        </w:tc>
        <w:tc>
          <w:tcPr>
            <w:tcW w:w="7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6"/>
              </w:rPr>
              <w:t>Peer Group</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126"/>
              <w:spacing w:after="0" w:line="156" w:lineRule="exact"/>
              <w:rPr>
                <w:sz w:val="20"/>
                <w:szCs w:val="20"/>
                <w:color w:val="auto"/>
              </w:rPr>
            </w:pPr>
            <w:r>
              <w:rPr>
                <w:rFonts w:ascii="Arial" w:cs="Arial" w:eastAsia="Arial" w:hAnsi="Arial"/>
                <w:sz w:val="14"/>
                <w:szCs w:val="14"/>
                <w:b w:val="1"/>
                <w:bCs w:val="1"/>
                <w:color w:val="435F86"/>
                <w:w w:val="97"/>
              </w:rPr>
              <w:t>Net</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1180" w:type="dxa"/>
            <w:vAlign w:val="bottom"/>
            <w:gridSpan w:val="2"/>
          </w:tcPr>
          <w:p>
            <w:pPr>
              <w:jc w:val="center"/>
              <w:ind w:left="85"/>
              <w:spacing w:after="0" w:line="156" w:lineRule="exact"/>
              <w:rPr>
                <w:sz w:val="20"/>
                <w:szCs w:val="20"/>
                <w:color w:val="auto"/>
              </w:rPr>
            </w:pPr>
            <w:r>
              <w:rPr>
                <w:rFonts w:ascii="Arial" w:cs="Arial" w:eastAsia="Arial" w:hAnsi="Arial"/>
                <w:sz w:val="14"/>
                <w:szCs w:val="14"/>
                <w:b w:val="1"/>
                <w:bCs w:val="1"/>
                <w:color w:val="435F86"/>
                <w:w w:val="96"/>
              </w:rPr>
              <w:t>Compensation</w:t>
            </w:r>
          </w:p>
        </w:tc>
        <w:tc>
          <w:tcPr>
            <w:tcW w:w="1120" w:type="dxa"/>
            <w:vAlign w:val="bottom"/>
            <w:gridSpan w:val="2"/>
          </w:tcPr>
          <w:p>
            <w:pPr>
              <w:jc w:val="center"/>
              <w:ind w:left="6"/>
              <w:spacing w:after="0" w:line="156" w:lineRule="exact"/>
              <w:rPr>
                <w:sz w:val="20"/>
                <w:szCs w:val="20"/>
                <w:color w:val="auto"/>
              </w:rPr>
            </w:pPr>
            <w:r>
              <w:rPr>
                <w:rFonts w:ascii="Arial" w:cs="Arial" w:eastAsia="Arial" w:hAnsi="Arial"/>
                <w:sz w:val="14"/>
                <w:szCs w:val="14"/>
                <w:b w:val="1"/>
                <w:bCs w:val="1"/>
                <w:color w:val="435F86"/>
                <w:w w:val="94"/>
              </w:rPr>
              <w:t>Compensation</w:t>
            </w:r>
          </w:p>
        </w:tc>
        <w:tc>
          <w:tcPr>
            <w:tcW w:w="1120" w:type="dxa"/>
            <w:vAlign w:val="bottom"/>
            <w:gridSpan w:val="2"/>
          </w:tcPr>
          <w:p>
            <w:pPr>
              <w:jc w:val="center"/>
              <w:ind w:left="54"/>
              <w:spacing w:after="0" w:line="156" w:lineRule="exact"/>
              <w:rPr>
                <w:sz w:val="20"/>
                <w:szCs w:val="20"/>
                <w:color w:val="auto"/>
              </w:rPr>
            </w:pPr>
            <w:r>
              <w:rPr>
                <w:rFonts w:ascii="Arial" w:cs="Arial" w:eastAsia="Arial" w:hAnsi="Arial"/>
                <w:sz w:val="14"/>
                <w:szCs w:val="14"/>
                <w:b w:val="1"/>
                <w:bCs w:val="1"/>
                <w:color w:val="435F86"/>
                <w:w w:val="91"/>
              </w:rPr>
              <w:t>Table Total for</w:t>
            </w:r>
          </w:p>
        </w:tc>
        <w:tc>
          <w:tcPr>
            <w:tcW w:w="1180" w:type="dxa"/>
            <w:vAlign w:val="bottom"/>
            <w:gridSpan w:val="3"/>
          </w:tcPr>
          <w:p>
            <w:pPr>
              <w:jc w:val="center"/>
              <w:ind w:left="66"/>
              <w:spacing w:after="0" w:line="156" w:lineRule="exact"/>
              <w:rPr>
                <w:sz w:val="20"/>
                <w:szCs w:val="20"/>
                <w:color w:val="auto"/>
              </w:rPr>
            </w:pPr>
            <w:r>
              <w:rPr>
                <w:rFonts w:ascii="Arial" w:cs="Arial" w:eastAsia="Arial" w:hAnsi="Arial"/>
                <w:sz w:val="14"/>
                <w:szCs w:val="14"/>
                <w:b w:val="1"/>
                <w:bCs w:val="1"/>
                <w:color w:val="435F86"/>
                <w:w w:val="94"/>
              </w:rPr>
              <w:t>Compensation</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center"/>
              <w:ind w:right="153"/>
              <w:spacing w:after="0" w:line="156" w:lineRule="exact"/>
              <w:rPr>
                <w:sz w:val="20"/>
                <w:szCs w:val="20"/>
                <w:color w:val="auto"/>
              </w:rPr>
            </w:pPr>
            <w:r>
              <w:rPr>
                <w:rFonts w:ascii="Arial" w:cs="Arial" w:eastAsia="Arial" w:hAnsi="Arial"/>
                <w:sz w:val="14"/>
                <w:szCs w:val="14"/>
                <w:b w:val="1"/>
                <w:bCs w:val="1"/>
                <w:color w:val="435F86"/>
                <w:w w:val="95"/>
              </w:rPr>
              <w:t>Total</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center"/>
              <w:ind w:right="144"/>
              <w:spacing w:after="0" w:line="156" w:lineRule="exact"/>
              <w:rPr>
                <w:sz w:val="20"/>
                <w:szCs w:val="20"/>
                <w:color w:val="auto"/>
              </w:rPr>
            </w:pPr>
            <w:r>
              <w:rPr>
                <w:rFonts w:ascii="Arial" w:cs="Arial" w:eastAsia="Arial" w:hAnsi="Arial"/>
                <w:sz w:val="14"/>
                <w:szCs w:val="14"/>
                <w:b w:val="1"/>
                <w:bCs w:val="1"/>
                <w:color w:val="435F86"/>
                <w:w w:val="89"/>
              </w:rPr>
              <w:t>Total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126"/>
              <w:spacing w:after="0" w:line="156" w:lineRule="exact"/>
              <w:rPr>
                <w:sz w:val="20"/>
                <w:szCs w:val="20"/>
                <w:color w:val="auto"/>
              </w:rPr>
            </w:pPr>
            <w:r>
              <w:rPr>
                <w:rFonts w:ascii="Arial" w:cs="Arial" w:eastAsia="Arial" w:hAnsi="Arial"/>
                <w:sz w:val="14"/>
                <w:szCs w:val="14"/>
                <w:b w:val="1"/>
                <w:bCs w:val="1"/>
                <w:color w:val="435F86"/>
                <w:w w:val="93"/>
              </w:rPr>
              <w:t>Income</w:t>
            </w:r>
          </w:p>
        </w:tc>
        <w:tc>
          <w:tcPr>
            <w:tcW w:w="320" w:type="dxa"/>
            <w:vAlign w:val="bottom"/>
          </w:tcPr>
          <w:p>
            <w:pPr>
              <w:spacing w:after="0"/>
              <w:rPr>
                <w:sz w:val="13"/>
                <w:szCs w:val="13"/>
                <w:color w:val="auto"/>
              </w:rPr>
            </w:pPr>
          </w:p>
        </w:tc>
        <w:tc>
          <w:tcPr>
            <w:tcW w:w="760" w:type="dxa"/>
            <w:vAlign w:val="bottom"/>
          </w:tcPr>
          <w:p>
            <w:pPr>
              <w:jc w:val="center"/>
              <w:ind w:right="65"/>
              <w:spacing w:after="0" w:line="156" w:lineRule="exact"/>
              <w:rPr>
                <w:sz w:val="20"/>
                <w:szCs w:val="20"/>
                <w:color w:val="auto"/>
              </w:rPr>
            </w:pPr>
            <w:r>
              <w:rPr>
                <w:rFonts w:ascii="Arial" w:cs="Arial" w:eastAsia="Arial" w:hAnsi="Arial"/>
                <w:sz w:val="14"/>
                <w:szCs w:val="14"/>
                <w:b w:val="1"/>
                <w:bCs w:val="1"/>
                <w:color w:val="435F86"/>
                <w:w w:val="96"/>
              </w:rPr>
              <w:t>Adjusted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 w:type="dxa"/>
            <w:vAlign w:val="bottom"/>
            <w:vMerge w:val="restart"/>
          </w:tcPr>
          <w:p>
            <w:pPr>
              <w:ind w:left="40"/>
              <w:spacing w:after="0"/>
              <w:rPr>
                <w:sz w:val="20"/>
                <w:szCs w:val="20"/>
                <w:color w:val="auto"/>
              </w:rPr>
            </w:pPr>
            <w:r>
              <w:rPr>
                <w:rFonts w:ascii="Arial" w:cs="Arial" w:eastAsia="Arial" w:hAnsi="Arial"/>
                <w:sz w:val="27"/>
                <w:szCs w:val="27"/>
                <w:b w:val="1"/>
                <w:bCs w:val="1"/>
                <w:color w:val="435F86"/>
                <w:vertAlign w:val="subscript"/>
              </w:rPr>
              <w:t>​</w:t>
            </w:r>
            <w:r>
              <w:rPr>
                <w:rFonts w:ascii="Arial" w:cs="Arial" w:eastAsia="Arial" w:hAnsi="Arial"/>
                <w:sz w:val="14"/>
                <w:szCs w:val="14"/>
                <w:b w:val="1"/>
                <w:bCs w:val="1"/>
                <w:color w:val="435F86"/>
              </w:rPr>
              <w:t>Year</w:t>
            </w:r>
          </w:p>
        </w:tc>
        <w:tc>
          <w:tcPr>
            <w:tcW w:w="1180" w:type="dxa"/>
            <w:vAlign w:val="bottom"/>
            <w:gridSpan w:val="2"/>
          </w:tcPr>
          <w:p>
            <w:pPr>
              <w:jc w:val="center"/>
              <w:ind w:left="85"/>
              <w:spacing w:after="0" w:line="156" w:lineRule="exact"/>
              <w:rPr>
                <w:sz w:val="20"/>
                <w:szCs w:val="20"/>
                <w:color w:val="auto"/>
              </w:rPr>
            </w:pPr>
            <w:r>
              <w:rPr>
                <w:rFonts w:ascii="Arial" w:cs="Arial" w:eastAsia="Arial" w:hAnsi="Arial"/>
                <w:sz w:val="14"/>
                <w:szCs w:val="14"/>
                <w:b w:val="1"/>
                <w:bCs w:val="1"/>
                <w:color w:val="435F86"/>
                <w:w w:val="93"/>
              </w:rPr>
              <w:t>Table Total for</w:t>
            </w:r>
          </w:p>
        </w:tc>
        <w:tc>
          <w:tcPr>
            <w:tcW w:w="1120" w:type="dxa"/>
            <w:vAlign w:val="bottom"/>
            <w:gridSpan w:val="2"/>
          </w:tcPr>
          <w:p>
            <w:pPr>
              <w:jc w:val="center"/>
              <w:ind w:left="6"/>
              <w:spacing w:after="0" w:line="156" w:lineRule="exact"/>
              <w:rPr>
                <w:sz w:val="20"/>
                <w:szCs w:val="20"/>
                <w:color w:val="auto"/>
              </w:rPr>
            </w:pPr>
            <w:r>
              <w:rPr>
                <w:rFonts w:ascii="Arial" w:cs="Arial" w:eastAsia="Arial" w:hAnsi="Arial"/>
                <w:sz w:val="14"/>
                <w:szCs w:val="14"/>
                <w:b w:val="1"/>
                <w:bCs w:val="1"/>
                <w:color w:val="435F86"/>
                <w:w w:val="95"/>
              </w:rPr>
              <w:t>Actually Paid</w:t>
            </w:r>
          </w:p>
        </w:tc>
        <w:tc>
          <w:tcPr>
            <w:tcW w:w="260" w:type="dxa"/>
            <w:vAlign w:val="bottom"/>
          </w:tcPr>
          <w:p>
            <w:pPr>
              <w:spacing w:after="0"/>
              <w:rPr>
                <w:sz w:val="13"/>
                <w:szCs w:val="13"/>
                <w:color w:val="auto"/>
              </w:rPr>
            </w:pPr>
          </w:p>
        </w:tc>
        <w:tc>
          <w:tcPr>
            <w:tcW w:w="860" w:type="dxa"/>
            <w:vAlign w:val="bottom"/>
          </w:tcPr>
          <w:p>
            <w:pPr>
              <w:jc w:val="center"/>
              <w:ind w:right="66"/>
              <w:spacing w:after="0" w:line="156" w:lineRule="exact"/>
              <w:rPr>
                <w:sz w:val="20"/>
                <w:szCs w:val="20"/>
                <w:color w:val="auto"/>
              </w:rPr>
            </w:pPr>
            <w:r>
              <w:rPr>
                <w:rFonts w:ascii="Arial" w:cs="Arial" w:eastAsia="Arial" w:hAnsi="Arial"/>
                <w:sz w:val="14"/>
                <w:szCs w:val="14"/>
                <w:b w:val="1"/>
                <w:bCs w:val="1"/>
                <w:color w:val="435F86"/>
              </w:rPr>
              <w:t>Non-</w:t>
            </w:r>
          </w:p>
        </w:tc>
        <w:tc>
          <w:tcPr>
            <w:tcW w:w="1180" w:type="dxa"/>
            <w:vAlign w:val="bottom"/>
            <w:gridSpan w:val="3"/>
          </w:tcPr>
          <w:p>
            <w:pPr>
              <w:jc w:val="center"/>
              <w:ind w:left="66"/>
              <w:spacing w:after="0" w:line="156" w:lineRule="exact"/>
              <w:rPr>
                <w:sz w:val="20"/>
                <w:szCs w:val="20"/>
                <w:color w:val="auto"/>
              </w:rPr>
            </w:pPr>
            <w:r>
              <w:rPr>
                <w:rFonts w:ascii="Arial" w:cs="Arial" w:eastAsia="Arial" w:hAnsi="Arial"/>
                <w:sz w:val="14"/>
                <w:szCs w:val="14"/>
                <w:b w:val="1"/>
                <w:bCs w:val="1"/>
                <w:color w:val="435F86"/>
                <w:w w:val="95"/>
              </w:rPr>
              <w:t>Actually Paid to</w:t>
            </w:r>
          </w:p>
        </w:tc>
        <w:tc>
          <w:tcPr>
            <w:tcW w:w="80" w:type="dxa"/>
            <w:vAlign w:val="bottom"/>
          </w:tcPr>
          <w:p>
            <w:pPr>
              <w:spacing w:after="0"/>
              <w:rPr>
                <w:sz w:val="13"/>
                <w:szCs w:val="13"/>
                <w:color w:val="auto"/>
              </w:rPr>
            </w:pPr>
          </w:p>
        </w:tc>
        <w:tc>
          <w:tcPr>
            <w:tcW w:w="880" w:type="dxa"/>
            <w:vAlign w:val="bottom"/>
            <w:gridSpan w:val="4"/>
          </w:tcPr>
          <w:p>
            <w:pPr>
              <w:jc w:val="center"/>
              <w:ind w:left="31"/>
              <w:spacing w:after="0" w:line="156" w:lineRule="exact"/>
              <w:rPr>
                <w:sz w:val="20"/>
                <w:szCs w:val="20"/>
                <w:color w:val="auto"/>
              </w:rPr>
            </w:pPr>
            <w:r>
              <w:rPr>
                <w:rFonts w:ascii="Arial" w:cs="Arial" w:eastAsia="Arial" w:hAnsi="Arial"/>
                <w:sz w:val="14"/>
                <w:szCs w:val="14"/>
                <w:b w:val="1"/>
                <w:bCs w:val="1"/>
                <w:color w:val="435F86"/>
                <w:w w:val="95"/>
              </w:rPr>
              <w:t>Shareholder</w:t>
            </w:r>
          </w:p>
        </w:tc>
        <w:tc>
          <w:tcPr>
            <w:tcW w:w="240" w:type="dxa"/>
            <w:vAlign w:val="bottom"/>
          </w:tcPr>
          <w:p>
            <w:pPr>
              <w:spacing w:after="0"/>
              <w:rPr>
                <w:sz w:val="13"/>
                <w:szCs w:val="13"/>
                <w:color w:val="auto"/>
              </w:rPr>
            </w:pPr>
          </w:p>
        </w:tc>
        <w:tc>
          <w:tcPr>
            <w:tcW w:w="7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435F86"/>
                <w:w w:val="95"/>
              </w:rPr>
              <w:t>Shareholder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106"/>
              <w:spacing w:after="0" w:line="156" w:lineRule="exact"/>
              <w:rPr>
                <w:sz w:val="20"/>
                <w:szCs w:val="20"/>
                <w:color w:val="auto"/>
              </w:rPr>
            </w:pPr>
            <w:r>
              <w:rPr>
                <w:rFonts w:ascii="Arial" w:cs="Arial" w:eastAsia="Arial" w:hAnsi="Arial"/>
                <w:sz w:val="14"/>
                <w:szCs w:val="14"/>
                <w:b w:val="1"/>
                <w:bCs w:val="1"/>
                <w:color w:val="435F86"/>
                <w:w w:val="95"/>
              </w:rPr>
              <w:t>(Loss)</w:t>
            </w:r>
          </w:p>
        </w:tc>
        <w:tc>
          <w:tcPr>
            <w:tcW w:w="320" w:type="dxa"/>
            <w:vAlign w:val="bottom"/>
          </w:tcPr>
          <w:p>
            <w:pPr>
              <w:spacing w:after="0"/>
              <w:rPr>
                <w:sz w:val="13"/>
                <w:szCs w:val="13"/>
                <w:color w:val="auto"/>
              </w:rPr>
            </w:pPr>
          </w:p>
        </w:tc>
        <w:tc>
          <w:tcPr>
            <w:tcW w:w="760" w:type="dxa"/>
            <w:vAlign w:val="bottom"/>
          </w:tcPr>
          <w:p>
            <w:pPr>
              <w:jc w:val="center"/>
              <w:ind w:right="65"/>
              <w:spacing w:after="0" w:line="156" w:lineRule="exact"/>
              <w:rPr>
                <w:sz w:val="20"/>
                <w:szCs w:val="20"/>
                <w:color w:val="auto"/>
              </w:rPr>
            </w:pPr>
            <w:r>
              <w:rPr>
                <w:rFonts w:ascii="Arial" w:cs="Arial" w:eastAsia="Arial" w:hAnsi="Arial"/>
                <w:sz w:val="14"/>
                <w:szCs w:val="14"/>
                <w:b w:val="1"/>
                <w:bCs w:val="1"/>
                <w:color w:val="435F86"/>
                <w:w w:val="95"/>
              </w:rPr>
              <w:t>EBITDA</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40" w:type="dxa"/>
            <w:vAlign w:val="bottom"/>
            <w:vMerge w:val="continue"/>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4"/>
                <w:szCs w:val="14"/>
                <w:b w:val="1"/>
                <w:bCs w:val="1"/>
                <w:color w:val="435F86"/>
              </w:rPr>
              <w:t>​ ​</w:t>
            </w:r>
          </w:p>
        </w:tc>
        <w:tc>
          <w:tcPr>
            <w:tcW w:w="900" w:type="dxa"/>
            <w:vAlign w:val="bottom"/>
          </w:tcPr>
          <w:p>
            <w:pPr>
              <w:jc w:val="center"/>
              <w:ind w:right="5"/>
              <w:spacing w:after="0"/>
              <w:rPr>
                <w:sz w:val="20"/>
                <w:szCs w:val="20"/>
                <w:color w:val="auto"/>
              </w:rPr>
            </w:pPr>
            <w:r>
              <w:rPr>
                <w:rFonts w:ascii="Arial" w:cs="Arial" w:eastAsia="Arial" w:hAnsi="Arial"/>
                <w:sz w:val="14"/>
                <w:szCs w:val="14"/>
                <w:b w:val="1"/>
                <w:bCs w:val="1"/>
                <w:color w:val="435F86"/>
                <w:w w:val="98"/>
              </w:rPr>
              <w:t>CEO</w:t>
            </w:r>
          </w:p>
        </w:tc>
        <w:tc>
          <w:tcPr>
            <w:tcW w:w="240" w:type="dxa"/>
            <w:vAlign w:val="bottom"/>
          </w:tcPr>
          <w:p>
            <w:pPr>
              <w:ind w:left="20"/>
              <w:spacing w:after="0"/>
              <w:rPr>
                <w:sz w:val="20"/>
                <w:szCs w:val="20"/>
                <w:color w:val="auto"/>
              </w:rPr>
            </w:pPr>
            <w:r>
              <w:rPr>
                <w:rFonts w:ascii="Arial" w:cs="Arial" w:eastAsia="Arial" w:hAnsi="Arial"/>
                <w:sz w:val="14"/>
                <w:szCs w:val="14"/>
                <w:b w:val="1"/>
                <w:bCs w:val="1"/>
                <w:color w:val="435F86"/>
              </w:rPr>
              <w:t>​ ​</w:t>
            </w:r>
          </w:p>
        </w:tc>
        <w:tc>
          <w:tcPr>
            <w:tcW w:w="880" w:type="dxa"/>
            <w:vAlign w:val="bottom"/>
          </w:tcPr>
          <w:p>
            <w:pPr>
              <w:jc w:val="center"/>
              <w:ind w:right="48"/>
              <w:spacing w:after="0"/>
              <w:rPr>
                <w:sz w:val="20"/>
                <w:szCs w:val="20"/>
                <w:color w:val="auto"/>
              </w:rPr>
            </w:pPr>
            <w:r>
              <w:rPr>
                <w:rFonts w:ascii="Arial" w:cs="Arial" w:eastAsia="Arial" w:hAnsi="Arial"/>
                <w:sz w:val="14"/>
                <w:szCs w:val="14"/>
                <w:b w:val="1"/>
                <w:bCs w:val="1"/>
                <w:color w:val="435F86"/>
                <w:w w:val="92"/>
              </w:rPr>
              <w:t>to CEO</w:t>
            </w:r>
          </w:p>
        </w:tc>
        <w:tc>
          <w:tcPr>
            <w:tcW w:w="260" w:type="dxa"/>
            <w:vAlign w:val="bottom"/>
          </w:tcPr>
          <w:p>
            <w:pPr>
              <w:ind w:left="40"/>
              <w:spacing w:after="0"/>
              <w:rPr>
                <w:sz w:val="20"/>
                <w:szCs w:val="20"/>
                <w:color w:val="auto"/>
              </w:rPr>
            </w:pPr>
            <w:r>
              <w:rPr>
                <w:rFonts w:ascii="Arial" w:cs="Arial" w:eastAsia="Arial" w:hAnsi="Arial"/>
                <w:sz w:val="14"/>
                <w:szCs w:val="14"/>
                <w:b w:val="1"/>
                <w:bCs w:val="1"/>
                <w:color w:val="435F86"/>
              </w:rPr>
              <w:t>​ ​</w:t>
            </w:r>
          </w:p>
        </w:tc>
        <w:tc>
          <w:tcPr>
            <w:tcW w:w="860" w:type="dxa"/>
            <w:vAlign w:val="bottom"/>
          </w:tcPr>
          <w:p>
            <w:pPr>
              <w:jc w:val="center"/>
              <w:ind w:right="46"/>
              <w:spacing w:after="0"/>
              <w:rPr>
                <w:sz w:val="20"/>
                <w:szCs w:val="20"/>
                <w:color w:val="auto"/>
              </w:rPr>
            </w:pPr>
            <w:r>
              <w:rPr>
                <w:rFonts w:ascii="Arial" w:cs="Arial" w:eastAsia="Arial" w:hAnsi="Arial"/>
                <w:sz w:val="14"/>
                <w:szCs w:val="14"/>
                <w:b w:val="1"/>
                <w:bCs w:val="1"/>
                <w:color w:val="435F86"/>
                <w:w w:val="96"/>
              </w:rPr>
              <w:t>CEO NEOs</w:t>
            </w:r>
          </w:p>
        </w:tc>
        <w:tc>
          <w:tcPr>
            <w:tcW w:w="1400" w:type="dxa"/>
            <w:vAlign w:val="bottom"/>
            <w:gridSpan w:val="5"/>
          </w:tcPr>
          <w:p>
            <w:pPr>
              <w:ind w:left="4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Non-CEO NEOs </w:t>
            </w:r>
            <w:r>
              <w:rPr>
                <w:rFonts w:ascii="Arial" w:cs="Arial" w:eastAsia="Arial" w:hAnsi="Arial"/>
                <w:sz w:val="25"/>
                <w:szCs w:val="25"/>
                <w:b w:val="1"/>
                <w:bCs w:val="1"/>
                <w:color w:val="435F86"/>
                <w:vertAlign w:val="subscript"/>
              </w:rPr>
              <w:t>​ ​</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435F86"/>
                <w:w w:val="97"/>
              </w:rPr>
              <w:t>Return</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435F86"/>
              </w:rPr>
              <w:t>​ ​</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435F86"/>
                <w:w w:val="93"/>
              </w:rPr>
              <w:t>Return</w:t>
            </w:r>
          </w:p>
        </w:tc>
        <w:tc>
          <w:tcPr>
            <w:tcW w:w="2260" w:type="dxa"/>
            <w:vAlign w:val="bottom"/>
            <w:gridSpan w:val="8"/>
          </w:tcPr>
          <w:p>
            <w:pPr>
              <w:ind w:left="8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Thousands) </w:t>
            </w: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Thousands) </w:t>
            </w:r>
            <w:r>
              <w:rPr>
                <w:rFonts w:ascii="Arial" w:cs="Arial" w:eastAsia="Arial" w:hAnsi="Arial"/>
                <w:sz w:val="25"/>
                <w:szCs w:val="25"/>
                <w:b w:val="1"/>
                <w:bCs w:val="1"/>
                <w:color w:val="435F86"/>
                <w:vertAlign w:val="subscript"/>
              </w:rPr>
              <w:t>​</w:t>
            </w:r>
          </w:p>
        </w:tc>
        <w:tc>
          <w:tcPr>
            <w:tcW w:w="0" w:type="dxa"/>
            <w:vAlign w:val="bottom"/>
          </w:tcPr>
          <w:p>
            <w:pPr>
              <w:spacing w:after="0"/>
              <w:rPr>
                <w:sz w:val="1"/>
                <w:szCs w:val="1"/>
                <w:color w:val="auto"/>
              </w:rPr>
            </w:pPr>
          </w:p>
        </w:tc>
      </w:tr>
      <w:tr>
        <w:trPr>
          <w:trHeight w:val="20"/>
        </w:trPr>
        <w:tc>
          <w:tcPr>
            <w:tcW w:w="540" w:type="dxa"/>
            <w:vAlign w:val="bottom"/>
            <w:shd w:val="clear" w:color="auto" w:fill="435F86"/>
          </w:tcPr>
          <w:p>
            <w:pPr>
              <w:spacing w:after="0" w:line="20" w:lineRule="exact"/>
              <w:rPr>
                <w:sz w:val="1"/>
                <w:szCs w:val="1"/>
                <w:color w:val="auto"/>
              </w:rPr>
            </w:pPr>
          </w:p>
        </w:tc>
        <w:tc>
          <w:tcPr>
            <w:tcW w:w="1420" w:type="dxa"/>
            <w:vAlign w:val="bottom"/>
            <w:gridSpan w:val="3"/>
            <w:shd w:val="clear" w:color="auto" w:fill="435F86"/>
          </w:tcPr>
          <w:p>
            <w:pPr>
              <w:spacing w:after="0" w:line="20" w:lineRule="exact"/>
              <w:rPr>
                <w:sz w:val="1"/>
                <w:szCs w:val="1"/>
                <w:color w:val="auto"/>
              </w:rPr>
            </w:pPr>
          </w:p>
        </w:tc>
        <w:tc>
          <w:tcPr>
            <w:tcW w:w="1140" w:type="dxa"/>
            <w:vAlign w:val="bottom"/>
            <w:gridSpan w:val="2"/>
            <w:shd w:val="clear" w:color="auto" w:fill="435F86"/>
          </w:tcPr>
          <w:p>
            <w:pPr>
              <w:spacing w:after="0" w:line="20" w:lineRule="exact"/>
              <w:rPr>
                <w:sz w:val="1"/>
                <w:szCs w:val="1"/>
                <w:color w:val="auto"/>
              </w:rPr>
            </w:pPr>
          </w:p>
        </w:tc>
        <w:tc>
          <w:tcPr>
            <w:tcW w:w="1140" w:type="dxa"/>
            <w:vAlign w:val="bottom"/>
            <w:gridSpan w:val="2"/>
            <w:shd w:val="clear" w:color="auto" w:fill="435F86"/>
          </w:tcPr>
          <w:p>
            <w:pPr>
              <w:spacing w:after="0" w:line="20" w:lineRule="exact"/>
              <w:rPr>
                <w:sz w:val="1"/>
                <w:szCs w:val="1"/>
                <w:color w:val="auto"/>
              </w:rPr>
            </w:pPr>
          </w:p>
        </w:tc>
        <w:tc>
          <w:tcPr>
            <w:tcW w:w="80" w:type="dxa"/>
            <w:vAlign w:val="bottom"/>
            <w:shd w:val="clear" w:color="auto" w:fill="435F86"/>
          </w:tcPr>
          <w:p>
            <w:pPr>
              <w:spacing w:after="0" w:line="20" w:lineRule="exact"/>
              <w:rPr>
                <w:sz w:val="1"/>
                <w:szCs w:val="1"/>
                <w:color w:val="auto"/>
              </w:rPr>
            </w:pPr>
          </w:p>
        </w:tc>
        <w:tc>
          <w:tcPr>
            <w:tcW w:w="900" w:type="dxa"/>
            <w:vAlign w:val="bottom"/>
            <w:gridSpan w:val="2"/>
            <w:shd w:val="clear" w:color="auto" w:fill="435F86"/>
          </w:tcPr>
          <w:p>
            <w:pPr>
              <w:spacing w:after="0" w:line="20" w:lineRule="exact"/>
              <w:rPr>
                <w:sz w:val="1"/>
                <w:szCs w:val="1"/>
                <w:color w:val="auto"/>
              </w:rPr>
            </w:pPr>
          </w:p>
        </w:tc>
        <w:tc>
          <w:tcPr>
            <w:tcW w:w="140" w:type="dxa"/>
            <w:vAlign w:val="bottom"/>
            <w:shd w:val="clear" w:color="auto" w:fill="435F86"/>
          </w:tcPr>
          <w:p>
            <w:pPr>
              <w:spacing w:after="0" w:line="20" w:lineRule="exact"/>
              <w:rPr>
                <w:sz w:val="1"/>
                <w:szCs w:val="1"/>
                <w:color w:val="auto"/>
              </w:rPr>
            </w:pPr>
          </w:p>
        </w:tc>
        <w:tc>
          <w:tcPr>
            <w:tcW w:w="340" w:type="dxa"/>
            <w:vAlign w:val="bottom"/>
            <w:gridSpan w:val="2"/>
            <w:shd w:val="clear" w:color="auto" w:fill="435F86"/>
          </w:tcPr>
          <w:p>
            <w:pPr>
              <w:spacing w:after="0" w:line="20" w:lineRule="exact"/>
              <w:rPr>
                <w:sz w:val="1"/>
                <w:szCs w:val="1"/>
                <w:color w:val="auto"/>
              </w:rPr>
            </w:pPr>
          </w:p>
        </w:tc>
        <w:tc>
          <w:tcPr>
            <w:tcW w:w="400" w:type="dxa"/>
            <w:vAlign w:val="bottom"/>
            <w:shd w:val="clear" w:color="auto" w:fill="435F86"/>
          </w:tcPr>
          <w:p>
            <w:pPr>
              <w:spacing w:after="0" w:line="20" w:lineRule="exact"/>
              <w:rPr>
                <w:sz w:val="1"/>
                <w:szCs w:val="1"/>
                <w:color w:val="auto"/>
              </w:rPr>
            </w:pPr>
          </w:p>
        </w:tc>
        <w:tc>
          <w:tcPr>
            <w:tcW w:w="240" w:type="dxa"/>
            <w:vAlign w:val="bottom"/>
            <w:shd w:val="clear" w:color="auto" w:fill="435F86"/>
          </w:tcPr>
          <w:p>
            <w:pPr>
              <w:spacing w:after="0" w:line="20" w:lineRule="exact"/>
              <w:rPr>
                <w:sz w:val="1"/>
                <w:szCs w:val="1"/>
                <w:color w:val="auto"/>
              </w:rPr>
            </w:pPr>
          </w:p>
        </w:tc>
        <w:tc>
          <w:tcPr>
            <w:tcW w:w="780" w:type="dxa"/>
            <w:vAlign w:val="bottom"/>
            <w:gridSpan w:val="2"/>
            <w:shd w:val="clear" w:color="auto" w:fill="435F86"/>
          </w:tcPr>
          <w:p>
            <w:pPr>
              <w:spacing w:after="0" w:line="20" w:lineRule="exact"/>
              <w:rPr>
                <w:sz w:val="1"/>
                <w:szCs w:val="1"/>
                <w:color w:val="auto"/>
              </w:rPr>
            </w:pPr>
          </w:p>
        </w:tc>
        <w:tc>
          <w:tcPr>
            <w:tcW w:w="100" w:type="dxa"/>
            <w:vAlign w:val="bottom"/>
            <w:shd w:val="clear" w:color="auto" w:fill="435F86"/>
          </w:tcPr>
          <w:p>
            <w:pPr>
              <w:spacing w:after="0" w:line="20" w:lineRule="exact"/>
              <w:rPr>
                <w:sz w:val="1"/>
                <w:szCs w:val="1"/>
                <w:color w:val="auto"/>
              </w:rPr>
            </w:pPr>
          </w:p>
        </w:tc>
        <w:tc>
          <w:tcPr>
            <w:tcW w:w="220" w:type="dxa"/>
            <w:vAlign w:val="bottom"/>
            <w:shd w:val="clear" w:color="auto" w:fill="435F86"/>
          </w:tcPr>
          <w:p>
            <w:pPr>
              <w:spacing w:after="0" w:line="20" w:lineRule="exact"/>
              <w:rPr>
                <w:sz w:val="1"/>
                <w:szCs w:val="1"/>
                <w:color w:val="auto"/>
              </w:rPr>
            </w:pPr>
          </w:p>
        </w:tc>
        <w:tc>
          <w:tcPr>
            <w:tcW w:w="60" w:type="dxa"/>
            <w:vAlign w:val="bottom"/>
            <w:shd w:val="clear" w:color="auto" w:fill="435F86"/>
          </w:tcPr>
          <w:p>
            <w:pPr>
              <w:spacing w:after="0" w:line="20" w:lineRule="exact"/>
              <w:rPr>
                <w:sz w:val="1"/>
                <w:szCs w:val="1"/>
                <w:color w:val="auto"/>
              </w:rPr>
            </w:pPr>
          </w:p>
        </w:tc>
        <w:tc>
          <w:tcPr>
            <w:tcW w:w="1860" w:type="dxa"/>
            <w:vAlign w:val="bottom"/>
            <w:gridSpan w:val="4"/>
            <w:shd w:val="clear" w:color="auto" w:fill="435F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40" w:type="dxa"/>
            <w:vAlign w:val="bottom"/>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2024</w:t>
            </w:r>
          </w:p>
        </w:tc>
        <w:tc>
          <w:tcPr>
            <w:tcW w:w="1420" w:type="dxa"/>
            <w:vAlign w:val="bottom"/>
            <w:gridSpan w:val="3"/>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$10,392,468</w:t>
            </w: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1140" w:type="dxa"/>
            <w:vAlign w:val="bottom"/>
            <w:gridSpan w:val="2"/>
          </w:tcPr>
          <w:p>
            <w:pPr>
              <w:ind w:left="100"/>
              <w:spacing w:after="0" w:line="252" w:lineRule="exact"/>
              <w:rPr>
                <w:sz w:val="20"/>
                <w:szCs w:val="20"/>
                <w:color w:val="auto"/>
              </w:rPr>
            </w:pPr>
            <w:r>
              <w:rPr>
                <w:rFonts w:ascii="Arial" w:cs="Arial" w:eastAsia="Arial" w:hAnsi="Arial"/>
                <w:sz w:val="16"/>
                <w:szCs w:val="16"/>
                <w:color w:val="auto"/>
              </w:rPr>
              <w:t>5,073,064</w:t>
            </w:r>
            <w:r>
              <w:rPr>
                <w:rFonts w:ascii="Arial" w:cs="Arial" w:eastAsia="Arial" w:hAnsi="Arial"/>
                <w:sz w:val="29"/>
                <w:szCs w:val="29"/>
                <w:color w:val="auto"/>
                <w:vertAlign w:val="subscript"/>
              </w:rPr>
              <w:t>​​ ​​</w:t>
            </w:r>
            <w:r>
              <w:rPr>
                <w:rFonts w:ascii="Arial" w:cs="Arial" w:eastAsia="Arial" w:hAnsi="Arial"/>
                <w:sz w:val="16"/>
                <w:szCs w:val="16"/>
                <w:color w:val="auto"/>
              </w:rPr>
              <w:t>$</w:t>
            </w:r>
          </w:p>
        </w:tc>
        <w:tc>
          <w:tcPr>
            <w:tcW w:w="1140" w:type="dxa"/>
            <w:vAlign w:val="bottom"/>
            <w:gridSpan w:val="2"/>
          </w:tcPr>
          <w:p>
            <w:pPr>
              <w:ind w:left="100"/>
              <w:spacing w:after="0" w:line="252" w:lineRule="exact"/>
              <w:rPr>
                <w:sz w:val="20"/>
                <w:szCs w:val="20"/>
                <w:color w:val="auto"/>
              </w:rPr>
            </w:pPr>
            <w:r>
              <w:rPr>
                <w:rFonts w:ascii="Arial" w:cs="Arial" w:eastAsia="Arial" w:hAnsi="Arial"/>
                <w:sz w:val="16"/>
                <w:szCs w:val="16"/>
                <w:color w:val="auto"/>
              </w:rPr>
              <w:t>2,337,051</w:t>
            </w:r>
            <w:r>
              <w:rPr>
                <w:rFonts w:ascii="Arial" w:cs="Arial" w:eastAsia="Arial" w:hAnsi="Arial"/>
                <w:sz w:val="29"/>
                <w:szCs w:val="29"/>
                <w:color w:val="auto"/>
                <w:vertAlign w:val="subscript"/>
              </w:rPr>
              <w:t>​​ ​​</w:t>
            </w: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04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1,737,819</w:t>
            </w:r>
            <w:r>
              <w:rPr>
                <w:rFonts w:ascii="Arial" w:cs="Arial" w:eastAsia="Arial" w:hAnsi="Arial"/>
                <w:sz w:val="29"/>
                <w:szCs w:val="29"/>
                <w:color w:val="auto"/>
                <w:vertAlign w:val="subscript"/>
              </w:rPr>
              <w:t>​​ ​</w:t>
            </w:r>
          </w:p>
        </w:tc>
        <w:tc>
          <w:tcPr>
            <w:tcW w:w="340" w:type="dxa"/>
            <w:vAlign w:val="bottom"/>
            <w:gridSpan w:val="2"/>
          </w:tcPr>
          <w:p>
            <w:pPr>
              <w:ind w:left="1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w:t>
            </w:r>
          </w:p>
        </w:tc>
        <w:tc>
          <w:tcPr>
            <w:tcW w:w="400" w:type="dxa"/>
            <w:vAlign w:val="bottom"/>
          </w:tcPr>
          <w:p>
            <w:pPr>
              <w:jc w:val="right"/>
              <w:ind w:right="73"/>
              <w:spacing w:after="0"/>
              <w:rPr>
                <w:sz w:val="20"/>
                <w:szCs w:val="20"/>
                <w:color w:val="auto"/>
              </w:rPr>
            </w:pPr>
            <w:r>
              <w:rPr>
                <w:rFonts w:ascii="Arial" w:cs="Arial" w:eastAsia="Arial" w:hAnsi="Arial"/>
                <w:sz w:val="17"/>
                <w:szCs w:val="17"/>
                <w:color w:val="auto"/>
              </w:rPr>
              <w:t>55</w:t>
            </w:r>
          </w:p>
        </w:tc>
        <w:tc>
          <w:tcPr>
            <w:tcW w:w="240" w:type="dxa"/>
            <w:vAlign w:val="bottom"/>
          </w:tcPr>
          <w:p>
            <w:pPr>
              <w:jc w:val="center"/>
              <w:spacing w:after="0"/>
              <w:rPr>
                <w:sz w:val="20"/>
                <w:szCs w:val="20"/>
                <w:color w:val="auto"/>
              </w:rPr>
            </w:pPr>
            <w:r>
              <w:rPr>
                <w:rFonts w:ascii="Arial" w:cs="Arial" w:eastAsia="Arial" w:hAnsi="Arial"/>
                <w:sz w:val="17"/>
                <w:szCs w:val="17"/>
                <w:color w:val="auto"/>
              </w:rPr>
              <w:t>​ ​ ​</w:t>
            </w:r>
          </w:p>
        </w:tc>
        <w:tc>
          <w:tcPr>
            <w:tcW w:w="780" w:type="dxa"/>
            <w:vAlign w:val="bottom"/>
            <w:gridSpan w:val="2"/>
          </w:tcPr>
          <w:p>
            <w:pPr>
              <w:jc w:val="right"/>
              <w:ind w:right="84"/>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$ 135</w:t>
            </w:r>
          </w:p>
        </w:tc>
        <w:tc>
          <w:tcPr>
            <w:tcW w:w="320" w:type="dxa"/>
            <w:vAlign w:val="bottom"/>
            <w:gridSpan w:val="2"/>
          </w:tcPr>
          <w:p>
            <w:pPr>
              <w:ind w:left="20"/>
              <w:spacing w:after="0" w:line="252" w:lineRule="exact"/>
              <w:rPr>
                <w:sz w:val="20"/>
                <w:szCs w:val="20"/>
                <w:color w:val="auto"/>
              </w:rPr>
            </w:pPr>
            <w:r>
              <w:rPr>
                <w:rFonts w:ascii="Arial" w:cs="Arial" w:eastAsia="Arial" w:hAnsi="Arial"/>
                <w:sz w:val="16"/>
                <w:szCs w:val="16"/>
                <w:color w:val="auto"/>
              </w:rPr>
              <w:t>​​ ​​</w:t>
            </w:r>
            <w:r>
              <w:rPr>
                <w:rFonts w:ascii="Arial" w:cs="Arial" w:eastAsia="Arial" w:hAnsi="Arial"/>
                <w:sz w:val="29"/>
                <w:szCs w:val="29"/>
                <w:color w:val="auto"/>
                <w:vertAlign w:val="superscript"/>
              </w:rPr>
              <w:t>$</w:t>
            </w:r>
          </w:p>
        </w:tc>
        <w:tc>
          <w:tcPr>
            <w:tcW w:w="60" w:type="dxa"/>
            <w:vAlign w:val="bottom"/>
          </w:tcPr>
          <w:p>
            <w:pPr>
              <w:spacing w:after="0"/>
              <w:rPr>
                <w:sz w:val="21"/>
                <w:szCs w:val="21"/>
                <w:color w:val="auto"/>
              </w:rPr>
            </w:pPr>
          </w:p>
        </w:tc>
        <w:tc>
          <w:tcPr>
            <w:tcW w:w="1880" w:type="dxa"/>
            <w:vAlign w:val="bottom"/>
            <w:gridSpan w:val="5"/>
          </w:tcPr>
          <w:p>
            <w:pPr>
              <w:jc w:val="right"/>
              <w:spacing w:after="0" w:line="252" w:lineRule="exact"/>
              <w:rPr>
                <w:sz w:val="20"/>
                <w:szCs w:val="20"/>
                <w:color w:val="auto"/>
              </w:rPr>
            </w:pPr>
            <w:r>
              <w:rPr>
                <w:rFonts w:ascii="Arial" w:cs="Arial" w:eastAsia="Arial" w:hAnsi="Arial"/>
                <w:sz w:val="16"/>
                <w:szCs w:val="16"/>
                <w:color w:val="auto"/>
              </w:rPr>
              <w:t xml:space="preserve">44,398 </w:t>
            </w:r>
            <w:r>
              <w:rPr>
                <w:rFonts w:ascii="Arial" w:cs="Arial" w:eastAsia="Arial" w:hAnsi="Arial"/>
                <w:sz w:val="29"/>
                <w:szCs w:val="29"/>
                <w:color w:val="auto"/>
                <w:vertAlign w:val="subscript"/>
              </w:rPr>
              <w:t>​​ ​ ​</w:t>
            </w:r>
            <w:r>
              <w:rPr>
                <w:rFonts w:ascii="Arial" w:cs="Arial" w:eastAsia="Arial" w:hAnsi="Arial"/>
                <w:sz w:val="16"/>
                <w:szCs w:val="16"/>
                <w:color w:val="auto"/>
              </w:rPr>
              <w:t xml:space="preserve">$ 548,574 </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0"/>
        </w:trPr>
        <w:tc>
          <w:tcPr>
            <w:tcW w:w="540" w:type="dxa"/>
            <w:vAlign w:val="bottom"/>
            <w:shd w:val="clear" w:color="auto" w:fill="7B8FAA"/>
          </w:tcPr>
          <w:p>
            <w:pPr>
              <w:spacing w:after="0" w:line="20" w:lineRule="exact"/>
              <w:rPr>
                <w:sz w:val="1"/>
                <w:szCs w:val="1"/>
                <w:color w:val="auto"/>
              </w:rPr>
            </w:pPr>
          </w:p>
        </w:tc>
        <w:tc>
          <w:tcPr>
            <w:tcW w:w="3780" w:type="dxa"/>
            <w:vAlign w:val="bottom"/>
            <w:gridSpan w:val="8"/>
            <w:shd w:val="clear" w:color="auto" w:fill="7B8FAA"/>
          </w:tcPr>
          <w:p>
            <w:pPr>
              <w:spacing w:after="0" w:line="20" w:lineRule="exact"/>
              <w:rPr>
                <w:sz w:val="1"/>
                <w:szCs w:val="1"/>
                <w:color w:val="auto"/>
              </w:rPr>
            </w:pPr>
          </w:p>
        </w:tc>
        <w:tc>
          <w:tcPr>
            <w:tcW w:w="900" w:type="dxa"/>
            <w:vAlign w:val="bottom"/>
            <w:gridSpan w:val="2"/>
            <w:shd w:val="clear" w:color="auto" w:fill="7B8FAA"/>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spacing w:after="0" w:line="20" w:lineRule="exact"/>
              <w:rPr>
                <w:sz w:val="1"/>
                <w:szCs w:val="1"/>
                <w:color w:val="auto"/>
              </w:rPr>
            </w:pPr>
          </w:p>
        </w:tc>
        <w:tc>
          <w:tcPr>
            <w:tcW w:w="160" w:type="dxa"/>
            <w:vAlign w:val="bottom"/>
            <w:shd w:val="clear" w:color="auto" w:fill="7B8FAA"/>
          </w:tcPr>
          <w:p>
            <w:pPr>
              <w:spacing w:after="0" w:line="20" w:lineRule="exact"/>
              <w:rPr>
                <w:sz w:val="1"/>
                <w:szCs w:val="1"/>
                <w:color w:val="auto"/>
              </w:rPr>
            </w:pPr>
          </w:p>
        </w:tc>
        <w:tc>
          <w:tcPr>
            <w:tcW w:w="400" w:type="dxa"/>
            <w:vAlign w:val="bottom"/>
            <w:shd w:val="clear" w:color="auto" w:fill="7B8FAA"/>
          </w:tcPr>
          <w:p>
            <w:pPr>
              <w:spacing w:after="0" w:line="20" w:lineRule="exact"/>
              <w:rPr>
                <w:sz w:val="1"/>
                <w:szCs w:val="1"/>
                <w:color w:val="auto"/>
              </w:rPr>
            </w:pPr>
          </w:p>
        </w:tc>
        <w:tc>
          <w:tcPr>
            <w:tcW w:w="24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560" w:type="dxa"/>
            <w:vAlign w:val="bottom"/>
            <w:shd w:val="clear" w:color="auto" w:fill="7B8FAA"/>
          </w:tcPr>
          <w:p>
            <w:pPr>
              <w:spacing w:after="0" w:line="20" w:lineRule="exact"/>
              <w:rPr>
                <w:sz w:val="1"/>
                <w:szCs w:val="1"/>
                <w:color w:val="auto"/>
              </w:rPr>
            </w:pPr>
          </w:p>
        </w:tc>
        <w:tc>
          <w:tcPr>
            <w:tcW w:w="100" w:type="dxa"/>
            <w:vAlign w:val="bottom"/>
            <w:shd w:val="clear" w:color="auto" w:fill="7B8FAA"/>
          </w:tcPr>
          <w:p>
            <w:pPr>
              <w:spacing w:after="0" w:line="20" w:lineRule="exact"/>
              <w:rPr>
                <w:sz w:val="1"/>
                <w:szCs w:val="1"/>
                <w:color w:val="auto"/>
              </w:rPr>
            </w:pPr>
          </w:p>
        </w:tc>
        <w:tc>
          <w:tcPr>
            <w:tcW w:w="280" w:type="dxa"/>
            <w:vAlign w:val="bottom"/>
            <w:gridSpan w:val="2"/>
            <w:shd w:val="clear" w:color="auto" w:fill="7B8FAA"/>
          </w:tcPr>
          <w:p>
            <w:pPr>
              <w:spacing w:after="0" w:line="20" w:lineRule="exact"/>
              <w:rPr>
                <w:sz w:val="1"/>
                <w:szCs w:val="1"/>
                <w:color w:val="auto"/>
              </w:rPr>
            </w:pPr>
          </w:p>
        </w:tc>
        <w:tc>
          <w:tcPr>
            <w:tcW w:w="1860" w:type="dxa"/>
            <w:vAlign w:val="bottom"/>
            <w:gridSpan w:val="4"/>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40" w:type="dxa"/>
            <w:vAlign w:val="bottom"/>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2023</w:t>
            </w:r>
          </w:p>
        </w:tc>
        <w:tc>
          <w:tcPr>
            <w:tcW w:w="3780" w:type="dxa"/>
            <w:vAlign w:val="bottom"/>
            <w:gridSpan w:val="8"/>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 9,701,005</w:t>
            </w:r>
            <w:r>
              <w:rPr>
                <w:rFonts w:ascii="Arial" w:cs="Arial" w:eastAsia="Arial" w:hAnsi="Arial"/>
                <w:sz w:val="29"/>
                <w:szCs w:val="29"/>
                <w:color w:val="auto"/>
                <w:vertAlign w:val="subscript"/>
              </w:rPr>
              <w:t>​​​​</w:t>
            </w:r>
            <w:r>
              <w:rPr>
                <w:rFonts w:ascii="Arial" w:cs="Arial" w:eastAsia="Arial" w:hAnsi="Arial"/>
                <w:sz w:val="16"/>
                <w:szCs w:val="16"/>
                <w:color w:val="auto"/>
              </w:rPr>
              <w:t xml:space="preserve"> ​31,189,170</w:t>
            </w:r>
            <w:r>
              <w:rPr>
                <w:rFonts w:ascii="Arial" w:cs="Arial" w:eastAsia="Arial" w:hAnsi="Arial"/>
                <w:sz w:val="29"/>
                <w:szCs w:val="29"/>
                <w:color w:val="auto"/>
                <w:vertAlign w:val="subscript"/>
              </w:rPr>
              <w:t>​​ ​​</w:t>
            </w:r>
            <w:r>
              <w:rPr>
                <w:rFonts w:ascii="Arial" w:cs="Arial" w:eastAsia="Arial" w:hAnsi="Arial"/>
                <w:sz w:val="16"/>
                <w:szCs w:val="16"/>
                <w:color w:val="auto"/>
              </w:rPr>
              <w:t xml:space="preserve"> ​ 1,405,960</w:t>
            </w:r>
            <w:r>
              <w:rPr>
                <w:rFonts w:ascii="Arial" w:cs="Arial" w:eastAsia="Arial" w:hAnsi="Arial"/>
                <w:sz w:val="29"/>
                <w:szCs w:val="29"/>
                <w:color w:val="auto"/>
                <w:vertAlign w:val="subscript"/>
              </w:rPr>
              <w:t>​​ ​​</w:t>
            </w:r>
            <w:r>
              <w:rPr>
                <w:rFonts w:ascii="Arial" w:cs="Arial" w:eastAsia="Arial" w:hAnsi="Arial"/>
                <w:sz w:val="16"/>
                <w:szCs w:val="16"/>
                <w:color w:val="auto"/>
              </w:rPr>
              <w:t xml:space="preserve"> ​</w:t>
            </w:r>
          </w:p>
        </w:tc>
        <w:tc>
          <w:tcPr>
            <w:tcW w:w="1040" w:type="dxa"/>
            <w:vAlign w:val="bottom"/>
            <w:gridSpan w:val="3"/>
          </w:tcPr>
          <w:p>
            <w:pPr>
              <w:jc w:val="right"/>
              <w:spacing w:after="0" w:line="252" w:lineRule="exact"/>
              <w:rPr>
                <w:sz w:val="20"/>
                <w:szCs w:val="20"/>
                <w:color w:val="auto"/>
              </w:rPr>
            </w:pPr>
            <w:r>
              <w:rPr>
                <w:rFonts w:ascii="Arial" w:cs="Arial" w:eastAsia="Arial" w:hAnsi="Arial"/>
                <w:sz w:val="16"/>
                <w:szCs w:val="16"/>
                <w:color w:val="auto"/>
              </w:rPr>
              <w:t>3,514,502</w:t>
            </w:r>
            <w:r>
              <w:rPr>
                <w:rFonts w:ascii="Arial" w:cs="Arial" w:eastAsia="Arial" w:hAnsi="Arial"/>
                <w:sz w:val="29"/>
                <w:szCs w:val="29"/>
                <w:color w:val="auto"/>
                <w:vertAlign w:val="subscript"/>
              </w:rPr>
              <w:t>​​ ​</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73"/>
              <w:spacing w:after="0"/>
              <w:rPr>
                <w:sz w:val="20"/>
                <w:szCs w:val="20"/>
                <w:color w:val="auto"/>
              </w:rPr>
            </w:pPr>
            <w:r>
              <w:rPr>
                <w:rFonts w:ascii="Arial" w:cs="Arial" w:eastAsia="Arial" w:hAnsi="Arial"/>
                <w:sz w:val="17"/>
                <w:szCs w:val="17"/>
                <w:color w:val="auto"/>
              </w:rPr>
              <w:t>67</w:t>
            </w:r>
          </w:p>
        </w:tc>
        <w:tc>
          <w:tcPr>
            <w:tcW w:w="240" w:type="dxa"/>
            <w:vAlign w:val="bottom"/>
          </w:tcPr>
          <w:p>
            <w:pPr>
              <w:jc w:val="center"/>
              <w:spacing w:after="0"/>
              <w:rPr>
                <w:sz w:val="20"/>
                <w:szCs w:val="20"/>
                <w:color w:val="auto"/>
              </w:rPr>
            </w:pPr>
            <w:r>
              <w:rPr>
                <w:rFonts w:ascii="Arial" w:cs="Arial" w:eastAsia="Arial" w:hAnsi="Arial"/>
                <w:sz w:val="17"/>
                <w:szCs w:val="17"/>
                <w:color w:val="auto"/>
              </w:rPr>
              <w:t>​ ​ ​</w:t>
            </w:r>
          </w:p>
        </w:tc>
        <w:tc>
          <w:tcPr>
            <w:tcW w:w="22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84"/>
              <w:spacing w:after="0"/>
              <w:rPr>
                <w:sz w:val="20"/>
                <w:szCs w:val="20"/>
                <w:color w:val="auto"/>
              </w:rPr>
            </w:pPr>
            <w:r>
              <w:rPr>
                <w:rFonts w:ascii="Arial" w:cs="Arial" w:eastAsia="Arial" w:hAnsi="Arial"/>
                <w:sz w:val="17"/>
                <w:szCs w:val="17"/>
                <w:color w:val="auto"/>
              </w:rPr>
              <w:t>​132</w:t>
            </w:r>
          </w:p>
        </w:tc>
        <w:tc>
          <w:tcPr>
            <w:tcW w:w="380" w:type="dxa"/>
            <w:vAlign w:val="bottom"/>
            <w:gridSpan w:val="3"/>
          </w:tcPr>
          <w:p>
            <w:pPr>
              <w:ind w:left="20"/>
              <w:spacing w:after="0" w:line="252"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perscript"/>
              </w:rPr>
              <w:t>​</w:t>
            </w:r>
          </w:p>
        </w:tc>
        <w:tc>
          <w:tcPr>
            <w:tcW w:w="1880" w:type="dxa"/>
            <w:vAlign w:val="bottom"/>
            <w:gridSpan w:val="5"/>
          </w:tcPr>
          <w:p>
            <w:pPr>
              <w:jc w:val="right"/>
              <w:spacing w:after="0" w:line="252" w:lineRule="exact"/>
              <w:rPr>
                <w:sz w:val="20"/>
                <w:szCs w:val="20"/>
                <w:color w:val="auto"/>
              </w:rPr>
            </w:pPr>
            <w:r>
              <w:rPr>
                <w:rFonts w:ascii="Arial" w:cs="Arial" w:eastAsia="Arial" w:hAnsi="Arial"/>
                <w:sz w:val="16"/>
                <w:szCs w:val="16"/>
                <w:color w:val="auto"/>
              </w:rPr>
              <w:t xml:space="preserve">51,376 </w:t>
            </w:r>
            <w:r>
              <w:rPr>
                <w:rFonts w:ascii="Arial" w:cs="Arial" w:eastAsia="Arial" w:hAnsi="Arial"/>
                <w:sz w:val="29"/>
                <w:szCs w:val="29"/>
                <w:color w:val="auto"/>
                <w:vertAlign w:val="subscript"/>
              </w:rPr>
              <w:t>​​ ​ ​</w:t>
            </w:r>
            <w:r>
              <w:rPr>
                <w:rFonts w:ascii="Arial" w:cs="Arial" w:eastAsia="Arial" w:hAnsi="Arial"/>
                <w:sz w:val="16"/>
                <w:szCs w:val="16"/>
                <w:color w:val="auto"/>
              </w:rPr>
              <w:t xml:space="preserve"> ​ 528,029 </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0"/>
        </w:trPr>
        <w:tc>
          <w:tcPr>
            <w:tcW w:w="54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900" w:type="dxa"/>
            <w:vAlign w:val="bottom"/>
            <w:shd w:val="clear" w:color="auto" w:fill="7B8FAA"/>
          </w:tcPr>
          <w:p>
            <w:pPr>
              <w:spacing w:after="0" w:line="20" w:lineRule="exact"/>
              <w:rPr>
                <w:sz w:val="1"/>
                <w:szCs w:val="1"/>
                <w:color w:val="auto"/>
              </w:rPr>
            </w:pPr>
          </w:p>
        </w:tc>
        <w:tc>
          <w:tcPr>
            <w:tcW w:w="240" w:type="dxa"/>
            <w:vAlign w:val="bottom"/>
            <w:shd w:val="clear" w:color="auto" w:fill="7B8FAA"/>
          </w:tcPr>
          <w:p>
            <w:pPr>
              <w:spacing w:after="0" w:line="20" w:lineRule="exact"/>
              <w:rPr>
                <w:sz w:val="1"/>
                <w:szCs w:val="1"/>
                <w:color w:val="auto"/>
              </w:rPr>
            </w:pPr>
          </w:p>
        </w:tc>
        <w:tc>
          <w:tcPr>
            <w:tcW w:w="880" w:type="dxa"/>
            <w:vAlign w:val="bottom"/>
            <w:shd w:val="clear" w:color="auto" w:fill="7B8FAA"/>
          </w:tcPr>
          <w:p>
            <w:pPr>
              <w:spacing w:after="0" w:line="20" w:lineRule="exact"/>
              <w:rPr>
                <w:sz w:val="1"/>
                <w:szCs w:val="1"/>
                <w:color w:val="auto"/>
              </w:rPr>
            </w:pPr>
          </w:p>
        </w:tc>
        <w:tc>
          <w:tcPr>
            <w:tcW w:w="260" w:type="dxa"/>
            <w:vAlign w:val="bottom"/>
            <w:shd w:val="clear" w:color="auto" w:fill="7B8FAA"/>
          </w:tcPr>
          <w:p>
            <w:pPr>
              <w:spacing w:after="0" w:line="20" w:lineRule="exact"/>
              <w:rPr>
                <w:sz w:val="1"/>
                <w:szCs w:val="1"/>
                <w:color w:val="auto"/>
              </w:rPr>
            </w:pPr>
          </w:p>
        </w:tc>
        <w:tc>
          <w:tcPr>
            <w:tcW w:w="86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0" w:type="dxa"/>
            <w:vAlign w:val="bottom"/>
            <w:shd w:val="clear" w:color="auto" w:fill="7B8FAA"/>
          </w:tcPr>
          <w:p>
            <w:pPr>
              <w:spacing w:after="0" w:line="20" w:lineRule="exact"/>
              <w:rPr>
                <w:sz w:val="1"/>
                <w:szCs w:val="1"/>
                <w:color w:val="auto"/>
              </w:rPr>
            </w:pPr>
          </w:p>
        </w:tc>
        <w:tc>
          <w:tcPr>
            <w:tcW w:w="900" w:type="dxa"/>
            <w:vAlign w:val="bottom"/>
            <w:gridSpan w:val="2"/>
            <w:shd w:val="clear" w:color="auto" w:fill="7B8FAA"/>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spacing w:after="0" w:line="20" w:lineRule="exact"/>
              <w:rPr>
                <w:sz w:val="1"/>
                <w:szCs w:val="1"/>
                <w:color w:val="auto"/>
              </w:rPr>
            </w:pPr>
          </w:p>
        </w:tc>
        <w:tc>
          <w:tcPr>
            <w:tcW w:w="160" w:type="dxa"/>
            <w:vAlign w:val="bottom"/>
            <w:shd w:val="clear" w:color="auto" w:fill="7B8FAA"/>
          </w:tcPr>
          <w:p>
            <w:pPr>
              <w:spacing w:after="0" w:line="20" w:lineRule="exact"/>
              <w:rPr>
                <w:sz w:val="1"/>
                <w:szCs w:val="1"/>
                <w:color w:val="auto"/>
              </w:rPr>
            </w:pPr>
          </w:p>
        </w:tc>
        <w:tc>
          <w:tcPr>
            <w:tcW w:w="400" w:type="dxa"/>
            <w:vAlign w:val="bottom"/>
            <w:shd w:val="clear" w:color="auto" w:fill="7B8FAA"/>
          </w:tcPr>
          <w:p>
            <w:pPr>
              <w:spacing w:after="0" w:line="20" w:lineRule="exact"/>
              <w:rPr>
                <w:sz w:val="1"/>
                <w:szCs w:val="1"/>
                <w:color w:val="auto"/>
              </w:rPr>
            </w:pPr>
          </w:p>
        </w:tc>
        <w:tc>
          <w:tcPr>
            <w:tcW w:w="24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560" w:type="dxa"/>
            <w:vAlign w:val="bottom"/>
            <w:shd w:val="clear" w:color="auto" w:fill="7B8FAA"/>
          </w:tcPr>
          <w:p>
            <w:pPr>
              <w:spacing w:after="0" w:line="20" w:lineRule="exact"/>
              <w:rPr>
                <w:sz w:val="1"/>
                <w:szCs w:val="1"/>
                <w:color w:val="auto"/>
              </w:rPr>
            </w:pPr>
          </w:p>
        </w:tc>
        <w:tc>
          <w:tcPr>
            <w:tcW w:w="10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1080" w:type="dxa"/>
            <w:vAlign w:val="bottom"/>
            <w:gridSpan w:val="3"/>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80" w:type="dxa"/>
            <w:vAlign w:val="bottom"/>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 w:type="dxa"/>
            <w:vAlign w:val="bottom"/>
          </w:tcPr>
          <w:p>
            <w:pPr>
              <w:ind w:left="80"/>
              <w:spacing w:after="0" w:line="188" w:lineRule="exact"/>
              <w:rPr>
                <w:sz w:val="20"/>
                <w:szCs w:val="20"/>
                <w:color w:val="auto"/>
              </w:rPr>
            </w:pPr>
            <w:r>
              <w:rPr>
                <w:rFonts w:ascii="Arial" w:cs="Arial" w:eastAsia="Arial" w:hAnsi="Arial"/>
                <w:sz w:val="17"/>
                <w:szCs w:val="17"/>
                <w:color w:val="auto"/>
              </w:rPr>
              <w:t>2022</w:t>
            </w:r>
          </w:p>
        </w:tc>
        <w:tc>
          <w:tcPr>
            <w:tcW w:w="28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900" w:type="dxa"/>
            <w:vAlign w:val="bottom"/>
          </w:tcPr>
          <w:p>
            <w:pPr>
              <w:ind w:left="20"/>
              <w:spacing w:after="0" w:line="188" w:lineRule="exact"/>
              <w:rPr>
                <w:sz w:val="20"/>
                <w:szCs w:val="20"/>
                <w:color w:val="auto"/>
              </w:rPr>
            </w:pPr>
            <w:r>
              <w:rPr>
                <w:rFonts w:ascii="Arial" w:cs="Arial" w:eastAsia="Arial" w:hAnsi="Arial"/>
                <w:sz w:val="17"/>
                <w:szCs w:val="17"/>
                <w:color w:val="auto"/>
              </w:rPr>
              <w:t>​16,659,858</w:t>
            </w:r>
          </w:p>
        </w:tc>
        <w:tc>
          <w:tcPr>
            <w:tcW w:w="240" w:type="dxa"/>
            <w:vAlign w:val="bottom"/>
            <w:vMerge w:val="restart"/>
          </w:tcPr>
          <w:p>
            <w:pPr>
              <w:spacing w:after="0"/>
              <w:rPr>
                <w:sz w:val="20"/>
                <w:szCs w:val="20"/>
                <w:color w:val="auto"/>
              </w:rPr>
            </w:pPr>
            <w:r>
              <w:rPr>
                <w:rFonts w:ascii="Arial" w:cs="Arial" w:eastAsia="Arial" w:hAnsi="Arial"/>
                <w:sz w:val="17"/>
                <w:szCs w:val="17"/>
                <w:color w:val="auto"/>
              </w:rPr>
              <w:t>​​​​</w:t>
            </w:r>
          </w:p>
        </w:tc>
        <w:tc>
          <w:tcPr>
            <w:tcW w:w="880" w:type="dxa"/>
            <w:vAlign w:val="bottom"/>
          </w:tcPr>
          <w:p>
            <w:pPr>
              <w:spacing w:after="0" w:line="188" w:lineRule="exact"/>
              <w:rPr>
                <w:sz w:val="20"/>
                <w:szCs w:val="20"/>
                <w:color w:val="auto"/>
              </w:rPr>
            </w:pPr>
            <w:r>
              <w:rPr>
                <w:rFonts w:ascii="Arial" w:cs="Arial" w:eastAsia="Arial" w:hAnsi="Arial"/>
                <w:sz w:val="17"/>
                <w:szCs w:val="17"/>
                <w:color w:val="auto"/>
              </w:rPr>
              <w:t>​ 5,908,688</w:t>
            </w:r>
          </w:p>
        </w:tc>
        <w:tc>
          <w:tcPr>
            <w:tcW w:w="260" w:type="dxa"/>
            <w:vAlign w:val="bottom"/>
            <w:vMerge w:val="restart"/>
          </w:tcPr>
          <w:p>
            <w:pPr>
              <w:spacing w:after="0"/>
              <w:rPr>
                <w:sz w:val="20"/>
                <w:szCs w:val="20"/>
                <w:color w:val="auto"/>
              </w:rPr>
            </w:pPr>
            <w:r>
              <w:rPr>
                <w:rFonts w:ascii="Arial" w:cs="Arial" w:eastAsia="Arial" w:hAnsi="Arial"/>
                <w:sz w:val="17"/>
                <w:szCs w:val="17"/>
                <w:color w:val="auto"/>
              </w:rPr>
              <w:t>​​ ​​</w:t>
            </w:r>
          </w:p>
        </w:tc>
        <w:tc>
          <w:tcPr>
            <w:tcW w:w="860" w:type="dxa"/>
            <w:vAlign w:val="bottom"/>
          </w:tcPr>
          <w:p>
            <w:pPr>
              <w:spacing w:after="0" w:line="188" w:lineRule="exact"/>
              <w:rPr>
                <w:sz w:val="20"/>
                <w:szCs w:val="20"/>
                <w:color w:val="auto"/>
              </w:rPr>
            </w:pPr>
            <w:r>
              <w:rPr>
                <w:rFonts w:ascii="Arial" w:cs="Arial" w:eastAsia="Arial" w:hAnsi="Arial"/>
                <w:sz w:val="17"/>
                <w:szCs w:val="17"/>
                <w:color w:val="auto"/>
              </w:rPr>
              <w:t>​ 2,000,869</w:t>
            </w:r>
          </w:p>
        </w:tc>
        <w:tc>
          <w:tcPr>
            <w:tcW w:w="280" w:type="dxa"/>
            <w:vAlign w:val="bottom"/>
            <w:vMerge w:val="restart"/>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line="188"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188" w:lineRule="exact"/>
              <w:rPr>
                <w:sz w:val="20"/>
                <w:szCs w:val="20"/>
                <w:color w:val="auto"/>
              </w:rPr>
            </w:pPr>
            <w:r>
              <w:rPr>
                <w:rFonts w:ascii="Arial" w:cs="Arial" w:eastAsia="Arial" w:hAnsi="Arial"/>
                <w:sz w:val="17"/>
                <w:szCs w:val="17"/>
                <w:color w:val="auto"/>
              </w:rPr>
              <w:t>(872,149)</w:t>
            </w:r>
          </w:p>
        </w:tc>
        <w:tc>
          <w:tcPr>
            <w:tcW w:w="140" w:type="dxa"/>
            <w:vAlign w:val="bottom"/>
          </w:tcPr>
          <w:p>
            <w:pPr>
              <w:spacing w:after="0"/>
              <w:rPr>
                <w:sz w:val="16"/>
                <w:szCs w:val="16"/>
                <w:color w:val="auto"/>
              </w:rPr>
            </w:pPr>
          </w:p>
        </w:tc>
        <w:tc>
          <w:tcPr>
            <w:tcW w:w="180" w:type="dxa"/>
            <w:vAlign w:val="bottom"/>
            <w:vMerge w:val="restart"/>
          </w:tcPr>
          <w:p>
            <w:pPr>
              <w:ind w:left="1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line="188" w:lineRule="exact"/>
              <w:rPr>
                <w:sz w:val="20"/>
                <w:szCs w:val="20"/>
                <w:color w:val="auto"/>
              </w:rPr>
            </w:pPr>
            <w:r>
              <w:rPr>
                <w:rFonts w:ascii="Arial" w:cs="Arial" w:eastAsia="Arial" w:hAnsi="Arial"/>
                <w:sz w:val="17"/>
                <w:szCs w:val="17"/>
                <w:color w:val="auto"/>
              </w:rPr>
              <w:t>​</w:t>
            </w:r>
          </w:p>
        </w:tc>
        <w:tc>
          <w:tcPr>
            <w:tcW w:w="400" w:type="dxa"/>
            <w:vAlign w:val="bottom"/>
          </w:tcPr>
          <w:p>
            <w:pPr>
              <w:jc w:val="right"/>
              <w:ind w:right="73"/>
              <w:spacing w:after="0" w:line="188" w:lineRule="exact"/>
              <w:rPr>
                <w:sz w:val="20"/>
                <w:szCs w:val="20"/>
                <w:color w:val="auto"/>
              </w:rPr>
            </w:pPr>
            <w:r>
              <w:rPr>
                <w:rFonts w:ascii="Arial" w:cs="Arial" w:eastAsia="Arial" w:hAnsi="Arial"/>
                <w:sz w:val="17"/>
                <w:szCs w:val="17"/>
                <w:color w:val="auto"/>
              </w:rPr>
              <w:t>33</w:t>
            </w:r>
          </w:p>
        </w:tc>
        <w:tc>
          <w:tcPr>
            <w:tcW w:w="240" w:type="dxa"/>
            <w:vAlign w:val="bottom"/>
            <w:vMerge w:val="restart"/>
          </w:tcPr>
          <w:p>
            <w:pPr>
              <w:jc w:val="center"/>
              <w:spacing w:after="0"/>
              <w:rPr>
                <w:sz w:val="20"/>
                <w:szCs w:val="20"/>
                <w:color w:val="auto"/>
              </w:rPr>
            </w:pPr>
            <w:r>
              <w:rPr>
                <w:rFonts w:ascii="Arial" w:cs="Arial" w:eastAsia="Arial" w:hAnsi="Arial"/>
                <w:sz w:val="17"/>
                <w:szCs w:val="17"/>
                <w:color w:val="auto"/>
              </w:rPr>
              <w:t>​ ​ ​</w:t>
            </w:r>
          </w:p>
        </w:tc>
        <w:tc>
          <w:tcPr>
            <w:tcW w:w="220" w:type="dxa"/>
            <w:vAlign w:val="bottom"/>
            <w:vMerge w:val="restart"/>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84"/>
              <w:spacing w:after="0" w:line="188" w:lineRule="exact"/>
              <w:rPr>
                <w:sz w:val="20"/>
                <w:szCs w:val="20"/>
                <w:color w:val="auto"/>
              </w:rPr>
            </w:pPr>
            <w:r>
              <w:rPr>
                <w:rFonts w:ascii="Arial" w:cs="Arial" w:eastAsia="Arial" w:hAnsi="Arial"/>
                <w:sz w:val="17"/>
                <w:szCs w:val="17"/>
                <w:color w:val="auto"/>
              </w:rPr>
              <w:t>​130</w:t>
            </w:r>
          </w:p>
        </w:tc>
        <w:tc>
          <w:tcPr>
            <w:tcW w:w="320" w:type="dxa"/>
            <w:vAlign w:val="bottom"/>
            <w:gridSpan w:val="2"/>
            <w:vMerge w:val="restart"/>
          </w:tcPr>
          <w:p>
            <w:pPr>
              <w:ind w:left="20"/>
              <w:spacing w:after="0"/>
              <w:rPr>
                <w:sz w:val="20"/>
                <w:szCs w:val="20"/>
                <w:color w:val="auto"/>
              </w:rPr>
            </w:pPr>
            <w:r>
              <w:rPr>
                <w:rFonts w:ascii="Arial" w:cs="Arial" w:eastAsia="Arial" w:hAnsi="Arial"/>
                <w:sz w:val="17"/>
                <w:szCs w:val="17"/>
                <w:color w:val="auto"/>
              </w:rPr>
              <w:t>​​ ​​</w:t>
            </w:r>
          </w:p>
        </w:tc>
        <w:tc>
          <w:tcPr>
            <w:tcW w:w="1080" w:type="dxa"/>
            <w:vAlign w:val="bottom"/>
            <w:gridSpan w:val="3"/>
          </w:tcPr>
          <w:p>
            <w:pPr>
              <w:jc w:val="right"/>
              <w:ind w:right="197"/>
              <w:spacing w:after="0" w:line="188" w:lineRule="exact"/>
              <w:rPr>
                <w:sz w:val="20"/>
                <w:szCs w:val="20"/>
                <w:color w:val="auto"/>
              </w:rPr>
            </w:pPr>
            <w:r>
              <w:rPr>
                <w:rFonts w:ascii="Arial" w:cs="Arial" w:eastAsia="Arial" w:hAnsi="Arial"/>
                <w:sz w:val="17"/>
                <w:szCs w:val="17"/>
                <w:color w:val="auto"/>
              </w:rPr>
              <w:t>​(233,570)</w:t>
            </w:r>
          </w:p>
        </w:tc>
        <w:tc>
          <w:tcPr>
            <w:tcW w:w="760" w:type="dxa"/>
            <w:vAlign w:val="bottom"/>
          </w:tcPr>
          <w:p>
            <w:pPr>
              <w:ind w:left="20"/>
              <w:spacing w:after="0" w:line="188" w:lineRule="exact"/>
              <w:rPr>
                <w:sz w:val="20"/>
                <w:szCs w:val="20"/>
                <w:color w:val="auto"/>
              </w:rPr>
            </w:pPr>
            <w:r>
              <w:rPr>
                <w:rFonts w:ascii="Arial" w:cs="Arial" w:eastAsia="Arial" w:hAnsi="Arial"/>
                <w:sz w:val="17"/>
                <w:szCs w:val="17"/>
                <w:color w:val="auto"/>
              </w:rPr>
              <w:t>​ 506,249</w:t>
            </w:r>
          </w:p>
        </w:tc>
        <w:tc>
          <w:tcPr>
            <w:tcW w:w="1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5"/>
        </w:trPr>
        <w:tc>
          <w:tcPr>
            <w:tcW w:w="540" w:type="dxa"/>
            <w:vAlign w:val="bottom"/>
          </w:tcPr>
          <w:p>
            <w:pPr>
              <w:ind w:left="40"/>
              <w:spacing w:after="0" w:line="65"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gridSpan w:val="2"/>
          </w:tcPr>
          <w:p>
            <w:pPr>
              <w:jc w:val="right"/>
              <w:spacing w:after="0" w:line="65" w:lineRule="exact"/>
              <w:rPr>
                <w:sz w:val="20"/>
                <w:szCs w:val="20"/>
                <w:color w:val="auto"/>
              </w:rPr>
            </w:pPr>
            <w:r>
              <w:rPr>
                <w:rFonts w:ascii="Arial" w:cs="Arial" w:eastAsia="Arial" w:hAnsi="Arial"/>
                <w:sz w:val="6"/>
                <w:szCs w:val="6"/>
                <w:color w:val="auto"/>
              </w:rPr>
              <w:t>​​ ​</w:t>
            </w:r>
          </w:p>
        </w:tc>
        <w:tc>
          <w:tcPr>
            <w:tcW w:w="1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jc w:val="right"/>
              <w:spacing w:after="0" w:line="65" w:lineRule="exact"/>
              <w:rPr>
                <w:sz w:val="20"/>
                <w:szCs w:val="20"/>
                <w:color w:val="auto"/>
              </w:rPr>
            </w:pPr>
            <w:r>
              <w:rPr>
                <w:rFonts w:ascii="Arial" w:cs="Arial" w:eastAsia="Arial" w:hAnsi="Arial"/>
                <w:sz w:val="6"/>
                <w:szCs w:val="6"/>
                <w:color w:val="auto"/>
              </w:rPr>
              <w:t>​​ ​ ​</w:t>
            </w:r>
          </w:p>
        </w:tc>
        <w:tc>
          <w:tcPr>
            <w:tcW w:w="76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900" w:type="dxa"/>
            <w:vAlign w:val="bottom"/>
            <w:shd w:val="clear" w:color="auto" w:fill="7B8FAA"/>
          </w:tcPr>
          <w:p>
            <w:pPr>
              <w:spacing w:after="0" w:line="20" w:lineRule="exact"/>
              <w:rPr>
                <w:sz w:val="1"/>
                <w:szCs w:val="1"/>
                <w:color w:val="auto"/>
              </w:rPr>
            </w:pPr>
          </w:p>
        </w:tc>
        <w:tc>
          <w:tcPr>
            <w:tcW w:w="240" w:type="dxa"/>
            <w:vAlign w:val="bottom"/>
            <w:shd w:val="clear" w:color="auto" w:fill="7B8FAA"/>
          </w:tcPr>
          <w:p>
            <w:pPr>
              <w:spacing w:after="0" w:line="20" w:lineRule="exact"/>
              <w:rPr>
                <w:sz w:val="1"/>
                <w:szCs w:val="1"/>
                <w:color w:val="auto"/>
              </w:rPr>
            </w:pPr>
          </w:p>
        </w:tc>
        <w:tc>
          <w:tcPr>
            <w:tcW w:w="1140" w:type="dxa"/>
            <w:vAlign w:val="bottom"/>
            <w:gridSpan w:val="2"/>
            <w:shd w:val="clear" w:color="auto" w:fill="7B8FAA"/>
          </w:tcPr>
          <w:p>
            <w:pPr>
              <w:spacing w:after="0" w:line="20" w:lineRule="exact"/>
              <w:rPr>
                <w:sz w:val="1"/>
                <w:szCs w:val="1"/>
                <w:color w:val="auto"/>
              </w:rPr>
            </w:pPr>
          </w:p>
        </w:tc>
        <w:tc>
          <w:tcPr>
            <w:tcW w:w="86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80" w:type="dxa"/>
            <w:vAlign w:val="bottom"/>
            <w:shd w:val="clear" w:color="auto" w:fill="7B8FAA"/>
          </w:tcPr>
          <w:p>
            <w:pPr>
              <w:spacing w:after="0" w:line="20" w:lineRule="exact"/>
              <w:rPr>
                <w:sz w:val="1"/>
                <w:szCs w:val="1"/>
                <w:color w:val="auto"/>
              </w:rPr>
            </w:pPr>
          </w:p>
        </w:tc>
        <w:tc>
          <w:tcPr>
            <w:tcW w:w="900" w:type="dxa"/>
            <w:vAlign w:val="bottom"/>
            <w:gridSpan w:val="2"/>
            <w:shd w:val="clear" w:color="auto" w:fill="7B8FAA"/>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spacing w:after="0" w:line="20" w:lineRule="exact"/>
              <w:rPr>
                <w:sz w:val="1"/>
                <w:szCs w:val="1"/>
                <w:color w:val="auto"/>
              </w:rPr>
            </w:pPr>
          </w:p>
        </w:tc>
        <w:tc>
          <w:tcPr>
            <w:tcW w:w="160" w:type="dxa"/>
            <w:vAlign w:val="bottom"/>
            <w:shd w:val="clear" w:color="auto" w:fill="7B8FAA"/>
          </w:tcPr>
          <w:p>
            <w:pPr>
              <w:spacing w:after="0" w:line="20" w:lineRule="exact"/>
              <w:rPr>
                <w:sz w:val="1"/>
                <w:szCs w:val="1"/>
                <w:color w:val="auto"/>
              </w:rPr>
            </w:pPr>
          </w:p>
        </w:tc>
        <w:tc>
          <w:tcPr>
            <w:tcW w:w="400" w:type="dxa"/>
            <w:vAlign w:val="bottom"/>
            <w:shd w:val="clear" w:color="auto" w:fill="7B8FAA"/>
          </w:tcPr>
          <w:p>
            <w:pPr>
              <w:spacing w:after="0" w:line="20" w:lineRule="exact"/>
              <w:rPr>
                <w:sz w:val="1"/>
                <w:szCs w:val="1"/>
                <w:color w:val="auto"/>
              </w:rPr>
            </w:pPr>
          </w:p>
        </w:tc>
        <w:tc>
          <w:tcPr>
            <w:tcW w:w="24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560" w:type="dxa"/>
            <w:vAlign w:val="bottom"/>
            <w:shd w:val="clear" w:color="auto" w:fill="7B8FAA"/>
          </w:tcPr>
          <w:p>
            <w:pPr>
              <w:spacing w:after="0" w:line="20" w:lineRule="exact"/>
              <w:rPr>
                <w:sz w:val="1"/>
                <w:szCs w:val="1"/>
                <w:color w:val="auto"/>
              </w:rPr>
            </w:pPr>
          </w:p>
        </w:tc>
        <w:tc>
          <w:tcPr>
            <w:tcW w:w="10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60" w:type="dxa"/>
            <w:vAlign w:val="bottom"/>
            <w:shd w:val="clear" w:color="auto" w:fill="7B8FAA"/>
          </w:tcPr>
          <w:p>
            <w:pPr>
              <w:spacing w:after="0" w:line="20" w:lineRule="exact"/>
              <w:rPr>
                <w:sz w:val="1"/>
                <w:szCs w:val="1"/>
                <w:color w:val="auto"/>
              </w:rPr>
            </w:pPr>
          </w:p>
        </w:tc>
        <w:tc>
          <w:tcPr>
            <w:tcW w:w="700" w:type="dxa"/>
            <w:vAlign w:val="bottom"/>
            <w:shd w:val="clear" w:color="auto" w:fill="7B8FAA"/>
          </w:tcPr>
          <w:p>
            <w:pPr>
              <w:spacing w:after="0" w:line="20" w:lineRule="exact"/>
              <w:rPr>
                <w:sz w:val="1"/>
                <w:szCs w:val="1"/>
                <w:color w:val="auto"/>
              </w:rPr>
            </w:pPr>
          </w:p>
        </w:tc>
        <w:tc>
          <w:tcPr>
            <w:tcW w:w="320" w:type="dxa"/>
            <w:vAlign w:val="bottom"/>
            <w:shd w:val="clear" w:color="auto" w:fill="7B8FAA"/>
          </w:tcPr>
          <w:p>
            <w:pPr>
              <w:spacing w:after="0" w:line="20" w:lineRule="exact"/>
              <w:rPr>
                <w:sz w:val="1"/>
                <w:szCs w:val="1"/>
                <w:color w:val="auto"/>
              </w:rPr>
            </w:pPr>
          </w:p>
        </w:tc>
        <w:tc>
          <w:tcPr>
            <w:tcW w:w="760" w:type="dxa"/>
            <w:vAlign w:val="bottom"/>
            <w:shd w:val="clear" w:color="auto" w:fill="7B8FAA"/>
          </w:tcPr>
          <w:p>
            <w:pPr>
              <w:spacing w:after="0" w:line="20" w:lineRule="exact"/>
              <w:rPr>
                <w:sz w:val="1"/>
                <w:szCs w:val="1"/>
                <w:color w:val="auto"/>
              </w:rPr>
            </w:pPr>
          </w:p>
        </w:tc>
        <w:tc>
          <w:tcPr>
            <w:tcW w:w="80" w:type="dxa"/>
            <w:vAlign w:val="bottom"/>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 w:type="dxa"/>
            <w:vAlign w:val="bottom"/>
          </w:tcPr>
          <w:p>
            <w:pPr>
              <w:ind w:left="80"/>
              <w:spacing w:after="0" w:line="188" w:lineRule="exact"/>
              <w:rPr>
                <w:sz w:val="20"/>
                <w:szCs w:val="20"/>
                <w:color w:val="auto"/>
              </w:rPr>
            </w:pPr>
            <w:r>
              <w:rPr>
                <w:rFonts w:ascii="Arial" w:cs="Arial" w:eastAsia="Arial" w:hAnsi="Arial"/>
                <w:sz w:val="17"/>
                <w:szCs w:val="17"/>
                <w:color w:val="auto"/>
              </w:rPr>
              <w:t>2021</w:t>
            </w:r>
          </w:p>
        </w:tc>
        <w:tc>
          <w:tcPr>
            <w:tcW w:w="28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900" w:type="dxa"/>
            <w:vAlign w:val="bottom"/>
          </w:tcPr>
          <w:p>
            <w:pPr>
              <w:ind w:left="20"/>
              <w:spacing w:after="0" w:line="188" w:lineRule="exact"/>
              <w:rPr>
                <w:sz w:val="20"/>
                <w:szCs w:val="20"/>
                <w:color w:val="auto"/>
              </w:rPr>
            </w:pPr>
            <w:r>
              <w:rPr>
                <w:rFonts w:ascii="Arial" w:cs="Arial" w:eastAsia="Arial" w:hAnsi="Arial"/>
                <w:sz w:val="17"/>
                <w:szCs w:val="17"/>
                <w:color w:val="auto"/>
              </w:rPr>
              <w:t>​ 2,197,574</w:t>
            </w:r>
          </w:p>
        </w:tc>
        <w:tc>
          <w:tcPr>
            <w:tcW w:w="240" w:type="dxa"/>
            <w:vAlign w:val="bottom"/>
            <w:vMerge w:val="restart"/>
          </w:tcPr>
          <w:p>
            <w:pPr>
              <w:spacing w:after="0"/>
              <w:rPr>
                <w:sz w:val="20"/>
                <w:szCs w:val="20"/>
                <w:color w:val="auto"/>
              </w:rPr>
            </w:pPr>
            <w:r>
              <w:rPr>
                <w:rFonts w:ascii="Arial" w:cs="Arial" w:eastAsia="Arial" w:hAnsi="Arial"/>
                <w:sz w:val="17"/>
                <w:szCs w:val="17"/>
                <w:color w:val="auto"/>
              </w:rPr>
              <w:t>​​​​</w:t>
            </w:r>
          </w:p>
        </w:tc>
        <w:tc>
          <w:tcPr>
            <w:tcW w:w="1140" w:type="dxa"/>
            <w:vAlign w:val="bottom"/>
            <w:gridSpan w:val="2"/>
          </w:tcPr>
          <w:p>
            <w:pPr>
              <w:spacing w:after="0" w:line="188" w:lineRule="exact"/>
              <w:rPr>
                <w:sz w:val="20"/>
                <w:szCs w:val="20"/>
                <w:color w:val="auto"/>
              </w:rPr>
            </w:pPr>
            <w:r>
              <w:rPr>
                <w:rFonts w:ascii="Arial" w:cs="Arial" w:eastAsia="Arial" w:hAnsi="Arial"/>
                <w:sz w:val="17"/>
                <w:szCs w:val="17"/>
                <w:color w:val="auto"/>
              </w:rPr>
              <w:t>​(2,362,888)</w:t>
            </w:r>
          </w:p>
        </w:tc>
        <w:tc>
          <w:tcPr>
            <w:tcW w:w="860" w:type="dxa"/>
            <w:vAlign w:val="bottom"/>
          </w:tcPr>
          <w:p>
            <w:pPr>
              <w:spacing w:after="0" w:line="188" w:lineRule="exact"/>
              <w:rPr>
                <w:sz w:val="20"/>
                <w:szCs w:val="20"/>
                <w:color w:val="auto"/>
              </w:rPr>
            </w:pPr>
            <w:r>
              <w:rPr>
                <w:rFonts w:ascii="Arial" w:cs="Arial" w:eastAsia="Arial" w:hAnsi="Arial"/>
                <w:sz w:val="17"/>
                <w:szCs w:val="17"/>
                <w:color w:val="auto"/>
              </w:rPr>
              <w:t>​  658,885</w:t>
            </w:r>
          </w:p>
        </w:tc>
        <w:tc>
          <w:tcPr>
            <w:tcW w:w="280" w:type="dxa"/>
            <w:vAlign w:val="bottom"/>
            <w:vMerge w:val="restart"/>
          </w:tcPr>
          <w:p>
            <w:pPr>
              <w:spacing w:after="0"/>
              <w:rPr>
                <w:sz w:val="20"/>
                <w:szCs w:val="20"/>
                <w:color w:val="auto"/>
              </w:rPr>
            </w:pPr>
            <w:r>
              <w:rPr>
                <w:rFonts w:ascii="Arial" w:cs="Arial" w:eastAsia="Arial" w:hAnsi="Arial"/>
                <w:sz w:val="17"/>
                <w:szCs w:val="17"/>
                <w:color w:val="auto"/>
              </w:rPr>
              <w:t>​​ ​​</w:t>
            </w:r>
          </w:p>
        </w:tc>
        <w:tc>
          <w:tcPr>
            <w:tcW w:w="80" w:type="dxa"/>
            <w:vAlign w:val="bottom"/>
          </w:tcPr>
          <w:p>
            <w:pPr>
              <w:spacing w:after="0" w:line="188"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line="188" w:lineRule="exact"/>
              <w:rPr>
                <w:sz w:val="20"/>
                <w:szCs w:val="20"/>
                <w:color w:val="auto"/>
              </w:rPr>
            </w:pPr>
            <w:r>
              <w:rPr>
                <w:rFonts w:ascii="Arial" w:cs="Arial" w:eastAsia="Arial" w:hAnsi="Arial"/>
                <w:sz w:val="17"/>
                <w:szCs w:val="17"/>
                <w:color w:val="auto"/>
              </w:rPr>
              <w:t>(789,682)</w:t>
            </w:r>
          </w:p>
        </w:tc>
        <w:tc>
          <w:tcPr>
            <w:tcW w:w="140" w:type="dxa"/>
            <w:vAlign w:val="bottom"/>
          </w:tcPr>
          <w:p>
            <w:pPr>
              <w:spacing w:after="0"/>
              <w:rPr>
                <w:sz w:val="16"/>
                <w:szCs w:val="16"/>
                <w:color w:val="auto"/>
              </w:rPr>
            </w:pPr>
          </w:p>
        </w:tc>
        <w:tc>
          <w:tcPr>
            <w:tcW w:w="180" w:type="dxa"/>
            <w:vAlign w:val="bottom"/>
            <w:vMerge w:val="restart"/>
          </w:tcPr>
          <w:p>
            <w:pPr>
              <w:ind w:left="1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line="188" w:lineRule="exact"/>
              <w:rPr>
                <w:sz w:val="20"/>
                <w:szCs w:val="20"/>
                <w:color w:val="auto"/>
              </w:rPr>
            </w:pPr>
            <w:r>
              <w:rPr>
                <w:rFonts w:ascii="Arial" w:cs="Arial" w:eastAsia="Arial" w:hAnsi="Arial"/>
                <w:sz w:val="17"/>
                <w:szCs w:val="17"/>
                <w:color w:val="auto"/>
              </w:rPr>
              <w:t>​</w:t>
            </w:r>
          </w:p>
        </w:tc>
        <w:tc>
          <w:tcPr>
            <w:tcW w:w="400" w:type="dxa"/>
            <w:vAlign w:val="bottom"/>
          </w:tcPr>
          <w:p>
            <w:pPr>
              <w:jc w:val="right"/>
              <w:ind w:right="73"/>
              <w:spacing w:after="0" w:line="188" w:lineRule="exact"/>
              <w:rPr>
                <w:sz w:val="20"/>
                <w:szCs w:val="20"/>
                <w:color w:val="auto"/>
              </w:rPr>
            </w:pPr>
            <w:r>
              <w:rPr>
                <w:rFonts w:ascii="Arial" w:cs="Arial" w:eastAsia="Arial" w:hAnsi="Arial"/>
                <w:sz w:val="17"/>
                <w:szCs w:val="17"/>
                <w:color w:val="auto"/>
              </w:rPr>
              <w:t>94</w:t>
            </w:r>
          </w:p>
        </w:tc>
        <w:tc>
          <w:tcPr>
            <w:tcW w:w="240" w:type="dxa"/>
            <w:vAlign w:val="bottom"/>
            <w:vMerge w:val="restart"/>
          </w:tcPr>
          <w:p>
            <w:pPr>
              <w:jc w:val="center"/>
              <w:spacing w:after="0"/>
              <w:rPr>
                <w:sz w:val="20"/>
                <w:szCs w:val="20"/>
                <w:color w:val="auto"/>
              </w:rPr>
            </w:pPr>
            <w:r>
              <w:rPr>
                <w:rFonts w:ascii="Arial" w:cs="Arial" w:eastAsia="Arial" w:hAnsi="Arial"/>
                <w:sz w:val="17"/>
                <w:szCs w:val="17"/>
                <w:color w:val="auto"/>
              </w:rPr>
              <w:t>​ ​ ​</w:t>
            </w:r>
          </w:p>
        </w:tc>
        <w:tc>
          <w:tcPr>
            <w:tcW w:w="220" w:type="dxa"/>
            <w:vAlign w:val="bottom"/>
            <w:vMerge w:val="restart"/>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84"/>
              <w:spacing w:after="0" w:line="188" w:lineRule="exact"/>
              <w:rPr>
                <w:sz w:val="20"/>
                <w:szCs w:val="20"/>
                <w:color w:val="auto"/>
              </w:rPr>
            </w:pPr>
            <w:r>
              <w:rPr>
                <w:rFonts w:ascii="Arial" w:cs="Arial" w:eastAsia="Arial" w:hAnsi="Arial"/>
                <w:sz w:val="17"/>
                <w:szCs w:val="17"/>
                <w:color w:val="auto"/>
              </w:rPr>
              <w:t>​132</w:t>
            </w:r>
          </w:p>
        </w:tc>
        <w:tc>
          <w:tcPr>
            <w:tcW w:w="320" w:type="dxa"/>
            <w:vAlign w:val="bottom"/>
            <w:gridSpan w:val="2"/>
            <w:vMerge w:val="restart"/>
          </w:tcPr>
          <w:p>
            <w:pPr>
              <w:ind w:left="20"/>
              <w:spacing w:after="0"/>
              <w:rPr>
                <w:sz w:val="20"/>
                <w:szCs w:val="20"/>
                <w:color w:val="auto"/>
              </w:rPr>
            </w:pPr>
            <w:r>
              <w:rPr>
                <w:rFonts w:ascii="Arial" w:cs="Arial" w:eastAsia="Arial" w:hAnsi="Arial"/>
                <w:sz w:val="17"/>
                <w:szCs w:val="17"/>
                <w:color w:val="auto"/>
              </w:rPr>
              <w:t>​​ ​​</w:t>
            </w:r>
          </w:p>
        </w:tc>
        <w:tc>
          <w:tcPr>
            <w:tcW w:w="60" w:type="dxa"/>
            <w:vAlign w:val="bottom"/>
          </w:tcPr>
          <w:p>
            <w:pPr>
              <w:spacing w:after="0" w:line="188"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88" w:lineRule="exact"/>
              <w:rPr>
                <w:sz w:val="20"/>
                <w:szCs w:val="20"/>
                <w:color w:val="auto"/>
              </w:rPr>
            </w:pPr>
            <w:r>
              <w:rPr>
                <w:rFonts w:ascii="Arial" w:cs="Arial" w:eastAsia="Arial" w:hAnsi="Arial"/>
                <w:sz w:val="17"/>
                <w:szCs w:val="17"/>
                <w:color w:val="auto"/>
              </w:rPr>
              <w:t>116,182</w:t>
            </w: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 ​ ​</w:t>
            </w:r>
          </w:p>
        </w:tc>
        <w:tc>
          <w:tcPr>
            <w:tcW w:w="760" w:type="dxa"/>
            <w:vAlign w:val="bottom"/>
          </w:tcPr>
          <w:p>
            <w:pPr>
              <w:ind w:left="20"/>
              <w:spacing w:after="0" w:line="188" w:lineRule="exact"/>
              <w:rPr>
                <w:sz w:val="20"/>
                <w:szCs w:val="20"/>
                <w:color w:val="auto"/>
              </w:rPr>
            </w:pPr>
            <w:r>
              <w:rPr>
                <w:rFonts w:ascii="Arial" w:cs="Arial" w:eastAsia="Arial" w:hAnsi="Arial"/>
                <w:sz w:val="17"/>
                <w:szCs w:val="17"/>
                <w:color w:val="auto"/>
              </w:rPr>
              <w:t>​ 481,229</w:t>
            </w:r>
          </w:p>
        </w:tc>
        <w:tc>
          <w:tcPr>
            <w:tcW w:w="10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5"/>
        </w:trPr>
        <w:tc>
          <w:tcPr>
            <w:tcW w:w="540" w:type="dxa"/>
            <w:vAlign w:val="bottom"/>
          </w:tcPr>
          <w:p>
            <w:pPr>
              <w:ind w:left="40"/>
              <w:spacing w:after="0" w:line="65" w:lineRule="exact"/>
              <w:rPr>
                <w:sz w:val="20"/>
                <w:szCs w:val="20"/>
                <w:color w:val="auto"/>
              </w:rPr>
            </w:pPr>
            <w:r>
              <w:rPr>
                <w:rFonts w:ascii="Arial" w:cs="Arial" w:eastAsia="Arial" w:hAnsi="Arial"/>
                <w:sz w:val="6"/>
                <w:szCs w:val="6"/>
                <w:color w:val="auto"/>
              </w:rPr>
              <w:t>​</w:t>
            </w:r>
          </w:p>
        </w:tc>
        <w:tc>
          <w:tcPr>
            <w:tcW w:w="28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line="65" w:lineRule="exact"/>
              <w:rPr>
                <w:sz w:val="20"/>
                <w:szCs w:val="20"/>
                <w:color w:val="auto"/>
              </w:rPr>
            </w:pPr>
            <w:r>
              <w:rPr>
                <w:rFonts w:ascii="Arial" w:cs="Arial" w:eastAsia="Arial" w:hAnsi="Arial"/>
                <w:sz w:val="6"/>
                <w:szCs w:val="6"/>
                <w:color w:val="auto"/>
              </w:rPr>
              <w:t>​​ ​​</w:t>
            </w:r>
          </w:p>
        </w:tc>
        <w:tc>
          <w:tcPr>
            <w:tcW w:w="8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gridSpan w:val="2"/>
          </w:tcPr>
          <w:p>
            <w:pPr>
              <w:jc w:val="right"/>
              <w:spacing w:after="0" w:line="65" w:lineRule="exact"/>
              <w:rPr>
                <w:sz w:val="20"/>
                <w:szCs w:val="20"/>
                <w:color w:val="auto"/>
              </w:rPr>
            </w:pPr>
            <w:r>
              <w:rPr>
                <w:rFonts w:ascii="Arial" w:cs="Arial" w:eastAsia="Arial" w:hAnsi="Arial"/>
                <w:sz w:val="6"/>
                <w:szCs w:val="6"/>
                <w:color w:val="auto"/>
              </w:rPr>
              <w:t>​​ ​</w:t>
            </w:r>
          </w:p>
        </w:tc>
        <w:tc>
          <w:tcPr>
            <w:tcW w:w="1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7B8FAA"/>
          </w:tcPr>
          <w:p>
            <w:pPr>
              <w:spacing w:after="0" w:line="20" w:lineRule="exact"/>
              <w:rPr>
                <w:sz w:val="1"/>
                <w:szCs w:val="1"/>
                <w:color w:val="auto"/>
              </w:rPr>
            </w:pPr>
          </w:p>
        </w:tc>
        <w:tc>
          <w:tcPr>
            <w:tcW w:w="4680" w:type="dxa"/>
            <w:vAlign w:val="bottom"/>
            <w:gridSpan w:val="10"/>
            <w:shd w:val="clear" w:color="auto" w:fill="7B8FAA"/>
          </w:tcPr>
          <w:p>
            <w:pPr>
              <w:spacing w:after="0" w:line="20" w:lineRule="exact"/>
              <w:rPr>
                <w:sz w:val="1"/>
                <w:szCs w:val="1"/>
                <w:color w:val="auto"/>
              </w:rPr>
            </w:pPr>
          </w:p>
        </w:tc>
        <w:tc>
          <w:tcPr>
            <w:tcW w:w="140" w:type="dxa"/>
            <w:vAlign w:val="bottom"/>
            <w:shd w:val="clear" w:color="auto" w:fill="7B8FAA"/>
          </w:tcPr>
          <w:p>
            <w:pPr>
              <w:spacing w:after="0" w:line="20" w:lineRule="exact"/>
              <w:rPr>
                <w:sz w:val="1"/>
                <w:szCs w:val="1"/>
                <w:color w:val="auto"/>
              </w:rPr>
            </w:pPr>
          </w:p>
        </w:tc>
        <w:tc>
          <w:tcPr>
            <w:tcW w:w="180" w:type="dxa"/>
            <w:vAlign w:val="bottom"/>
            <w:shd w:val="clear" w:color="auto" w:fill="7B8FAA"/>
          </w:tcPr>
          <w:p>
            <w:pPr>
              <w:spacing w:after="0" w:line="20" w:lineRule="exact"/>
              <w:rPr>
                <w:sz w:val="1"/>
                <w:szCs w:val="1"/>
                <w:color w:val="auto"/>
              </w:rPr>
            </w:pPr>
          </w:p>
        </w:tc>
        <w:tc>
          <w:tcPr>
            <w:tcW w:w="560" w:type="dxa"/>
            <w:vAlign w:val="bottom"/>
            <w:gridSpan w:val="2"/>
            <w:shd w:val="clear" w:color="auto" w:fill="7B8FAA"/>
          </w:tcPr>
          <w:p>
            <w:pPr>
              <w:spacing w:after="0" w:line="20" w:lineRule="exact"/>
              <w:rPr>
                <w:sz w:val="1"/>
                <w:szCs w:val="1"/>
                <w:color w:val="auto"/>
              </w:rPr>
            </w:pPr>
          </w:p>
        </w:tc>
        <w:tc>
          <w:tcPr>
            <w:tcW w:w="240" w:type="dxa"/>
            <w:vAlign w:val="bottom"/>
            <w:shd w:val="clear" w:color="auto" w:fill="7B8FAA"/>
          </w:tcPr>
          <w:p>
            <w:pPr>
              <w:spacing w:after="0" w:line="20" w:lineRule="exact"/>
              <w:rPr>
                <w:sz w:val="1"/>
                <w:szCs w:val="1"/>
                <w:color w:val="auto"/>
              </w:rPr>
            </w:pPr>
          </w:p>
        </w:tc>
        <w:tc>
          <w:tcPr>
            <w:tcW w:w="220" w:type="dxa"/>
            <w:vAlign w:val="bottom"/>
            <w:shd w:val="clear" w:color="auto" w:fill="7B8FAA"/>
          </w:tcPr>
          <w:p>
            <w:pPr>
              <w:spacing w:after="0" w:line="20" w:lineRule="exact"/>
              <w:rPr>
                <w:sz w:val="1"/>
                <w:szCs w:val="1"/>
                <w:color w:val="auto"/>
              </w:rPr>
            </w:pPr>
          </w:p>
        </w:tc>
        <w:tc>
          <w:tcPr>
            <w:tcW w:w="560" w:type="dxa"/>
            <w:vAlign w:val="bottom"/>
            <w:shd w:val="clear" w:color="auto" w:fill="7B8FAA"/>
          </w:tcPr>
          <w:p>
            <w:pPr>
              <w:spacing w:after="0" w:line="20" w:lineRule="exact"/>
              <w:rPr>
                <w:sz w:val="1"/>
                <w:szCs w:val="1"/>
                <w:color w:val="auto"/>
              </w:rPr>
            </w:pPr>
          </w:p>
        </w:tc>
        <w:tc>
          <w:tcPr>
            <w:tcW w:w="100" w:type="dxa"/>
            <w:vAlign w:val="bottom"/>
            <w:shd w:val="clear" w:color="auto" w:fill="7B8FAA"/>
          </w:tcPr>
          <w:p>
            <w:pPr>
              <w:spacing w:after="0" w:line="20" w:lineRule="exact"/>
              <w:rPr>
                <w:sz w:val="1"/>
                <w:szCs w:val="1"/>
                <w:color w:val="auto"/>
              </w:rPr>
            </w:pPr>
          </w:p>
        </w:tc>
        <w:tc>
          <w:tcPr>
            <w:tcW w:w="280" w:type="dxa"/>
            <w:vAlign w:val="bottom"/>
            <w:gridSpan w:val="2"/>
            <w:shd w:val="clear" w:color="auto" w:fill="7B8FAA"/>
          </w:tcPr>
          <w:p>
            <w:pPr>
              <w:spacing w:after="0" w:line="20" w:lineRule="exact"/>
              <w:rPr>
                <w:sz w:val="1"/>
                <w:szCs w:val="1"/>
                <w:color w:val="auto"/>
              </w:rPr>
            </w:pPr>
          </w:p>
        </w:tc>
        <w:tc>
          <w:tcPr>
            <w:tcW w:w="1860" w:type="dxa"/>
            <w:vAlign w:val="bottom"/>
            <w:gridSpan w:val="4"/>
            <w:shd w:val="clear" w:color="auto" w:fill="7B8FA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40" w:type="dxa"/>
            <w:vAlign w:val="bottom"/>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2020</w:t>
            </w:r>
          </w:p>
        </w:tc>
        <w:tc>
          <w:tcPr>
            <w:tcW w:w="4820" w:type="dxa"/>
            <w:vAlign w:val="bottom"/>
            <w:gridSpan w:val="11"/>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​17,204,248</w:t>
            </w:r>
            <w:r>
              <w:rPr>
                <w:rFonts w:ascii="Arial" w:cs="Arial" w:eastAsia="Arial" w:hAnsi="Arial"/>
                <w:sz w:val="29"/>
                <w:szCs w:val="29"/>
                <w:color w:val="auto"/>
                <w:vertAlign w:val="subscript"/>
              </w:rPr>
              <w:t>​​​​</w:t>
            </w:r>
            <w:r>
              <w:rPr>
                <w:rFonts w:ascii="Arial" w:cs="Arial" w:eastAsia="Arial" w:hAnsi="Arial"/>
                <w:sz w:val="16"/>
                <w:szCs w:val="16"/>
                <w:color w:val="auto"/>
              </w:rPr>
              <w:t xml:space="preserve"> ​22,420,874</w:t>
            </w:r>
            <w:r>
              <w:rPr>
                <w:rFonts w:ascii="Arial" w:cs="Arial" w:eastAsia="Arial" w:hAnsi="Arial"/>
                <w:sz w:val="29"/>
                <w:szCs w:val="29"/>
                <w:color w:val="auto"/>
                <w:vertAlign w:val="subscript"/>
              </w:rPr>
              <w:t>​​ ​​</w:t>
            </w:r>
            <w:r>
              <w:rPr>
                <w:rFonts w:ascii="Arial" w:cs="Arial" w:eastAsia="Arial" w:hAnsi="Arial"/>
                <w:sz w:val="16"/>
                <w:szCs w:val="16"/>
                <w:color w:val="auto"/>
              </w:rPr>
              <w:t xml:space="preserve"> ​ 5,012,582</w:t>
            </w:r>
            <w:r>
              <w:rPr>
                <w:rFonts w:ascii="Arial" w:cs="Arial" w:eastAsia="Arial" w:hAnsi="Arial"/>
                <w:sz w:val="29"/>
                <w:szCs w:val="29"/>
                <w:color w:val="auto"/>
                <w:vertAlign w:val="subscript"/>
              </w:rPr>
              <w:t>​​ ​​</w:t>
            </w:r>
            <w:r>
              <w:rPr>
                <w:rFonts w:ascii="Arial" w:cs="Arial" w:eastAsia="Arial" w:hAnsi="Arial"/>
                <w:sz w:val="16"/>
                <w:szCs w:val="16"/>
                <w:color w:val="auto"/>
              </w:rPr>
              <w:t xml:space="preserve"> ​14,102,915</w:t>
            </w:r>
            <w:r>
              <w:rPr>
                <w:rFonts w:ascii="Arial" w:cs="Arial" w:eastAsia="Arial" w:hAnsi="Arial"/>
                <w:sz w:val="29"/>
                <w:szCs w:val="29"/>
                <w:color w:val="auto"/>
                <w:vertAlign w:val="subscript"/>
              </w:rPr>
              <w:t>​​ ​</w:t>
            </w:r>
          </w:p>
        </w:tc>
        <w:tc>
          <w:tcPr>
            <w:tcW w:w="180" w:type="dxa"/>
            <w:vAlign w:val="bottom"/>
          </w:tcPr>
          <w:p>
            <w:pPr>
              <w:ind w:left="12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73"/>
              <w:spacing w:after="0"/>
              <w:rPr>
                <w:sz w:val="20"/>
                <w:szCs w:val="20"/>
                <w:color w:val="auto"/>
              </w:rPr>
            </w:pPr>
            <w:r>
              <w:rPr>
                <w:rFonts w:ascii="Arial" w:cs="Arial" w:eastAsia="Arial" w:hAnsi="Arial"/>
                <w:sz w:val="17"/>
                <w:szCs w:val="17"/>
                <w:color w:val="auto"/>
              </w:rPr>
              <w:t>​109</w:t>
            </w:r>
          </w:p>
        </w:tc>
        <w:tc>
          <w:tcPr>
            <w:tcW w:w="240" w:type="dxa"/>
            <w:vAlign w:val="bottom"/>
          </w:tcPr>
          <w:p>
            <w:pPr>
              <w:jc w:val="center"/>
              <w:spacing w:after="0"/>
              <w:rPr>
                <w:sz w:val="20"/>
                <w:szCs w:val="20"/>
                <w:color w:val="auto"/>
              </w:rPr>
            </w:pPr>
            <w:r>
              <w:rPr>
                <w:rFonts w:ascii="Arial" w:cs="Arial" w:eastAsia="Arial" w:hAnsi="Arial"/>
                <w:sz w:val="17"/>
                <w:szCs w:val="17"/>
                <w:color w:val="auto"/>
              </w:rPr>
              <w:t>​ ​ ​</w:t>
            </w:r>
          </w:p>
        </w:tc>
        <w:tc>
          <w:tcPr>
            <w:tcW w:w="220" w:type="dxa"/>
            <w:vAlign w:val="bottom"/>
          </w:tcPr>
          <w:p>
            <w:pPr>
              <w:ind w:left="1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84"/>
              <w:spacing w:after="0"/>
              <w:rPr>
                <w:sz w:val="20"/>
                <w:szCs w:val="20"/>
                <w:color w:val="auto"/>
              </w:rPr>
            </w:pPr>
            <w:r>
              <w:rPr>
                <w:rFonts w:ascii="Arial" w:cs="Arial" w:eastAsia="Arial" w:hAnsi="Arial"/>
                <w:sz w:val="17"/>
                <w:szCs w:val="17"/>
                <w:color w:val="auto"/>
              </w:rPr>
              <w:t>​105</w:t>
            </w:r>
          </w:p>
        </w:tc>
        <w:tc>
          <w:tcPr>
            <w:tcW w:w="380" w:type="dxa"/>
            <w:vAlign w:val="bottom"/>
            <w:gridSpan w:val="3"/>
          </w:tcPr>
          <w:p>
            <w:pPr>
              <w:ind w:left="20"/>
              <w:spacing w:after="0" w:line="252" w:lineRule="exact"/>
              <w:rPr>
                <w:sz w:val="20"/>
                <w:szCs w:val="20"/>
                <w:color w:val="auto"/>
              </w:rPr>
            </w:pPr>
            <w:r>
              <w:rPr>
                <w:rFonts w:ascii="Arial" w:cs="Arial" w:eastAsia="Arial" w:hAnsi="Arial"/>
                <w:sz w:val="16"/>
                <w:szCs w:val="16"/>
                <w:color w:val="auto"/>
              </w:rPr>
              <w:t xml:space="preserve">​​ ​​ </w:t>
            </w:r>
            <w:r>
              <w:rPr>
                <w:rFonts w:ascii="Arial" w:cs="Arial" w:eastAsia="Arial" w:hAnsi="Arial"/>
                <w:sz w:val="29"/>
                <w:szCs w:val="29"/>
                <w:color w:val="auto"/>
                <w:vertAlign w:val="superscript"/>
              </w:rPr>
              <w:t>​</w:t>
            </w:r>
          </w:p>
        </w:tc>
        <w:tc>
          <w:tcPr>
            <w:tcW w:w="1880" w:type="dxa"/>
            <w:vAlign w:val="bottom"/>
            <w:gridSpan w:val="5"/>
          </w:tcPr>
          <w:p>
            <w:pPr>
              <w:jc w:val="right"/>
              <w:spacing w:after="0" w:line="252" w:lineRule="exact"/>
              <w:rPr>
                <w:sz w:val="20"/>
                <w:szCs w:val="20"/>
                <w:color w:val="auto"/>
              </w:rPr>
            </w:pPr>
            <w:r>
              <w:rPr>
                <w:rFonts w:ascii="Arial" w:cs="Arial" w:eastAsia="Arial" w:hAnsi="Arial"/>
                <w:sz w:val="16"/>
                <w:szCs w:val="16"/>
                <w:color w:val="auto"/>
              </w:rPr>
              <w:t>(38,617)</w:t>
            </w:r>
            <w:r>
              <w:rPr>
                <w:rFonts w:ascii="Arial" w:cs="Arial" w:eastAsia="Arial" w:hAnsi="Arial"/>
                <w:sz w:val="29"/>
                <w:szCs w:val="29"/>
                <w:color w:val="auto"/>
                <w:vertAlign w:val="subscript"/>
              </w:rPr>
              <w:t>​​ ​ ​</w:t>
            </w:r>
            <w:r>
              <w:rPr>
                <w:rFonts w:ascii="Arial" w:cs="Arial" w:eastAsia="Arial" w:hAnsi="Arial"/>
                <w:sz w:val="16"/>
                <w:szCs w:val="16"/>
                <w:color w:val="auto"/>
              </w:rPr>
              <w:t xml:space="preserve"> ​ 419,859 </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0"/>
        </w:trPr>
        <w:tc>
          <w:tcPr>
            <w:tcW w:w="54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900" w:type="dxa"/>
            <w:vAlign w:val="bottom"/>
            <w:shd w:val="clear" w:color="auto" w:fill="435F86"/>
          </w:tcPr>
          <w:p>
            <w:pPr>
              <w:spacing w:after="0" w:line="20" w:lineRule="exact"/>
              <w:rPr>
                <w:sz w:val="1"/>
                <w:szCs w:val="1"/>
                <w:color w:val="auto"/>
              </w:rPr>
            </w:pPr>
          </w:p>
        </w:tc>
        <w:tc>
          <w:tcPr>
            <w:tcW w:w="240" w:type="dxa"/>
            <w:vAlign w:val="bottom"/>
            <w:shd w:val="clear" w:color="auto" w:fill="435F86"/>
          </w:tcPr>
          <w:p>
            <w:pPr>
              <w:spacing w:after="0" w:line="20" w:lineRule="exact"/>
              <w:rPr>
                <w:sz w:val="1"/>
                <w:szCs w:val="1"/>
                <w:color w:val="auto"/>
              </w:rPr>
            </w:pPr>
          </w:p>
        </w:tc>
        <w:tc>
          <w:tcPr>
            <w:tcW w:w="880" w:type="dxa"/>
            <w:vAlign w:val="bottom"/>
            <w:shd w:val="clear" w:color="auto" w:fill="435F86"/>
          </w:tcPr>
          <w:p>
            <w:pPr>
              <w:spacing w:after="0" w:line="20" w:lineRule="exact"/>
              <w:rPr>
                <w:sz w:val="1"/>
                <w:szCs w:val="1"/>
                <w:color w:val="auto"/>
              </w:rPr>
            </w:pPr>
          </w:p>
        </w:tc>
        <w:tc>
          <w:tcPr>
            <w:tcW w:w="260" w:type="dxa"/>
            <w:vAlign w:val="bottom"/>
            <w:shd w:val="clear" w:color="auto" w:fill="435F86"/>
          </w:tcPr>
          <w:p>
            <w:pPr>
              <w:spacing w:after="0" w:line="20" w:lineRule="exact"/>
              <w:rPr>
                <w:sz w:val="1"/>
                <w:szCs w:val="1"/>
                <w:color w:val="auto"/>
              </w:rPr>
            </w:pPr>
          </w:p>
        </w:tc>
        <w:tc>
          <w:tcPr>
            <w:tcW w:w="86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80" w:type="dxa"/>
            <w:vAlign w:val="bottom"/>
            <w:shd w:val="clear" w:color="auto" w:fill="435F86"/>
          </w:tcPr>
          <w:p>
            <w:pPr>
              <w:spacing w:after="0" w:line="20" w:lineRule="exact"/>
              <w:rPr>
                <w:sz w:val="1"/>
                <w:szCs w:val="1"/>
                <w:color w:val="auto"/>
              </w:rPr>
            </w:pPr>
          </w:p>
        </w:tc>
        <w:tc>
          <w:tcPr>
            <w:tcW w:w="820" w:type="dxa"/>
            <w:vAlign w:val="bottom"/>
            <w:shd w:val="clear" w:color="auto" w:fill="435F86"/>
          </w:tcPr>
          <w:p>
            <w:pPr>
              <w:spacing w:after="0" w:line="20" w:lineRule="exact"/>
              <w:rPr>
                <w:sz w:val="1"/>
                <w:szCs w:val="1"/>
                <w:color w:val="auto"/>
              </w:rPr>
            </w:pPr>
          </w:p>
        </w:tc>
        <w:tc>
          <w:tcPr>
            <w:tcW w:w="80" w:type="dxa"/>
            <w:vAlign w:val="bottom"/>
            <w:shd w:val="clear" w:color="auto" w:fill="435F86"/>
          </w:tcPr>
          <w:p>
            <w:pPr>
              <w:spacing w:after="0" w:line="20" w:lineRule="exact"/>
              <w:rPr>
                <w:sz w:val="1"/>
                <w:szCs w:val="1"/>
                <w:color w:val="auto"/>
              </w:rPr>
            </w:pPr>
          </w:p>
        </w:tc>
        <w:tc>
          <w:tcPr>
            <w:tcW w:w="140" w:type="dxa"/>
            <w:vAlign w:val="bottom"/>
            <w:shd w:val="clear" w:color="auto" w:fill="435F86"/>
          </w:tcPr>
          <w:p>
            <w:pPr>
              <w:spacing w:after="0" w:line="20" w:lineRule="exact"/>
              <w:rPr>
                <w:sz w:val="1"/>
                <w:szCs w:val="1"/>
                <w:color w:val="auto"/>
              </w:rPr>
            </w:pPr>
          </w:p>
        </w:tc>
        <w:tc>
          <w:tcPr>
            <w:tcW w:w="180" w:type="dxa"/>
            <w:vAlign w:val="bottom"/>
            <w:shd w:val="clear" w:color="auto" w:fill="435F86"/>
          </w:tcPr>
          <w:p>
            <w:pPr>
              <w:spacing w:after="0" w:line="20" w:lineRule="exact"/>
              <w:rPr>
                <w:sz w:val="1"/>
                <w:szCs w:val="1"/>
                <w:color w:val="auto"/>
              </w:rPr>
            </w:pPr>
          </w:p>
        </w:tc>
        <w:tc>
          <w:tcPr>
            <w:tcW w:w="160" w:type="dxa"/>
            <w:vAlign w:val="bottom"/>
            <w:shd w:val="clear" w:color="auto" w:fill="435F86"/>
          </w:tcPr>
          <w:p>
            <w:pPr>
              <w:spacing w:after="0" w:line="20" w:lineRule="exact"/>
              <w:rPr>
                <w:sz w:val="1"/>
                <w:szCs w:val="1"/>
                <w:color w:val="auto"/>
              </w:rPr>
            </w:pPr>
          </w:p>
        </w:tc>
        <w:tc>
          <w:tcPr>
            <w:tcW w:w="400" w:type="dxa"/>
            <w:vAlign w:val="bottom"/>
            <w:shd w:val="clear" w:color="auto" w:fill="435F86"/>
          </w:tcPr>
          <w:p>
            <w:pPr>
              <w:spacing w:after="0" w:line="20" w:lineRule="exact"/>
              <w:rPr>
                <w:sz w:val="1"/>
                <w:szCs w:val="1"/>
                <w:color w:val="auto"/>
              </w:rPr>
            </w:pPr>
          </w:p>
        </w:tc>
        <w:tc>
          <w:tcPr>
            <w:tcW w:w="240" w:type="dxa"/>
            <w:vAlign w:val="bottom"/>
            <w:shd w:val="clear" w:color="auto" w:fill="435F86"/>
          </w:tcPr>
          <w:p>
            <w:pPr>
              <w:spacing w:after="0" w:line="20" w:lineRule="exact"/>
              <w:rPr>
                <w:sz w:val="1"/>
                <w:szCs w:val="1"/>
                <w:color w:val="auto"/>
              </w:rPr>
            </w:pPr>
          </w:p>
        </w:tc>
        <w:tc>
          <w:tcPr>
            <w:tcW w:w="220" w:type="dxa"/>
            <w:vAlign w:val="bottom"/>
            <w:shd w:val="clear" w:color="auto" w:fill="435F86"/>
          </w:tcPr>
          <w:p>
            <w:pPr>
              <w:spacing w:after="0" w:line="20" w:lineRule="exact"/>
              <w:rPr>
                <w:sz w:val="1"/>
                <w:szCs w:val="1"/>
                <w:color w:val="auto"/>
              </w:rPr>
            </w:pPr>
          </w:p>
        </w:tc>
        <w:tc>
          <w:tcPr>
            <w:tcW w:w="560" w:type="dxa"/>
            <w:vAlign w:val="bottom"/>
            <w:shd w:val="clear" w:color="auto" w:fill="435F86"/>
          </w:tcPr>
          <w:p>
            <w:pPr>
              <w:spacing w:after="0" w:line="20" w:lineRule="exact"/>
              <w:rPr>
                <w:sz w:val="1"/>
                <w:szCs w:val="1"/>
                <w:color w:val="auto"/>
              </w:rPr>
            </w:pPr>
          </w:p>
        </w:tc>
        <w:tc>
          <w:tcPr>
            <w:tcW w:w="100" w:type="dxa"/>
            <w:vAlign w:val="bottom"/>
            <w:shd w:val="clear" w:color="auto" w:fill="435F86"/>
          </w:tcPr>
          <w:p>
            <w:pPr>
              <w:spacing w:after="0" w:line="20" w:lineRule="exact"/>
              <w:rPr>
                <w:sz w:val="1"/>
                <w:szCs w:val="1"/>
                <w:color w:val="auto"/>
              </w:rPr>
            </w:pPr>
          </w:p>
        </w:tc>
        <w:tc>
          <w:tcPr>
            <w:tcW w:w="220" w:type="dxa"/>
            <w:vAlign w:val="bottom"/>
            <w:shd w:val="clear" w:color="auto" w:fill="435F86"/>
          </w:tcPr>
          <w:p>
            <w:pPr>
              <w:spacing w:after="0" w:line="20" w:lineRule="exact"/>
              <w:rPr>
                <w:sz w:val="1"/>
                <w:szCs w:val="1"/>
                <w:color w:val="auto"/>
              </w:rPr>
            </w:pPr>
          </w:p>
        </w:tc>
        <w:tc>
          <w:tcPr>
            <w:tcW w:w="60" w:type="dxa"/>
            <w:vAlign w:val="bottom"/>
            <w:shd w:val="clear" w:color="auto" w:fill="435F86"/>
          </w:tcPr>
          <w:p>
            <w:pPr>
              <w:spacing w:after="0" w:line="20" w:lineRule="exact"/>
              <w:rPr>
                <w:sz w:val="1"/>
                <w:szCs w:val="1"/>
                <w:color w:val="auto"/>
              </w:rPr>
            </w:pPr>
          </w:p>
        </w:tc>
        <w:tc>
          <w:tcPr>
            <w:tcW w:w="700" w:type="dxa"/>
            <w:vAlign w:val="bottom"/>
            <w:shd w:val="clear" w:color="auto" w:fill="435F86"/>
          </w:tcPr>
          <w:p>
            <w:pPr>
              <w:spacing w:after="0" w:line="20" w:lineRule="exact"/>
              <w:rPr>
                <w:sz w:val="1"/>
                <w:szCs w:val="1"/>
                <w:color w:val="auto"/>
              </w:rPr>
            </w:pPr>
          </w:p>
        </w:tc>
        <w:tc>
          <w:tcPr>
            <w:tcW w:w="320" w:type="dxa"/>
            <w:vAlign w:val="bottom"/>
            <w:shd w:val="clear" w:color="auto" w:fill="435F86"/>
          </w:tcPr>
          <w:p>
            <w:pPr>
              <w:spacing w:after="0" w:line="20" w:lineRule="exact"/>
              <w:rPr>
                <w:sz w:val="1"/>
                <w:szCs w:val="1"/>
                <w:color w:val="auto"/>
              </w:rPr>
            </w:pPr>
          </w:p>
        </w:tc>
        <w:tc>
          <w:tcPr>
            <w:tcW w:w="760" w:type="dxa"/>
            <w:vAlign w:val="bottom"/>
            <w:shd w:val="clear" w:color="auto" w:fill="435F86"/>
          </w:tcPr>
          <w:p>
            <w:pPr>
              <w:spacing w:after="0" w:line="20" w:lineRule="exact"/>
              <w:rPr>
                <w:sz w:val="1"/>
                <w:szCs w:val="1"/>
                <w:color w:val="auto"/>
              </w:rPr>
            </w:pPr>
          </w:p>
        </w:tc>
        <w:tc>
          <w:tcPr>
            <w:tcW w:w="80" w:type="dxa"/>
            <w:vAlign w:val="bottom"/>
            <w:shd w:val="clear" w:color="auto" w:fill="435F8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-873125</wp:posOffset>
            </wp:positionV>
            <wp:extent cx="5942330" cy="1733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42330" cy="1733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-527050</wp:posOffset>
            </wp:positionV>
            <wp:extent cx="5942330" cy="1733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42330" cy="1733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-180975</wp:posOffset>
            </wp:positionV>
            <wp:extent cx="5942330" cy="1733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42330" cy="173355"/>
                    </a:xfrm>
                    <a:prstGeom prst="rect">
                      <a:avLst/>
                    </a:prstGeom>
                    <a:noFill/>
                  </pic:spPr>
                </pic:pic>
              </a:graphicData>
            </a:graphic>
          </wp:anchor>
        </w:drawing>
      </w:r>
    </w:p>
    <w:p>
      <w:pPr>
        <w:spacing w:after="0" w:line="197" w:lineRule="exact"/>
        <w:rPr>
          <w:sz w:val="20"/>
          <w:szCs w:val="20"/>
          <w:color w:val="auto"/>
        </w:rPr>
      </w:pPr>
    </w:p>
    <w:p>
      <w:pPr>
        <w:ind w:left="1120" w:right="540" w:hanging="337"/>
        <w:spacing w:after="0" w:line="275" w:lineRule="auto"/>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Chief Executive Officer (“CEO”) in all five reporting years is Michael B. Petras, Jr.; reflects compensation amounts reported in the Summary Compensation Table (“SCT”) for Mr. Petras for the years ended December 31, 2024, 2023, 2022, 2021 and 2020, respectively.</w:t>
      </w:r>
    </w:p>
    <w:p>
      <w:pPr>
        <w:spacing w:after="0" w:line="54" w:lineRule="exact"/>
        <w:rPr>
          <w:rFonts w:ascii="Arial" w:cs="Arial" w:eastAsia="Arial" w:hAnsi="Arial"/>
          <w:sz w:val="17"/>
          <w:szCs w:val="17"/>
          <w:color w:val="auto"/>
        </w:rPr>
      </w:pPr>
    </w:p>
    <w:p>
      <w:pPr>
        <w:ind w:left="1120" w:right="820" w:hanging="337"/>
        <w:spacing w:after="0" w:line="295" w:lineRule="auto"/>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“Compensation actually paid” (“CAP”)​ to our CEO in 2024, 2023, 2022, 2021 and 2020 reflects the respective amounts in the SCT, adjusted as required pursuant to Item 402(v) of Regulation S-K.</w:t>
      </w:r>
    </w:p>
    <w:p>
      <w:pPr>
        <w:spacing w:after="0" w:line="38" w:lineRule="exact"/>
        <w:rPr>
          <w:rFonts w:ascii="Arial" w:cs="Arial" w:eastAsia="Arial" w:hAnsi="Arial"/>
          <w:sz w:val="17"/>
          <w:szCs w:val="17"/>
          <w:color w:val="auto"/>
        </w:rPr>
      </w:pPr>
    </w:p>
    <w:p>
      <w:pPr>
        <w:ind w:left="1120" w:hanging="337"/>
        <w:spacing w:after="0"/>
        <w:tabs>
          <w:tab w:leader="none" w:pos="11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following non-CEO PVP NEOs are included in the average figures shown:</w:t>
      </w:r>
    </w:p>
    <w:p>
      <w:pPr>
        <w:spacing w:after="0" w:line="154" w:lineRule="exact"/>
        <w:rPr>
          <w:rFonts w:ascii="Arial" w:cs="Arial" w:eastAsia="Arial" w:hAnsi="Arial"/>
          <w:sz w:val="17"/>
          <w:szCs w:val="17"/>
          <w:color w:val="auto"/>
        </w:rPr>
      </w:pPr>
    </w:p>
    <w:p>
      <w:pPr>
        <w:ind w:left="1480" w:hanging="351"/>
        <w:spacing w:after="0"/>
        <w:tabs>
          <w:tab w:leader="none" w:pos="1480" w:val="left"/>
        </w:tabs>
        <w:numPr>
          <w:ilvl w:val="1"/>
          <w:numId w:val="56"/>
        </w:numPr>
        <w:rPr>
          <w:rFonts w:ascii="Arial" w:cs="Arial" w:eastAsia="Arial" w:hAnsi="Arial"/>
          <w:sz w:val="17"/>
          <w:szCs w:val="17"/>
          <w:color w:val="435F86"/>
        </w:rPr>
      </w:pPr>
      <w:r>
        <w:rPr>
          <w:rFonts w:ascii="Arial" w:cs="Arial" w:eastAsia="Arial" w:hAnsi="Arial"/>
          <w:sz w:val="17"/>
          <w:szCs w:val="17"/>
          <w:color w:val="auto"/>
        </w:rPr>
        <w:t>2020: Michael Rutz, Scott Leffler</w:t>
      </w:r>
    </w:p>
    <w:p>
      <w:pPr>
        <w:spacing w:after="0" w:line="141" w:lineRule="exact"/>
        <w:rPr>
          <w:rFonts w:ascii="Arial" w:cs="Arial" w:eastAsia="Arial" w:hAnsi="Arial"/>
          <w:sz w:val="17"/>
          <w:szCs w:val="17"/>
          <w:color w:val="435F86"/>
        </w:rPr>
      </w:pPr>
    </w:p>
    <w:p>
      <w:pPr>
        <w:ind w:left="1480" w:hanging="351"/>
        <w:spacing w:after="0"/>
        <w:tabs>
          <w:tab w:leader="none" w:pos="1480" w:val="left"/>
        </w:tabs>
        <w:numPr>
          <w:ilvl w:val="1"/>
          <w:numId w:val="56"/>
        </w:numPr>
        <w:rPr>
          <w:rFonts w:ascii="Arial" w:cs="Arial" w:eastAsia="Arial" w:hAnsi="Arial"/>
          <w:sz w:val="17"/>
          <w:szCs w:val="17"/>
          <w:color w:val="435F86"/>
        </w:rPr>
      </w:pPr>
      <w:r>
        <w:rPr>
          <w:rFonts w:ascii="Arial" w:cs="Arial" w:eastAsia="Arial" w:hAnsi="Arial"/>
          <w:sz w:val="17"/>
          <w:szCs w:val="17"/>
          <w:color w:val="auto"/>
        </w:rPr>
        <w:t>2021: Michael Rutz, Scott Leffler, Terrence Hammons, Matthew Klaben</w:t>
      </w:r>
    </w:p>
    <w:p>
      <w:pPr>
        <w:spacing w:after="0" w:line="129" w:lineRule="exact"/>
        <w:rPr>
          <w:rFonts w:ascii="Arial" w:cs="Arial" w:eastAsia="Arial" w:hAnsi="Arial"/>
          <w:sz w:val="17"/>
          <w:szCs w:val="17"/>
          <w:color w:val="435F86"/>
        </w:rPr>
      </w:pPr>
    </w:p>
    <w:p>
      <w:pPr>
        <w:ind w:left="1480" w:hanging="351"/>
        <w:spacing w:after="0"/>
        <w:tabs>
          <w:tab w:leader="none" w:pos="1480" w:val="left"/>
        </w:tabs>
        <w:numPr>
          <w:ilvl w:val="1"/>
          <w:numId w:val="56"/>
        </w:numPr>
        <w:rPr>
          <w:rFonts w:ascii="Arial" w:cs="Arial" w:eastAsia="Arial" w:hAnsi="Arial"/>
          <w:sz w:val="17"/>
          <w:szCs w:val="17"/>
          <w:color w:val="435F86"/>
        </w:rPr>
      </w:pPr>
      <w:r>
        <w:rPr>
          <w:rFonts w:ascii="Arial" w:cs="Arial" w:eastAsia="Arial" w:hAnsi="Arial"/>
          <w:sz w:val="17"/>
          <w:szCs w:val="17"/>
          <w:color w:val="auto"/>
        </w:rPr>
        <w:t>2022: Michael Rutz, Scott Leffler, Terrence Hammons, Matthew Klaben, Alexander Dimitrief, Michael Biehl</w:t>
      </w:r>
    </w:p>
    <w:p>
      <w:pPr>
        <w:spacing w:after="0" w:line="129" w:lineRule="exact"/>
        <w:rPr>
          <w:rFonts w:ascii="Arial" w:cs="Arial" w:eastAsia="Arial" w:hAnsi="Arial"/>
          <w:sz w:val="17"/>
          <w:szCs w:val="17"/>
          <w:color w:val="435F86"/>
        </w:rPr>
      </w:pPr>
    </w:p>
    <w:p>
      <w:pPr>
        <w:ind w:left="1480" w:hanging="351"/>
        <w:spacing w:after="0"/>
        <w:tabs>
          <w:tab w:leader="none" w:pos="1480" w:val="left"/>
        </w:tabs>
        <w:numPr>
          <w:ilvl w:val="1"/>
          <w:numId w:val="56"/>
        </w:numPr>
        <w:rPr>
          <w:rFonts w:ascii="Arial" w:cs="Arial" w:eastAsia="Arial" w:hAnsi="Arial"/>
          <w:sz w:val="17"/>
          <w:szCs w:val="17"/>
          <w:color w:val="435F86"/>
        </w:rPr>
      </w:pPr>
      <w:r>
        <w:rPr>
          <w:rFonts w:ascii="Arial" w:cs="Arial" w:eastAsia="Arial" w:hAnsi="Arial"/>
          <w:sz w:val="17"/>
          <w:szCs w:val="17"/>
          <w:color w:val="auto"/>
        </w:rPr>
        <w:t>2023: Michael Rutz, Alexander Dimitrief, Michael Biehl, Jonathan Lyons</w:t>
      </w:r>
    </w:p>
    <w:p>
      <w:pPr>
        <w:spacing w:after="0" w:line="141" w:lineRule="exact"/>
        <w:rPr>
          <w:rFonts w:ascii="Arial" w:cs="Arial" w:eastAsia="Arial" w:hAnsi="Arial"/>
          <w:sz w:val="17"/>
          <w:szCs w:val="17"/>
          <w:color w:val="435F86"/>
        </w:rPr>
      </w:pPr>
    </w:p>
    <w:p>
      <w:pPr>
        <w:ind w:left="1480" w:hanging="351"/>
        <w:spacing w:after="0"/>
        <w:tabs>
          <w:tab w:leader="none" w:pos="1480" w:val="left"/>
        </w:tabs>
        <w:numPr>
          <w:ilvl w:val="1"/>
          <w:numId w:val="56"/>
        </w:numPr>
        <w:rPr>
          <w:rFonts w:ascii="Arial" w:cs="Arial" w:eastAsia="Arial" w:hAnsi="Arial"/>
          <w:sz w:val="17"/>
          <w:szCs w:val="17"/>
          <w:color w:val="435F86"/>
        </w:rPr>
      </w:pPr>
      <w:r>
        <w:rPr>
          <w:rFonts w:ascii="Arial" w:cs="Arial" w:eastAsia="Arial" w:hAnsi="Arial"/>
          <w:sz w:val="17"/>
          <w:szCs w:val="17"/>
          <w:color w:val="auto"/>
        </w:rPr>
        <w:t>2024: Michael Rutz, Alexander Dimitrief, Jonathan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339725</wp:posOffset>
            </wp:positionV>
            <wp:extent cx="494665" cy="165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208280</wp:posOffset>
            </wp:positionV>
            <wp:extent cx="5538470"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840"/>
          </w:cols>
          <w:pgMar w:left="800" w:top="93" w:right="1259"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Pay Versus Performance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2024 Pay Versus Performance Table</w:t>
      </w:r>
    </w:p>
    <w:p>
      <w:pPr>
        <w:spacing w:after="0" w:line="247" w:lineRule="exact"/>
        <w:rPr>
          <w:sz w:val="20"/>
          <w:szCs w:val="20"/>
          <w:color w:val="auto"/>
        </w:rPr>
      </w:pPr>
    </w:p>
    <w:p>
      <w:pPr>
        <w:ind w:left="1120" w:right="1060" w:hanging="337"/>
        <w:spacing w:after="0" w:line="295" w:lineRule="auto"/>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Average CAP to our non-CEO NEOs in 2024, 2023, 2022, 2021 and 2020 reflects the respective amounts in the SCT, adjusted pursuant to Item 402(v) of Regulation S-K.</w:t>
      </w:r>
    </w:p>
    <w:p>
      <w:pPr>
        <w:spacing w:after="0" w:line="25" w:lineRule="exact"/>
        <w:rPr>
          <w:rFonts w:ascii="Arial" w:cs="Arial" w:eastAsia="Arial" w:hAnsi="Arial"/>
          <w:sz w:val="17"/>
          <w:szCs w:val="17"/>
          <w:color w:val="auto"/>
        </w:rPr>
      </w:pPr>
    </w:p>
    <w:p>
      <w:pPr>
        <w:ind w:left="1120" w:right="900" w:hanging="337"/>
        <w:spacing w:after="0" w:line="265" w:lineRule="auto"/>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Total shareholder return (“TSR”) for the Company and the peer group was calculated as the yearly percentage change in cumulative TSR based on a deemed fixed investment of $100 at market close on December 31, 2019 and in accordance with Items 201(e) and 402(v) of Regulation S-K. Because fiscal years are presented in the table in reverse chronological order (from top to bottom), the table should be read from bottom to top for purposes of understanding cumulative returns over time.</w:t>
      </w:r>
    </w:p>
    <w:p>
      <w:pPr>
        <w:spacing w:after="0" w:line="50" w:lineRule="exact"/>
        <w:rPr>
          <w:rFonts w:ascii="Arial" w:cs="Arial" w:eastAsia="Arial" w:hAnsi="Arial"/>
          <w:sz w:val="17"/>
          <w:szCs w:val="17"/>
          <w:color w:val="auto"/>
        </w:rPr>
      </w:pPr>
    </w:p>
    <w:p>
      <w:pPr>
        <w:ind w:left="1120" w:hanging="337"/>
        <w:spacing w:after="0"/>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purposes of this PVP disclosure, our peer group is the S&amp;P 500 Healthcare Index (the “Peer Group”).</w:t>
      </w:r>
    </w:p>
    <w:p>
      <w:pPr>
        <w:spacing w:after="0" w:line="103" w:lineRule="exact"/>
        <w:rPr>
          <w:rFonts w:ascii="Arial" w:cs="Arial" w:eastAsia="Arial" w:hAnsi="Arial"/>
          <w:sz w:val="17"/>
          <w:szCs w:val="17"/>
          <w:color w:val="auto"/>
        </w:rPr>
      </w:pPr>
    </w:p>
    <w:p>
      <w:pPr>
        <w:ind w:left="1120" w:right="1000" w:hanging="337"/>
        <w:spacing w:after="0" w:line="285" w:lineRule="auto"/>
        <w:tabs>
          <w:tab w:leader="none" w:pos="11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Reflects “Net Income (Loss)” in the Consolidated Statements of Operations and Comprehensive Income (Loss) included in the Company’s Annual Reports on Form 10-K for the years ended December 31, 2024, 2023, 2022, 2021 and 2020 (“Net Income” and “Net Loss,” as applicable). 2022 Net Loss includes a $408 million legal reserve recorded in the fourth quarter of 2022 related to the binding term sheets to settle the EO claims in Cook County, Illinois, subject to the satisfaction or waiver by the Company of the various conditions set forth in the term sheets.</w:t>
      </w:r>
    </w:p>
    <w:p>
      <w:pPr>
        <w:spacing w:after="0" w:line="36" w:lineRule="exact"/>
        <w:rPr>
          <w:rFonts w:ascii="Arial" w:cs="Arial" w:eastAsia="Arial" w:hAnsi="Arial"/>
          <w:sz w:val="16"/>
          <w:szCs w:val="16"/>
          <w:color w:val="auto"/>
        </w:rPr>
      </w:pPr>
    </w:p>
    <w:p>
      <w:pPr>
        <w:ind w:left="1120" w:right="1220" w:hanging="337"/>
        <w:spacing w:after="0" w:line="295" w:lineRule="auto"/>
        <w:tabs>
          <w:tab w:leader="none" w:pos="11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purposes of this PVP disclosure, the Company-Selected Measure is Adjusted EBITDA, which is described below.</w:t>
      </w:r>
    </w:p>
    <w:p>
      <w:pPr>
        <w:spacing w:after="0" w:line="146" w:lineRule="exact"/>
        <w:rPr>
          <w:sz w:val="20"/>
          <w:szCs w:val="20"/>
          <w:color w:val="auto"/>
        </w:rPr>
      </w:pPr>
    </w:p>
    <w:p>
      <w:pPr>
        <w:ind w:left="780" w:right="820"/>
        <w:spacing w:after="0" w:line="252" w:lineRule="auto"/>
        <w:rPr>
          <w:sz w:val="20"/>
          <w:szCs w:val="20"/>
          <w:color w:val="auto"/>
        </w:rPr>
      </w:pPr>
      <w:r>
        <w:rPr>
          <w:rFonts w:ascii="Arial" w:cs="Arial" w:eastAsia="Arial" w:hAnsi="Arial"/>
          <w:sz w:val="21"/>
          <w:szCs w:val="21"/>
          <w:b w:val="1"/>
          <w:bCs w:val="1"/>
          <w:color w:val="auto"/>
        </w:rPr>
        <w:t xml:space="preserve">Equity Valuations. </w:t>
      </w:r>
      <w:r>
        <w:rPr>
          <w:rFonts w:ascii="Arial" w:cs="Arial" w:eastAsia="Arial" w:hAnsi="Arial"/>
          <w:sz w:val="21"/>
          <w:szCs w:val="21"/>
          <w:color w:val="auto"/>
        </w:rPr>
        <w:t>The Company measures stock option grant date fair values using the Black-Scholes option pricing model as of the grant date. For the adjustments to equity compensation required under Item 402(v) of Regulation S-K, stock option fair values as of each measurement date apply the Black-Scholes option pricing model with updated assumptions (i.e., expected term, volatility, dividend yield, risk free rates) and common stock price as of each year end and vesting date. The Company measures the fair value of RSUs and restricted common stock awards (“RSAs”) using the closing market price of our common stock as of the grant date. For the adjustments to equity compensation required under Item 402(v) of Regulation S-K, RSUs and RSAs have been valued using the closing market price of our common stock as of each year end and each vesting date.</w:t>
      </w:r>
    </w:p>
    <w:p>
      <w:pPr>
        <w:spacing w:after="0" w:line="177" w:lineRule="exact"/>
        <w:rPr>
          <w:sz w:val="20"/>
          <w:szCs w:val="20"/>
          <w:color w:val="auto"/>
        </w:rPr>
      </w:pPr>
    </w:p>
    <w:p>
      <w:pPr>
        <w:jc w:val="both"/>
        <w:ind w:left="780" w:right="1000"/>
        <w:spacing w:after="0" w:line="267" w:lineRule="auto"/>
        <w:rPr>
          <w:sz w:val="20"/>
          <w:szCs w:val="20"/>
          <w:color w:val="auto"/>
        </w:rPr>
      </w:pPr>
      <w:r>
        <w:rPr>
          <w:rFonts w:ascii="Arial" w:cs="Arial" w:eastAsia="Arial" w:hAnsi="Arial"/>
          <w:sz w:val="21"/>
          <w:szCs w:val="21"/>
          <w:color w:val="auto"/>
        </w:rPr>
        <w:t>The following table indicates the range of assumptions used to determine the value of stock option awards under the Black-Scholes option pricing model granted during 2020 – 2024 at various dates as required to calculate the executive compensation actually paid in 2023:</w:t>
      </w:r>
    </w:p>
    <w:p>
      <w:pPr>
        <w:spacing w:after="0" w:line="98" w:lineRule="exact"/>
        <w:rPr>
          <w:sz w:val="20"/>
          <w:szCs w:val="20"/>
          <w:color w:val="auto"/>
        </w:rPr>
      </w:pPr>
    </w:p>
    <w:tbl>
      <w:tblPr>
        <w:tblLayout w:type="fixed"/>
        <w:tblInd w:w="780" w:type="dxa"/>
        <w:tblCellMar>
          <w:top w:w="0" w:type="dxa"/>
          <w:left w:w="0" w:type="dxa"/>
          <w:bottom w:w="0" w:type="dxa"/>
          <w:right w:w="0" w:type="dxa"/>
        </w:tblCellMar>
      </w:tblPr>
      <w:tr>
        <w:trPr>
          <w:trHeight w:val="394"/>
        </w:trPr>
        <w:tc>
          <w:tcPr>
            <w:tcW w:w="1980" w:type="dxa"/>
            <w:vAlign w:val="bottom"/>
            <w:tcBorders>
              <w:bottom w:val="single" w:sz="8" w:color="435F86"/>
            </w:tcBorders>
          </w:tcPr>
          <w:p>
            <w:pPr>
              <w:jc w:val="right"/>
              <w:ind w:right="955"/>
              <w:spacing w:after="0"/>
              <w:rPr>
                <w:sz w:val="20"/>
                <w:szCs w:val="20"/>
                <w:color w:val="auto"/>
              </w:rPr>
            </w:pPr>
            <w:r>
              <w:rPr>
                <w:rFonts w:ascii="Arial" w:cs="Arial" w:eastAsia="Arial" w:hAnsi="Arial"/>
                <w:sz w:val="31"/>
                <w:szCs w:val="31"/>
                <w:b w:val="1"/>
                <w:bCs w:val="1"/>
                <w:color w:val="435F86"/>
                <w:w w:val="94"/>
                <w:vertAlign w:val="subscript"/>
              </w:rPr>
              <w:t>​</w:t>
            </w:r>
            <w:r>
              <w:rPr>
                <w:rFonts w:ascii="Arial" w:cs="Arial" w:eastAsia="Arial" w:hAnsi="Arial"/>
                <w:sz w:val="16"/>
                <w:szCs w:val="16"/>
                <w:b w:val="1"/>
                <w:bCs w:val="1"/>
                <w:color w:val="435F86"/>
                <w:w w:val="94"/>
              </w:rPr>
              <w:t>Grant Year</w:t>
            </w:r>
            <w:r>
              <w:rPr>
                <w:rFonts w:ascii="Arial" w:cs="Arial" w:eastAsia="Arial" w:hAnsi="Arial"/>
                <w:sz w:val="19"/>
                <w:szCs w:val="19"/>
                <w:b w:val="1"/>
                <w:bCs w:val="1"/>
                <w:color w:val="435F86"/>
                <w:w w:val="94"/>
                <w:vertAlign w:val="superscript"/>
              </w:rPr>
              <w:t>(1)</w:t>
            </w:r>
          </w:p>
        </w:tc>
        <w:tc>
          <w:tcPr>
            <w:tcW w:w="2780" w:type="dxa"/>
            <w:vAlign w:val="bottom"/>
            <w:tcBorders>
              <w:bottom w:val="single" w:sz="8" w:color="435F86"/>
            </w:tcBorders>
          </w:tcPr>
          <w:p>
            <w:pPr>
              <w:jc w:val="right"/>
              <w:ind w:right="355"/>
              <w:spacing w:after="0"/>
              <w:rPr>
                <w:sz w:val="20"/>
                <w:szCs w:val="20"/>
                <w:color w:val="auto"/>
              </w:rPr>
            </w:pPr>
            <w:r>
              <w:rPr>
                <w:rFonts w:ascii="Arial" w:cs="Arial" w:eastAsia="Arial" w:hAnsi="Arial"/>
                <w:sz w:val="16"/>
                <w:szCs w:val="16"/>
                <w:b w:val="1"/>
                <w:bCs w:val="1"/>
                <w:color w:val="435F86"/>
              </w:rPr>
              <w:t>Expected volatility</w:t>
            </w:r>
          </w:p>
        </w:tc>
        <w:tc>
          <w:tcPr>
            <w:tcW w:w="2040" w:type="dxa"/>
            <w:vAlign w:val="bottom"/>
            <w:tcBorders>
              <w:bottom w:val="single" w:sz="8" w:color="435F86"/>
            </w:tcBorders>
          </w:tcPr>
          <w:p>
            <w:pPr>
              <w:jc w:val="right"/>
              <w:ind w:right="255"/>
              <w:spacing w:after="0"/>
              <w:rPr>
                <w:sz w:val="20"/>
                <w:szCs w:val="20"/>
                <w:color w:val="auto"/>
              </w:rPr>
            </w:pPr>
            <w:r>
              <w:rPr>
                <w:rFonts w:ascii="Arial" w:cs="Arial" w:eastAsia="Arial" w:hAnsi="Arial"/>
                <w:sz w:val="16"/>
                <w:szCs w:val="16"/>
                <w:b w:val="1"/>
                <w:bCs w:val="1"/>
                <w:color w:val="435F86"/>
              </w:rPr>
              <w:t>Expected life (years)</w:t>
            </w:r>
          </w:p>
        </w:tc>
        <w:tc>
          <w:tcPr>
            <w:tcW w:w="1920" w:type="dxa"/>
            <w:vAlign w:val="bottom"/>
            <w:tcBorders>
              <w:bottom w:val="single" w:sz="8" w:color="435F86"/>
            </w:tcBorders>
          </w:tcPr>
          <w:p>
            <w:pPr>
              <w:jc w:val="right"/>
              <w:ind w:right="55"/>
              <w:spacing w:after="0"/>
              <w:rPr>
                <w:sz w:val="20"/>
                <w:szCs w:val="20"/>
                <w:color w:val="auto"/>
              </w:rPr>
            </w:pPr>
            <w:r>
              <w:rPr>
                <w:rFonts w:ascii="Arial" w:cs="Arial" w:eastAsia="Arial" w:hAnsi="Arial"/>
                <w:sz w:val="16"/>
                <w:szCs w:val="16"/>
                <w:b w:val="1"/>
                <w:bCs w:val="1"/>
                <w:color w:val="435F86"/>
              </w:rPr>
              <w:t>Risk-free interest rate</w:t>
            </w:r>
          </w:p>
        </w:tc>
      </w:tr>
      <w:tr>
        <w:trPr>
          <w:trHeight w:val="266"/>
        </w:trPr>
        <w:tc>
          <w:tcPr>
            <w:tcW w:w="1980" w:type="dxa"/>
            <w:vAlign w:val="bottom"/>
            <w:tcBorders>
              <w:bottom w:val="single" w:sz="8" w:color="7B8FAA"/>
            </w:tcBorders>
            <w:shd w:val="clear" w:color="auto" w:fill="CCEEFF"/>
          </w:tcPr>
          <w:p>
            <w:pPr>
              <w:jc w:val="right"/>
              <w:ind w:right="1335"/>
              <w:spacing w:after="0"/>
              <w:rPr>
                <w:sz w:val="20"/>
                <w:szCs w:val="20"/>
                <w:color w:val="auto"/>
              </w:rPr>
            </w:pPr>
            <w:r>
              <w:rPr>
                <w:rFonts w:ascii="Arial" w:cs="Arial" w:eastAsia="Arial" w:hAnsi="Arial"/>
                <w:sz w:val="17"/>
                <w:szCs w:val="17"/>
                <w:color w:val="auto"/>
                <w:w w:val="96"/>
              </w:rPr>
              <w:t>2024</w:t>
            </w:r>
            <w:r>
              <w:rPr>
                <w:rFonts w:ascii="Arial" w:cs="Arial" w:eastAsia="Arial" w:hAnsi="Arial"/>
                <w:sz w:val="22"/>
                <w:szCs w:val="22"/>
                <w:color w:val="auto"/>
                <w:w w:val="96"/>
                <w:vertAlign w:val="superscript"/>
              </w:rPr>
              <w:t>(2)</w:t>
            </w:r>
          </w:p>
        </w:tc>
        <w:tc>
          <w:tcPr>
            <w:tcW w:w="2780" w:type="dxa"/>
            <w:vAlign w:val="bottom"/>
            <w:tcBorders>
              <w:bottom w:val="single" w:sz="8" w:color="7B8FAA"/>
            </w:tcBorders>
            <w:shd w:val="clear" w:color="auto" w:fill="CCEEFF"/>
          </w:tcPr>
          <w:p>
            <w:pPr>
              <w:jc w:val="right"/>
              <w:ind w:right="195"/>
              <w:spacing w:after="0"/>
              <w:rPr>
                <w:sz w:val="20"/>
                <w:szCs w:val="20"/>
                <w:color w:val="auto"/>
              </w:rPr>
            </w:pPr>
            <w:r>
              <w:rPr>
                <w:rFonts w:ascii="Arial" w:cs="Arial" w:eastAsia="Arial" w:hAnsi="Arial"/>
                <w:sz w:val="17"/>
                <w:szCs w:val="17"/>
                <w:color w:val="auto"/>
              </w:rPr>
              <w:t>46.8% – 57.5%</w:t>
            </w:r>
          </w:p>
        </w:tc>
        <w:tc>
          <w:tcPr>
            <w:tcW w:w="2040" w:type="dxa"/>
            <w:vAlign w:val="bottom"/>
            <w:tcBorders>
              <w:bottom w:val="single" w:sz="8" w:color="7B8FAA"/>
            </w:tcBorders>
            <w:shd w:val="clear" w:color="auto" w:fill="CCEEFF"/>
          </w:tcPr>
          <w:p>
            <w:pPr>
              <w:jc w:val="right"/>
              <w:ind w:right="155"/>
              <w:spacing w:after="0"/>
              <w:rPr>
                <w:sz w:val="20"/>
                <w:szCs w:val="20"/>
                <w:color w:val="auto"/>
              </w:rPr>
            </w:pPr>
            <w:r>
              <w:rPr>
                <w:rFonts w:ascii="Arial" w:cs="Arial" w:eastAsia="Arial" w:hAnsi="Arial"/>
                <w:sz w:val="17"/>
                <w:szCs w:val="17"/>
                <w:color w:val="auto"/>
              </w:rPr>
              <w:t>5.2 – 6.0 years</w:t>
            </w:r>
          </w:p>
        </w:tc>
        <w:tc>
          <w:tcPr>
            <w:tcW w:w="19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4.2 – 4.4%</w:t>
            </w:r>
          </w:p>
        </w:tc>
      </w:tr>
      <w:tr>
        <w:trPr>
          <w:trHeight w:val="253"/>
        </w:trPr>
        <w:tc>
          <w:tcPr>
            <w:tcW w:w="1980" w:type="dxa"/>
            <w:vAlign w:val="bottom"/>
            <w:tcBorders>
              <w:bottom w:val="single" w:sz="8" w:color="7B8FAA"/>
            </w:tcBorders>
          </w:tcPr>
          <w:p>
            <w:pPr>
              <w:jc w:val="right"/>
              <w:ind w:right="1335"/>
              <w:spacing w:after="0"/>
              <w:rPr>
                <w:sz w:val="20"/>
                <w:szCs w:val="20"/>
                <w:color w:val="auto"/>
              </w:rPr>
            </w:pPr>
            <w:r>
              <w:rPr>
                <w:rFonts w:ascii="Arial" w:cs="Arial" w:eastAsia="Arial" w:hAnsi="Arial"/>
                <w:sz w:val="17"/>
                <w:szCs w:val="17"/>
                <w:color w:val="auto"/>
                <w:w w:val="96"/>
              </w:rPr>
              <w:t>2023</w:t>
            </w:r>
            <w:r>
              <w:rPr>
                <w:rFonts w:ascii="Arial" w:cs="Arial" w:eastAsia="Arial" w:hAnsi="Arial"/>
                <w:sz w:val="22"/>
                <w:szCs w:val="22"/>
                <w:color w:val="auto"/>
                <w:w w:val="96"/>
                <w:vertAlign w:val="superscript"/>
              </w:rPr>
              <w:t>(3)</w:t>
            </w:r>
          </w:p>
        </w:tc>
        <w:tc>
          <w:tcPr>
            <w:tcW w:w="2780" w:type="dxa"/>
            <w:vAlign w:val="bottom"/>
            <w:tcBorders>
              <w:bottom w:val="single" w:sz="8" w:color="7B8FAA"/>
            </w:tcBorders>
          </w:tcPr>
          <w:p>
            <w:pPr>
              <w:jc w:val="right"/>
              <w:ind w:right="195"/>
              <w:spacing w:after="0"/>
              <w:rPr>
                <w:sz w:val="20"/>
                <w:szCs w:val="20"/>
                <w:color w:val="auto"/>
              </w:rPr>
            </w:pPr>
            <w:r>
              <w:rPr>
                <w:rFonts w:ascii="Arial" w:cs="Arial" w:eastAsia="Arial" w:hAnsi="Arial"/>
                <w:sz w:val="17"/>
                <w:szCs w:val="17"/>
                <w:color w:val="auto"/>
              </w:rPr>
              <w:t>57.5% – 60.0%</w:t>
            </w:r>
          </w:p>
        </w:tc>
        <w:tc>
          <w:tcPr>
            <w:tcW w:w="2040" w:type="dxa"/>
            <w:vAlign w:val="bottom"/>
            <w:tcBorders>
              <w:bottom w:val="single" w:sz="8" w:color="7B8FAA"/>
            </w:tcBorders>
          </w:tcPr>
          <w:p>
            <w:pPr>
              <w:jc w:val="right"/>
              <w:ind w:right="155"/>
              <w:spacing w:after="0"/>
              <w:rPr>
                <w:sz w:val="20"/>
                <w:szCs w:val="20"/>
                <w:color w:val="auto"/>
              </w:rPr>
            </w:pPr>
            <w:r>
              <w:rPr>
                <w:rFonts w:ascii="Arial" w:cs="Arial" w:eastAsia="Arial" w:hAnsi="Arial"/>
                <w:sz w:val="17"/>
                <w:szCs w:val="17"/>
                <w:color w:val="auto"/>
              </w:rPr>
              <w:t>4.23 – 5.0 years</w:t>
            </w:r>
          </w:p>
        </w:tc>
        <w:tc>
          <w:tcPr>
            <w:tcW w:w="1920" w:type="dxa"/>
            <w:vAlign w:val="bottom"/>
            <w:tcBorders>
              <w:bottom w:val="single" w:sz="8" w:color="7B8FAA"/>
            </w:tcBorders>
          </w:tcPr>
          <w:p>
            <w:pPr>
              <w:jc w:val="right"/>
              <w:spacing w:after="0"/>
              <w:rPr>
                <w:sz w:val="20"/>
                <w:szCs w:val="20"/>
                <w:color w:val="auto"/>
              </w:rPr>
            </w:pPr>
            <w:r>
              <w:rPr>
                <w:rFonts w:ascii="Arial" w:cs="Arial" w:eastAsia="Arial" w:hAnsi="Arial"/>
                <w:sz w:val="17"/>
                <w:szCs w:val="17"/>
                <w:color w:val="auto"/>
              </w:rPr>
              <w:t>3.8 – 4.4%</w:t>
            </w:r>
          </w:p>
        </w:tc>
      </w:tr>
      <w:tr>
        <w:trPr>
          <w:trHeight w:val="253"/>
        </w:trPr>
        <w:tc>
          <w:tcPr>
            <w:tcW w:w="1980" w:type="dxa"/>
            <w:vAlign w:val="bottom"/>
            <w:tcBorders>
              <w:bottom w:val="single" w:sz="8" w:color="7B8FAA"/>
            </w:tcBorders>
            <w:shd w:val="clear" w:color="auto" w:fill="CCEEFF"/>
          </w:tcPr>
          <w:p>
            <w:pPr>
              <w:jc w:val="right"/>
              <w:ind w:right="1335"/>
              <w:spacing w:after="0"/>
              <w:rPr>
                <w:sz w:val="20"/>
                <w:szCs w:val="20"/>
                <w:color w:val="auto"/>
              </w:rPr>
            </w:pPr>
            <w:r>
              <w:rPr>
                <w:rFonts w:ascii="Arial" w:cs="Arial" w:eastAsia="Arial" w:hAnsi="Arial"/>
                <w:sz w:val="17"/>
                <w:szCs w:val="17"/>
                <w:color w:val="auto"/>
                <w:w w:val="96"/>
              </w:rPr>
              <w:t>2022</w:t>
            </w:r>
            <w:r>
              <w:rPr>
                <w:rFonts w:ascii="Arial" w:cs="Arial" w:eastAsia="Arial" w:hAnsi="Arial"/>
                <w:sz w:val="22"/>
                <w:szCs w:val="22"/>
                <w:color w:val="auto"/>
                <w:w w:val="96"/>
                <w:vertAlign w:val="superscript"/>
              </w:rPr>
              <w:t>(3)</w:t>
            </w:r>
          </w:p>
        </w:tc>
        <w:tc>
          <w:tcPr>
            <w:tcW w:w="2780" w:type="dxa"/>
            <w:vAlign w:val="bottom"/>
            <w:tcBorders>
              <w:bottom w:val="single" w:sz="8" w:color="7B8FAA"/>
            </w:tcBorders>
            <w:shd w:val="clear" w:color="auto" w:fill="CCEEFF"/>
          </w:tcPr>
          <w:p>
            <w:pPr>
              <w:jc w:val="right"/>
              <w:ind w:right="195"/>
              <w:spacing w:after="0"/>
              <w:rPr>
                <w:sz w:val="20"/>
                <w:szCs w:val="20"/>
                <w:color w:val="auto"/>
              </w:rPr>
            </w:pPr>
            <w:r>
              <w:rPr>
                <w:rFonts w:ascii="Arial" w:cs="Arial" w:eastAsia="Arial" w:hAnsi="Arial"/>
                <w:sz w:val="17"/>
                <w:szCs w:val="17"/>
                <w:color w:val="auto"/>
              </w:rPr>
              <w:t>60.0% – 62.5%</w:t>
            </w:r>
          </w:p>
        </w:tc>
        <w:tc>
          <w:tcPr>
            <w:tcW w:w="2040" w:type="dxa"/>
            <w:vAlign w:val="bottom"/>
            <w:tcBorders>
              <w:bottom w:val="single" w:sz="8" w:color="7B8FAA"/>
            </w:tcBorders>
            <w:shd w:val="clear" w:color="auto" w:fill="CCEEFF"/>
          </w:tcPr>
          <w:p>
            <w:pPr>
              <w:jc w:val="right"/>
              <w:ind w:right="155"/>
              <w:spacing w:after="0"/>
              <w:rPr>
                <w:sz w:val="20"/>
                <w:szCs w:val="20"/>
                <w:color w:val="auto"/>
              </w:rPr>
            </w:pPr>
            <w:r>
              <w:rPr>
                <w:rFonts w:ascii="Arial" w:cs="Arial" w:eastAsia="Arial" w:hAnsi="Arial"/>
                <w:sz w:val="17"/>
                <w:szCs w:val="17"/>
                <w:color w:val="auto"/>
              </w:rPr>
              <w:t>3.6 – 4.2 years</w:t>
            </w:r>
          </w:p>
        </w:tc>
        <w:tc>
          <w:tcPr>
            <w:tcW w:w="1920" w:type="dxa"/>
            <w:vAlign w:val="bottom"/>
            <w:tcBorders>
              <w:bottom w:val="single" w:sz="8" w:color="7B8FAA"/>
            </w:tcBorders>
            <w:shd w:val="clear" w:color="auto" w:fill="CCEEFF"/>
          </w:tcPr>
          <w:p>
            <w:pPr>
              <w:jc w:val="right"/>
              <w:spacing w:after="0"/>
              <w:rPr>
                <w:sz w:val="20"/>
                <w:szCs w:val="20"/>
                <w:color w:val="auto"/>
              </w:rPr>
            </w:pPr>
            <w:r>
              <w:rPr>
                <w:rFonts w:ascii="Arial" w:cs="Arial" w:eastAsia="Arial" w:hAnsi="Arial"/>
                <w:sz w:val="17"/>
                <w:szCs w:val="17"/>
                <w:color w:val="auto"/>
              </w:rPr>
              <w:t>4.2 – 4.3%</w:t>
            </w:r>
          </w:p>
        </w:tc>
      </w:tr>
      <w:tr>
        <w:trPr>
          <w:trHeight w:val="253"/>
        </w:trPr>
        <w:tc>
          <w:tcPr>
            <w:tcW w:w="1980" w:type="dxa"/>
            <w:vAlign w:val="bottom"/>
            <w:tcBorders>
              <w:bottom w:val="single" w:sz="8" w:color="435F86"/>
            </w:tcBorders>
          </w:tcPr>
          <w:p>
            <w:pPr>
              <w:jc w:val="right"/>
              <w:ind w:right="1335"/>
              <w:spacing w:after="0"/>
              <w:rPr>
                <w:sz w:val="20"/>
                <w:szCs w:val="20"/>
                <w:color w:val="auto"/>
              </w:rPr>
            </w:pPr>
            <w:r>
              <w:rPr>
                <w:rFonts w:ascii="Arial" w:cs="Arial" w:eastAsia="Arial" w:hAnsi="Arial"/>
                <w:sz w:val="17"/>
                <w:szCs w:val="17"/>
                <w:color w:val="auto"/>
                <w:w w:val="96"/>
              </w:rPr>
              <w:t>2020</w:t>
            </w:r>
            <w:r>
              <w:rPr>
                <w:rFonts w:ascii="Arial" w:cs="Arial" w:eastAsia="Arial" w:hAnsi="Arial"/>
                <w:sz w:val="22"/>
                <w:szCs w:val="22"/>
                <w:color w:val="auto"/>
                <w:w w:val="96"/>
                <w:vertAlign w:val="superscript"/>
              </w:rPr>
              <w:t>(3)</w:t>
            </w:r>
          </w:p>
        </w:tc>
        <w:tc>
          <w:tcPr>
            <w:tcW w:w="2780" w:type="dxa"/>
            <w:vAlign w:val="bottom"/>
            <w:tcBorders>
              <w:bottom w:val="single" w:sz="8" w:color="435F86"/>
            </w:tcBorders>
          </w:tcPr>
          <w:p>
            <w:pPr>
              <w:jc w:val="right"/>
              <w:ind w:right="195"/>
              <w:spacing w:after="0"/>
              <w:rPr>
                <w:sz w:val="20"/>
                <w:szCs w:val="20"/>
                <w:color w:val="auto"/>
              </w:rPr>
            </w:pPr>
            <w:r>
              <w:rPr>
                <w:rFonts w:ascii="Arial" w:cs="Arial" w:eastAsia="Arial" w:hAnsi="Arial"/>
                <w:sz w:val="17"/>
                <w:szCs w:val="17"/>
                <w:color w:val="auto"/>
              </w:rPr>
              <w:t>65.0%</w:t>
            </w:r>
          </w:p>
        </w:tc>
        <w:tc>
          <w:tcPr>
            <w:tcW w:w="2040" w:type="dxa"/>
            <w:vAlign w:val="bottom"/>
            <w:tcBorders>
              <w:bottom w:val="single" w:sz="8" w:color="435F86"/>
            </w:tcBorders>
          </w:tcPr>
          <w:p>
            <w:pPr>
              <w:jc w:val="right"/>
              <w:ind w:right="155"/>
              <w:spacing w:after="0"/>
              <w:rPr>
                <w:sz w:val="20"/>
                <w:szCs w:val="20"/>
                <w:color w:val="auto"/>
              </w:rPr>
            </w:pPr>
            <w:r>
              <w:rPr>
                <w:rFonts w:ascii="Arial" w:cs="Arial" w:eastAsia="Arial" w:hAnsi="Arial"/>
                <w:sz w:val="17"/>
                <w:szCs w:val="17"/>
                <w:color w:val="auto"/>
              </w:rPr>
              <w:t>3.0 years</w:t>
            </w:r>
          </w:p>
        </w:tc>
        <w:tc>
          <w:tcPr>
            <w:tcW w:w="1920" w:type="dxa"/>
            <w:vAlign w:val="bottom"/>
            <w:tcBorders>
              <w:bottom w:val="single" w:sz="8" w:color="435F86"/>
            </w:tcBorders>
          </w:tcPr>
          <w:p>
            <w:pPr>
              <w:jc w:val="right"/>
              <w:spacing w:after="0"/>
              <w:rPr>
                <w:sz w:val="20"/>
                <w:szCs w:val="20"/>
                <w:color w:val="auto"/>
              </w:rPr>
            </w:pPr>
            <w:r>
              <w:rPr>
                <w:rFonts w:ascii="Arial" w:cs="Arial" w:eastAsia="Arial" w:hAnsi="Arial"/>
                <w:sz w:val="17"/>
                <w:szCs w:val="17"/>
                <w:color w:val="auto"/>
              </w:rPr>
              <w:t>4.3%</w:t>
            </w:r>
          </w:p>
        </w:tc>
      </w:tr>
    </w:tbl>
    <w:p>
      <w:pPr>
        <w:spacing w:after="0" w:line="152" w:lineRule="exact"/>
        <w:rPr>
          <w:sz w:val="20"/>
          <w:szCs w:val="20"/>
          <w:color w:val="auto"/>
        </w:rPr>
      </w:pPr>
    </w:p>
    <w:p>
      <w:pPr>
        <w:ind w:left="1120" w:hanging="337"/>
        <w:spacing w:after="0"/>
        <w:tabs>
          <w:tab w:leader="none" w:pos="11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NEO had option grants in 2021.</w:t>
      </w:r>
    </w:p>
    <w:p>
      <w:pPr>
        <w:spacing w:after="0" w:line="103" w:lineRule="exact"/>
        <w:rPr>
          <w:rFonts w:ascii="Arial" w:cs="Arial" w:eastAsia="Arial" w:hAnsi="Arial"/>
          <w:sz w:val="17"/>
          <w:szCs w:val="17"/>
          <w:color w:val="auto"/>
        </w:rPr>
      </w:pPr>
    </w:p>
    <w:p>
      <w:pPr>
        <w:ind w:left="1120" w:right="940" w:hanging="337"/>
        <w:spacing w:after="0" w:line="295" w:lineRule="auto"/>
        <w:tabs>
          <w:tab w:leader="none" w:pos="11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Reflects grant date assumptions for option awards granted in 2024 and assumptions for valuation of those options as of December 31, 2024.</w:t>
      </w:r>
    </w:p>
    <w:p>
      <w:pPr>
        <w:spacing w:after="0" w:line="25" w:lineRule="exact"/>
        <w:rPr>
          <w:rFonts w:ascii="Arial" w:cs="Arial" w:eastAsia="Arial" w:hAnsi="Arial"/>
          <w:sz w:val="17"/>
          <w:szCs w:val="17"/>
          <w:color w:val="auto"/>
        </w:rPr>
      </w:pPr>
    </w:p>
    <w:p>
      <w:pPr>
        <w:ind w:left="1120" w:right="960" w:hanging="337"/>
        <w:spacing w:after="0" w:line="295" w:lineRule="auto"/>
        <w:tabs>
          <w:tab w:leader="none" w:pos="11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Reflects 2024 option vesting date assumptions and assumptions for valuation as of December 31, 2024 for option awards that were granted in 2023, 2022 and 2020.</w:t>
      </w:r>
    </w:p>
    <w:p>
      <w:pPr>
        <w:spacing w:after="0" w:line="146" w:lineRule="exact"/>
        <w:rPr>
          <w:sz w:val="20"/>
          <w:szCs w:val="20"/>
          <w:color w:val="auto"/>
        </w:rPr>
      </w:pPr>
    </w:p>
    <w:p>
      <w:pPr>
        <w:ind w:left="780" w:right="900"/>
        <w:spacing w:after="0" w:line="260" w:lineRule="auto"/>
        <w:rPr>
          <w:sz w:val="20"/>
          <w:szCs w:val="20"/>
          <w:color w:val="auto"/>
        </w:rPr>
      </w:pPr>
      <w:r>
        <w:rPr>
          <w:rFonts w:ascii="Arial" w:cs="Arial" w:eastAsia="Arial" w:hAnsi="Arial"/>
          <w:sz w:val="21"/>
          <w:szCs w:val="21"/>
          <w:color w:val="auto"/>
        </w:rPr>
        <w:t>The tables below disclose the amounts deducted from, and added to, the Summary Compensation Table total compensation amounts to calculate the Compensation Actually Paid for each of the applicable years, for the CEO and average non-CEO NEOs, as shown in columns (c) and (e) of the PvP Table,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135255</wp:posOffset>
            </wp:positionV>
            <wp:extent cx="5538470"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72</w:t>
            </w:r>
          </w:p>
        </w:tc>
      </w:tr>
      <w:tr>
        <w:trPr>
          <w:trHeight w:val="80"/>
        </w:trPr>
        <w:tc>
          <w:tcPr>
            <w:tcW w:w="4140" w:type="dxa"/>
            <w:vAlign w:val="bottom"/>
            <w:tcBorders>
              <w:bottom w:val="single" w:sz="8" w:color="9A9A9A"/>
            </w:tcBorders>
          </w:tcPr>
          <w:p>
            <w:pPr>
              <w:spacing w:after="0"/>
              <w:rPr>
                <w:sz w:val="6"/>
                <w:szCs w:val="6"/>
                <w:color w:val="auto"/>
              </w:rPr>
            </w:pPr>
          </w:p>
        </w:tc>
        <w:tc>
          <w:tcPr>
            <w:tcW w:w="6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35F86"/>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Pay Versus Performance</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2024 Pay Versus Performance Table</w:t>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435F86"/>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43815</wp:posOffset>
            </wp:positionV>
            <wp:extent cx="5538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7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center"/>
              <w:ind w:left="31"/>
              <w:spacing w:after="0"/>
              <w:rPr>
                <w:sz w:val="20"/>
                <w:szCs w:val="20"/>
                <w:color w:val="auto"/>
              </w:rPr>
            </w:pPr>
            <w:r>
              <w:rPr>
                <w:rFonts w:ascii="Arial" w:cs="Arial" w:eastAsia="Arial" w:hAnsi="Arial"/>
                <w:sz w:val="14"/>
                <w:szCs w:val="14"/>
                <w:b w:val="1"/>
                <w:bCs w:val="1"/>
                <w:color w:val="435F86"/>
                <w:w w:val="97"/>
              </w:rPr>
              <w:t>Plus/Less:</w:t>
            </w:r>
          </w:p>
        </w:tc>
        <w:tc>
          <w:tcPr>
            <w:tcW w:w="1160" w:type="dxa"/>
            <w:vAlign w:val="bottom"/>
          </w:tcPr>
          <w:p>
            <w:pPr>
              <w:jc w:val="center"/>
              <w:ind w:left="51"/>
              <w:spacing w:after="0"/>
              <w:rPr>
                <w:sz w:val="20"/>
                <w:szCs w:val="20"/>
                <w:color w:val="auto"/>
              </w:rPr>
            </w:pPr>
            <w:r>
              <w:rPr>
                <w:rFonts w:ascii="Arial" w:cs="Arial" w:eastAsia="Arial" w:hAnsi="Arial"/>
                <w:sz w:val="14"/>
                <w:szCs w:val="14"/>
                <w:b w:val="1"/>
                <w:bCs w:val="1"/>
                <w:color w:val="435F86"/>
                <w:w w:val="97"/>
              </w:rPr>
              <w:t>Plus/Less: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4"/>
              </w:rPr>
              <w:t>Change in fair</w:t>
            </w:r>
          </w:p>
        </w:tc>
        <w:tc>
          <w:tcPr>
            <w:tcW w:w="116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4"/>
              </w:rPr>
              <w:t>Change in fair</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435F86"/>
                <w:w w:val="94"/>
              </w:rPr>
              <w:t>Less: Stock</w:t>
            </w:r>
          </w:p>
        </w:tc>
        <w:tc>
          <w:tcPr>
            <w:tcW w:w="1140" w:type="dxa"/>
            <w:vAlign w:val="bottom"/>
          </w:tcPr>
          <w:p>
            <w:pPr>
              <w:spacing w:after="0"/>
              <w:rPr>
                <w:sz w:val="13"/>
                <w:szCs w:val="13"/>
                <w:color w:val="auto"/>
              </w:rPr>
            </w:pP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5"/>
              </w:rPr>
              <w:t>value (from</w:t>
            </w:r>
          </w:p>
        </w:tc>
        <w:tc>
          <w:tcPr>
            <w:tcW w:w="116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5"/>
              </w:rPr>
              <w:t>value (from</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jc w:val="center"/>
              <w:ind w:left="31"/>
              <w:spacing w:after="0" w:line="143" w:lineRule="exact"/>
              <w:rPr>
                <w:sz w:val="20"/>
                <w:szCs w:val="20"/>
                <w:color w:val="auto"/>
              </w:rPr>
            </w:pPr>
            <w:r>
              <w:rPr>
                <w:rFonts w:ascii="Arial" w:cs="Arial" w:eastAsia="Arial" w:hAnsi="Arial"/>
                <w:sz w:val="14"/>
                <w:szCs w:val="14"/>
                <w:b w:val="1"/>
                <w:bCs w:val="1"/>
                <w:color w:val="435F86"/>
                <w:w w:val="93"/>
              </w:rPr>
              <w:t>prior year-end</w:t>
            </w:r>
          </w:p>
        </w:tc>
        <w:tc>
          <w:tcPr>
            <w:tcW w:w="1160" w:type="dxa"/>
            <w:vAlign w:val="bottom"/>
          </w:tcPr>
          <w:p>
            <w:pPr>
              <w:jc w:val="center"/>
              <w:ind w:left="51"/>
              <w:spacing w:after="0" w:line="143" w:lineRule="exact"/>
              <w:rPr>
                <w:sz w:val="20"/>
                <w:szCs w:val="20"/>
                <w:color w:val="auto"/>
              </w:rPr>
            </w:pPr>
            <w:r>
              <w:rPr>
                <w:rFonts w:ascii="Arial" w:cs="Arial" w:eastAsia="Arial" w:hAnsi="Arial"/>
                <w:sz w:val="14"/>
                <w:szCs w:val="14"/>
                <w:b w:val="1"/>
                <w:bCs w:val="1"/>
                <w:color w:val="435F86"/>
                <w:w w:val="93"/>
              </w:rPr>
              <w:t>prior year-end</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2460" w:type="dxa"/>
            <w:vAlign w:val="bottom"/>
            <w:gridSpan w:val="2"/>
          </w:tcPr>
          <w:p>
            <w:pPr>
              <w:jc w:val="center"/>
              <w:ind w:left="1210"/>
              <w:spacing w:after="0" w:line="156" w:lineRule="exact"/>
              <w:rPr>
                <w:sz w:val="20"/>
                <w:szCs w:val="20"/>
                <w:color w:val="auto"/>
              </w:rPr>
            </w:pPr>
            <w:r>
              <w:rPr>
                <w:rFonts w:ascii="Arial" w:cs="Arial" w:eastAsia="Arial" w:hAnsi="Arial"/>
                <w:sz w:val="14"/>
                <w:szCs w:val="14"/>
                <w:b w:val="1"/>
                <w:bCs w:val="1"/>
                <w:color w:val="435F86"/>
                <w:w w:val="94"/>
              </w:rPr>
              <w:t>award and option</w:t>
            </w:r>
          </w:p>
        </w:tc>
        <w:tc>
          <w:tcPr>
            <w:tcW w:w="11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5"/>
              </w:rPr>
              <w:t>Plus: Covered</w:t>
            </w:r>
          </w:p>
        </w:tc>
        <w:tc>
          <w:tcPr>
            <w:tcW w:w="114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5"/>
              </w:rPr>
              <w:t>to Covered</w:t>
            </w:r>
          </w:p>
        </w:tc>
        <w:tc>
          <w:tcPr>
            <w:tcW w:w="116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4"/>
              </w:rPr>
              <w:t>to vesting date)</w:t>
            </w:r>
          </w:p>
        </w:tc>
        <w:tc>
          <w:tcPr>
            <w:tcW w:w="1140" w:type="dxa"/>
            <w:vAlign w:val="bottom"/>
            <w:gridSpan w:val="2"/>
            <w:vMerge w:val="restart"/>
          </w:tcPr>
          <w:p>
            <w:pPr>
              <w:jc w:val="center"/>
              <w:ind w:left="71"/>
              <w:spacing w:after="0"/>
              <w:rPr>
                <w:sz w:val="20"/>
                <w:szCs w:val="20"/>
                <w:color w:val="auto"/>
              </w:rPr>
            </w:pPr>
            <w:r>
              <w:rPr>
                <w:rFonts w:ascii="Arial" w:cs="Arial" w:eastAsia="Arial" w:hAnsi="Arial"/>
                <w:sz w:val="14"/>
                <w:szCs w:val="14"/>
                <w:b w:val="1"/>
                <w:bCs w:val="1"/>
                <w:color w:val="435F86"/>
                <w:w w:val="94"/>
              </w:rPr>
              <w:t>Less: Fair value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center"/>
              <w:ind w:right="31"/>
              <w:spacing w:after="0" w:line="156" w:lineRule="exact"/>
              <w:rPr>
                <w:sz w:val="20"/>
                <w:szCs w:val="20"/>
                <w:color w:val="auto"/>
              </w:rPr>
            </w:pPr>
            <w:r>
              <w:rPr>
                <w:rFonts w:ascii="Arial" w:cs="Arial" w:eastAsia="Arial" w:hAnsi="Arial"/>
                <w:sz w:val="14"/>
                <w:szCs w:val="14"/>
                <w:b w:val="1"/>
                <w:bCs w:val="1"/>
                <w:color w:val="435F86"/>
                <w:w w:val="95"/>
              </w:rPr>
              <w:t>award values</w:t>
            </w: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3"/>
              </w:rPr>
              <w:t>Year-end</w:t>
            </w: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2"/>
              </w:rPr>
              <w:t>Year-end) of</w:t>
            </w:r>
          </w:p>
        </w:tc>
        <w:tc>
          <w:tcPr>
            <w:tcW w:w="116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5"/>
              </w:rPr>
              <w:t>of equity</w:t>
            </w:r>
          </w:p>
        </w:tc>
        <w:tc>
          <w:tcPr>
            <w:tcW w:w="114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5"/>
              </w:rPr>
              <w:t>reported in</w:t>
            </w:r>
          </w:p>
        </w:tc>
        <w:tc>
          <w:tcPr>
            <w:tcW w:w="11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4"/>
              </w:rPr>
              <w:t>fair value</w:t>
            </w: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4"/>
              </w:rPr>
              <w:t>outstanding</w:t>
            </w:r>
          </w:p>
        </w:tc>
        <w:tc>
          <w:tcPr>
            <w:tcW w:w="116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6"/>
              </w:rPr>
              <w:t>awards granted</w:t>
            </w:r>
          </w:p>
        </w:tc>
        <w:tc>
          <w:tcPr>
            <w:tcW w:w="1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6"/>
              </w:rPr>
              <w:t>of stock and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136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7"/>
              </w:rPr>
              <w:t>Summary</w:t>
            </w:r>
          </w:p>
        </w:tc>
        <w:tc>
          <w:tcPr>
            <w:tcW w:w="110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435F86"/>
                <w:w w:val="97"/>
              </w:rPr>
              <w:t>Summary</w:t>
            </w:r>
          </w:p>
        </w:tc>
        <w:tc>
          <w:tcPr>
            <w:tcW w:w="114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435F86"/>
                <w:w w:val="95"/>
              </w:rPr>
              <w:t>for outstanding</w:t>
            </w:r>
          </w:p>
        </w:tc>
        <w:tc>
          <w:tcPr>
            <w:tcW w:w="1140" w:type="dxa"/>
            <w:vAlign w:val="bottom"/>
          </w:tcPr>
          <w:p>
            <w:pPr>
              <w:jc w:val="center"/>
              <w:ind w:left="31"/>
              <w:spacing w:after="0" w:line="143" w:lineRule="exact"/>
              <w:rPr>
                <w:sz w:val="20"/>
                <w:szCs w:val="20"/>
                <w:color w:val="auto"/>
              </w:rPr>
            </w:pPr>
            <w:r>
              <w:rPr>
                <w:rFonts w:ascii="Arial" w:cs="Arial" w:eastAsia="Arial" w:hAnsi="Arial"/>
                <w:sz w:val="14"/>
                <w:szCs w:val="14"/>
                <w:b w:val="1"/>
                <w:bCs w:val="1"/>
                <w:color w:val="435F86"/>
                <w:w w:val="96"/>
              </w:rPr>
              <w:t>equity</w:t>
            </w:r>
          </w:p>
        </w:tc>
        <w:tc>
          <w:tcPr>
            <w:tcW w:w="1160" w:type="dxa"/>
            <w:vAlign w:val="bottom"/>
          </w:tcPr>
          <w:p>
            <w:pPr>
              <w:jc w:val="center"/>
              <w:ind w:left="31"/>
              <w:spacing w:after="0" w:line="143" w:lineRule="exact"/>
              <w:rPr>
                <w:sz w:val="20"/>
                <w:szCs w:val="20"/>
                <w:color w:val="auto"/>
              </w:rPr>
            </w:pPr>
            <w:r>
              <w:rPr>
                <w:rFonts w:ascii="Arial" w:cs="Arial" w:eastAsia="Arial" w:hAnsi="Arial"/>
                <w:sz w:val="14"/>
                <w:szCs w:val="14"/>
                <w:b w:val="1"/>
                <w:bCs w:val="1"/>
                <w:color w:val="435F86"/>
                <w:w w:val="95"/>
              </w:rPr>
              <w:t>in prior</w:t>
            </w:r>
          </w:p>
        </w:tc>
        <w:tc>
          <w:tcPr>
            <w:tcW w:w="160" w:type="dxa"/>
            <w:vAlign w:val="bottom"/>
          </w:tcPr>
          <w:p>
            <w:pPr>
              <w:spacing w:after="0"/>
              <w:rPr>
                <w:sz w:val="12"/>
                <w:szCs w:val="12"/>
                <w:color w:val="auto"/>
              </w:rPr>
            </w:pPr>
          </w:p>
        </w:tc>
        <w:tc>
          <w:tcPr>
            <w:tcW w:w="98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6"/>
              </w:rPr>
              <w:t>option awards</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6"/>
              </w:rPr>
              <w:t>Compensation</w:t>
            </w:r>
          </w:p>
        </w:tc>
        <w:tc>
          <w:tcPr>
            <w:tcW w:w="11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6"/>
              </w:rPr>
              <w:t>Compensation</w:t>
            </w:r>
          </w:p>
        </w:tc>
        <w:tc>
          <w:tcPr>
            <w:tcW w:w="11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6"/>
              </w:rPr>
              <w:t>equity awards</w:t>
            </w: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6"/>
              </w:rPr>
              <w:t>awards granted</w:t>
            </w:r>
          </w:p>
        </w:tc>
        <w:tc>
          <w:tcPr>
            <w:tcW w:w="116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6"/>
              </w:rPr>
              <w:t>years that</w:t>
            </w:r>
          </w:p>
        </w:tc>
        <w:tc>
          <w:tcPr>
            <w:tcW w:w="1140" w:type="dxa"/>
            <w:vAlign w:val="bottom"/>
            <w:gridSpan w:val="2"/>
          </w:tcPr>
          <w:p>
            <w:pPr>
              <w:jc w:val="center"/>
              <w:ind w:left="51"/>
              <w:spacing w:after="0" w:line="156" w:lineRule="exact"/>
              <w:rPr>
                <w:sz w:val="20"/>
                <w:szCs w:val="20"/>
                <w:color w:val="auto"/>
              </w:rPr>
            </w:pPr>
            <w:r>
              <w:rPr>
                <w:rFonts w:ascii="Arial" w:cs="Arial" w:eastAsia="Arial" w:hAnsi="Arial"/>
                <w:sz w:val="14"/>
                <w:szCs w:val="14"/>
                <w:b w:val="1"/>
                <w:bCs w:val="1"/>
                <w:color w:val="435F86"/>
                <w:w w:val="94"/>
              </w:rPr>
              <w:t>forfeited during</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13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1"/>
              </w:rPr>
              <w:t>Table Total</w:t>
            </w:r>
          </w:p>
        </w:tc>
        <w:tc>
          <w:tcPr>
            <w:tcW w:w="11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2"/>
              </w:rPr>
              <w:t>Table for the</w:t>
            </w:r>
          </w:p>
        </w:tc>
        <w:tc>
          <w:tcPr>
            <w:tcW w:w="114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4"/>
              </w:rPr>
              <w:t>granted in</w:t>
            </w:r>
          </w:p>
        </w:tc>
        <w:tc>
          <w:tcPr>
            <w:tcW w:w="1140" w:type="dxa"/>
            <w:vAlign w:val="bottom"/>
          </w:tcPr>
          <w:p>
            <w:pPr>
              <w:jc w:val="center"/>
              <w:ind w:left="51"/>
              <w:spacing w:after="0" w:line="156" w:lineRule="exact"/>
              <w:rPr>
                <w:sz w:val="20"/>
                <w:szCs w:val="20"/>
                <w:color w:val="auto"/>
              </w:rPr>
            </w:pPr>
            <w:r>
              <w:rPr>
                <w:rFonts w:ascii="Arial" w:cs="Arial" w:eastAsia="Arial" w:hAnsi="Arial"/>
                <w:sz w:val="14"/>
                <w:szCs w:val="14"/>
                <w:b w:val="1"/>
                <w:bCs w:val="1"/>
                <w:color w:val="435F86"/>
                <w:w w:val="93"/>
              </w:rPr>
              <w:t>prior to</w:t>
            </w:r>
          </w:p>
        </w:tc>
        <w:tc>
          <w:tcPr>
            <w:tcW w:w="1160" w:type="dxa"/>
            <w:vAlign w:val="bottom"/>
          </w:tcPr>
          <w:p>
            <w:pPr>
              <w:jc w:val="center"/>
              <w:ind w:left="31"/>
              <w:spacing w:after="0" w:line="156" w:lineRule="exact"/>
              <w:rPr>
                <w:sz w:val="20"/>
                <w:szCs w:val="20"/>
                <w:color w:val="auto"/>
              </w:rPr>
            </w:pPr>
            <w:r>
              <w:rPr>
                <w:rFonts w:ascii="Arial" w:cs="Arial" w:eastAsia="Arial" w:hAnsi="Arial"/>
                <w:sz w:val="14"/>
                <w:szCs w:val="14"/>
                <w:b w:val="1"/>
                <w:bCs w:val="1"/>
                <w:color w:val="435F86"/>
                <w:w w:val="95"/>
              </w:rPr>
              <w:t>vested in</w:t>
            </w:r>
          </w:p>
        </w:tc>
        <w:tc>
          <w:tcPr>
            <w:tcW w:w="16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3"/>
              </w:rPr>
              <w:t>the Covered</w:t>
            </w:r>
          </w:p>
        </w:tc>
        <w:tc>
          <w:tcPr>
            <w:tcW w:w="1120" w:type="dxa"/>
            <w:vAlign w:val="bottom"/>
            <w:vMerge w:val="restart"/>
          </w:tcPr>
          <w:p>
            <w:pPr>
              <w:ind w:left="60"/>
              <w:spacing w:after="0"/>
              <w:rPr>
                <w:sz w:val="20"/>
                <w:szCs w:val="20"/>
                <w:color w:val="auto"/>
              </w:rPr>
            </w:pPr>
            <w:r>
              <w:rPr>
                <w:rFonts w:ascii="Arial" w:cs="Arial" w:eastAsia="Arial" w:hAnsi="Arial"/>
                <w:sz w:val="27"/>
                <w:szCs w:val="27"/>
                <w:b w:val="1"/>
                <w:bCs w:val="1"/>
                <w:color w:val="435F86"/>
                <w:vertAlign w:val="subscript"/>
              </w:rPr>
              <w:t>​</w:t>
            </w:r>
            <w:r>
              <w:rPr>
                <w:rFonts w:ascii="Arial" w:cs="Arial" w:eastAsia="Arial" w:hAnsi="Arial"/>
                <w:sz w:val="14"/>
                <w:szCs w:val="14"/>
                <w:b w:val="1"/>
                <w:bCs w:val="1"/>
                <w:color w:val="435F86"/>
              </w:rPr>
              <w:t xml:space="preserve">   CEO CAP</w:t>
            </w:r>
          </w:p>
        </w:tc>
        <w:tc>
          <w:tcPr>
            <w:tcW w:w="0" w:type="dxa"/>
            <w:vAlign w:val="bottom"/>
          </w:tcPr>
          <w:p>
            <w:pPr>
              <w:spacing w:after="0"/>
              <w:rPr>
                <w:sz w:val="1"/>
                <w:szCs w:val="1"/>
                <w:color w:val="auto"/>
              </w:rPr>
            </w:pPr>
          </w:p>
        </w:tc>
      </w:tr>
      <w:tr>
        <w:trPr>
          <w:trHeight w:val="217"/>
        </w:trPr>
        <w:tc>
          <w:tcPr>
            <w:tcW w:w="560" w:type="dxa"/>
            <w:vAlign w:val="bottom"/>
            <w:tcBorders>
              <w:bottom w:val="single" w:sz="8" w:color="435F86"/>
            </w:tcBorders>
          </w:tcPr>
          <w:p>
            <w:pPr>
              <w:ind w:left="80"/>
              <w:spacing w:after="0"/>
              <w:rPr>
                <w:sz w:val="20"/>
                <w:szCs w:val="20"/>
                <w:color w:val="auto"/>
              </w:rPr>
            </w:pPr>
            <w:r>
              <w:rPr>
                <w:rFonts w:ascii="Arial" w:cs="Arial" w:eastAsia="Arial" w:hAnsi="Arial"/>
                <w:sz w:val="14"/>
                <w:szCs w:val="14"/>
                <w:b w:val="1"/>
                <w:bCs w:val="1"/>
                <w:color w:val="435F86"/>
              </w:rPr>
              <w:t>Year</w:t>
            </w:r>
          </w:p>
        </w:tc>
        <w:tc>
          <w:tcPr>
            <w:tcW w:w="1360" w:type="dxa"/>
            <w:vAlign w:val="bottom"/>
            <w:tcBorders>
              <w:bottom w:val="single" w:sz="8" w:color="435F86"/>
            </w:tcBorders>
          </w:tcPr>
          <w:p>
            <w:pPr>
              <w:ind w:left="10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Compensation </w:t>
            </w:r>
            <w:r>
              <w:rPr>
                <w:rFonts w:ascii="Arial" w:cs="Arial" w:eastAsia="Arial" w:hAnsi="Arial"/>
                <w:sz w:val="25"/>
                <w:szCs w:val="25"/>
                <w:b w:val="1"/>
                <w:bCs w:val="1"/>
                <w:color w:val="435F86"/>
                <w:vertAlign w:val="subscript"/>
              </w:rPr>
              <w:t>​ ​</w:t>
            </w:r>
          </w:p>
        </w:tc>
        <w:tc>
          <w:tcPr>
            <w:tcW w:w="1100" w:type="dxa"/>
            <w:vAlign w:val="bottom"/>
            <w:tcBorders>
              <w:bottom w:val="single" w:sz="8" w:color="435F86"/>
            </w:tcBorders>
          </w:tcPr>
          <w:p>
            <w:pPr>
              <w:jc w:val="center"/>
              <w:spacing w:after="0"/>
              <w:rPr>
                <w:sz w:val="20"/>
                <w:szCs w:val="20"/>
                <w:color w:val="auto"/>
              </w:rPr>
            </w:pPr>
            <w:r>
              <w:rPr>
                <w:rFonts w:ascii="Arial" w:cs="Arial" w:eastAsia="Arial" w:hAnsi="Arial"/>
                <w:sz w:val="14"/>
                <w:szCs w:val="14"/>
                <w:b w:val="1"/>
                <w:bCs w:val="1"/>
                <w:color w:val="435F86"/>
                <w:w w:val="95"/>
              </w:rPr>
              <w:t>Covered Year</w:t>
            </w:r>
          </w:p>
        </w:tc>
        <w:tc>
          <w:tcPr>
            <w:tcW w:w="1140" w:type="dxa"/>
            <w:vAlign w:val="bottom"/>
            <w:tcBorders>
              <w:bottom w:val="single" w:sz="8" w:color="435F86"/>
            </w:tcBorders>
          </w:tcPr>
          <w:p>
            <w:pPr>
              <w:ind w:left="2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Covered Year</w:t>
            </w:r>
          </w:p>
        </w:tc>
        <w:tc>
          <w:tcPr>
            <w:tcW w:w="1140" w:type="dxa"/>
            <w:vAlign w:val="bottom"/>
            <w:tcBorders>
              <w:bottom w:val="single" w:sz="8" w:color="435F86"/>
            </w:tcBorders>
          </w:tcPr>
          <w:p>
            <w:pPr>
              <w:ind w:left="2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Covered Year</w:t>
            </w:r>
          </w:p>
        </w:tc>
        <w:tc>
          <w:tcPr>
            <w:tcW w:w="1160" w:type="dxa"/>
            <w:vAlign w:val="bottom"/>
            <w:tcBorders>
              <w:bottom w:val="single" w:sz="8" w:color="435F86"/>
            </w:tcBorders>
          </w:tcPr>
          <w:p>
            <w:pPr>
              <w:ind w:left="4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 Covered Year</w:t>
            </w:r>
          </w:p>
        </w:tc>
        <w:tc>
          <w:tcPr>
            <w:tcW w:w="160" w:type="dxa"/>
            <w:vAlign w:val="bottom"/>
            <w:tcBorders>
              <w:bottom w:val="single" w:sz="8" w:color="435F86"/>
            </w:tcBorders>
          </w:tcPr>
          <w:p>
            <w:pPr>
              <w:ind w:left="40"/>
              <w:spacing w:after="0"/>
              <w:rPr>
                <w:sz w:val="20"/>
                <w:szCs w:val="20"/>
                <w:color w:val="auto"/>
              </w:rPr>
            </w:pPr>
            <w:r>
              <w:rPr>
                <w:rFonts w:ascii="Arial" w:cs="Arial" w:eastAsia="Arial" w:hAnsi="Arial"/>
                <w:sz w:val="14"/>
                <w:szCs w:val="14"/>
                <w:b w:val="1"/>
                <w:bCs w:val="1"/>
                <w:color w:val="435F86"/>
              </w:rPr>
              <w:t>​ ​</w:t>
            </w:r>
          </w:p>
        </w:tc>
        <w:tc>
          <w:tcPr>
            <w:tcW w:w="980" w:type="dxa"/>
            <w:vAlign w:val="bottom"/>
            <w:tcBorders>
              <w:bottom w:val="single" w:sz="8" w:color="435F86"/>
            </w:tcBorders>
          </w:tcPr>
          <w:p>
            <w:pPr>
              <w:jc w:val="center"/>
              <w:spacing w:after="0"/>
              <w:rPr>
                <w:sz w:val="20"/>
                <w:szCs w:val="20"/>
                <w:color w:val="auto"/>
              </w:rPr>
            </w:pPr>
            <w:r>
              <w:rPr>
                <w:rFonts w:ascii="Arial" w:cs="Arial" w:eastAsia="Arial" w:hAnsi="Arial"/>
                <w:sz w:val="14"/>
                <w:szCs w:val="14"/>
                <w:b w:val="1"/>
                <w:bCs w:val="1"/>
                <w:color w:val="435F86"/>
                <w:w w:val="92"/>
              </w:rPr>
              <w:t>Year</w:t>
            </w:r>
          </w:p>
        </w:tc>
        <w:tc>
          <w:tcPr>
            <w:tcW w:w="1120" w:type="dxa"/>
            <w:vAlign w:val="bottom"/>
            <w:tcBorders>
              <w:bottom w:val="single" w:sz="8" w:color="435F86"/>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60" w:type="dxa"/>
            <w:vAlign w:val="bottom"/>
            <w:tcBorders>
              <w:bottom w:val="single" w:sz="8" w:color="435F86"/>
            </w:tcBorders>
            <w:shd w:val="clear" w:color="auto" w:fill="CCEEFF"/>
          </w:tcPr>
          <w:p>
            <w:pPr>
              <w:ind w:left="80"/>
              <w:spacing w:after="0"/>
              <w:rPr>
                <w:sz w:val="20"/>
                <w:szCs w:val="20"/>
                <w:color w:val="auto"/>
              </w:rPr>
            </w:pPr>
            <w:r>
              <w:rPr>
                <w:rFonts w:ascii="Arial" w:cs="Arial" w:eastAsia="Arial" w:hAnsi="Arial"/>
                <w:sz w:val="17"/>
                <w:szCs w:val="17"/>
                <w:color w:val="auto"/>
              </w:rPr>
              <w:t>2024</w:t>
            </w:r>
          </w:p>
        </w:tc>
        <w:tc>
          <w:tcPr>
            <w:tcW w:w="6060" w:type="dxa"/>
            <w:vAlign w:val="bottom"/>
            <w:tcBorders>
              <w:bottom w:val="single" w:sz="8" w:color="435F86"/>
            </w:tcBorders>
            <w:gridSpan w:val="6"/>
            <w:shd w:val="clear" w:color="auto" w:fill="CCEEFF"/>
          </w:tcPr>
          <w:p>
            <w:pPr>
              <w:jc w:val="center"/>
              <w:ind w:left="3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$10,392,468 </w:t>
            </w:r>
            <w:r>
              <w:rPr>
                <w:rFonts w:ascii="Arial" w:cs="Arial" w:eastAsia="Arial" w:hAnsi="Arial"/>
                <w:sz w:val="29"/>
                <w:szCs w:val="29"/>
                <w:color w:val="auto"/>
                <w:vertAlign w:val="subscript"/>
              </w:rPr>
              <w:t>​​ ​</w:t>
            </w:r>
            <w:r>
              <w:rPr>
                <w:rFonts w:ascii="Arial" w:cs="Arial" w:eastAsia="Arial" w:hAnsi="Arial"/>
                <w:sz w:val="16"/>
                <w:szCs w:val="16"/>
                <w:color w:val="auto"/>
              </w:rPr>
              <w:t>$ (8,007,269)</w:t>
            </w:r>
            <w:r>
              <w:rPr>
                <w:rFonts w:ascii="Arial" w:cs="Arial" w:eastAsia="Arial" w:hAnsi="Arial"/>
                <w:sz w:val="29"/>
                <w:szCs w:val="29"/>
                <w:color w:val="auto"/>
                <w:vertAlign w:val="subscript"/>
              </w:rPr>
              <w:t>​​​​</w:t>
            </w:r>
            <w:r>
              <w:rPr>
                <w:rFonts w:ascii="Arial" w:cs="Arial" w:eastAsia="Arial" w:hAnsi="Arial"/>
                <w:sz w:val="16"/>
                <w:szCs w:val="16"/>
                <w:color w:val="auto"/>
              </w:rPr>
              <w:t>$ 7,676,419</w:t>
            </w:r>
            <w:r>
              <w:rPr>
                <w:rFonts w:ascii="Arial" w:cs="Arial" w:eastAsia="Arial" w:hAnsi="Arial"/>
                <w:sz w:val="29"/>
                <w:szCs w:val="29"/>
                <w:color w:val="auto"/>
                <w:vertAlign w:val="subscript"/>
              </w:rPr>
              <w:t>​​​​</w:t>
            </w:r>
            <w:r>
              <w:rPr>
                <w:rFonts w:ascii="Arial" w:cs="Arial" w:eastAsia="Arial" w:hAnsi="Arial"/>
                <w:sz w:val="16"/>
                <w:szCs w:val="16"/>
                <w:color w:val="auto"/>
              </w:rPr>
              <w:t>$ (1,676,669)</w:t>
            </w:r>
            <w:r>
              <w:rPr>
                <w:rFonts w:ascii="Arial" w:cs="Arial" w:eastAsia="Arial" w:hAnsi="Arial"/>
                <w:sz w:val="29"/>
                <w:szCs w:val="29"/>
                <w:color w:val="auto"/>
                <w:vertAlign w:val="subscript"/>
              </w:rPr>
              <w:t>​​​</w:t>
            </w:r>
            <w:r>
              <w:rPr>
                <w:rFonts w:ascii="Arial" w:cs="Arial" w:eastAsia="Arial" w:hAnsi="Arial"/>
                <w:sz w:val="16"/>
                <w:szCs w:val="16"/>
                <w:color w:val="auto"/>
              </w:rPr>
              <w:t>$ (3,311,885)</w:t>
            </w:r>
            <w:r>
              <w:rPr>
                <w:rFonts w:ascii="Arial" w:cs="Arial" w:eastAsia="Arial" w:hAnsi="Arial"/>
                <w:sz w:val="29"/>
                <w:szCs w:val="29"/>
                <w:color w:val="auto"/>
                <w:vertAlign w:val="subscript"/>
              </w:rPr>
              <w:t>​​</w:t>
            </w:r>
          </w:p>
        </w:tc>
        <w:tc>
          <w:tcPr>
            <w:tcW w:w="980" w:type="dxa"/>
            <w:vAlign w:val="bottom"/>
            <w:tcBorders>
              <w:bottom w:val="single" w:sz="8" w:color="435F86"/>
            </w:tcBorders>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w:t>
            </w:r>
          </w:p>
        </w:tc>
        <w:tc>
          <w:tcPr>
            <w:tcW w:w="1120" w:type="dxa"/>
            <w:vAlign w:val="bottom"/>
            <w:tcBorders>
              <w:bottom w:val="single" w:sz="8" w:color="435F86"/>
            </w:tcBorders>
            <w:shd w:val="clear" w:color="auto" w:fill="CCEEFF"/>
          </w:tcPr>
          <w:p>
            <w:pPr>
              <w:ind w:left="20"/>
              <w:spacing w:after="0" w:line="252"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6"/>
                <w:szCs w:val="16"/>
                <w:color w:val="auto"/>
              </w:rPr>
              <w:t>$5,073,064</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435F86"/>
        </w:rPr>
        <w:t>Average Non-CEO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27305</wp:posOffset>
            </wp:positionV>
            <wp:extent cx="5538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36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435F86"/>
                <w:w w:val="96"/>
              </w:rPr>
              <w:t>Less: Average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435F86"/>
                <w:w w:val="95"/>
              </w:rPr>
              <w:t>Plus: Covered</w:t>
            </w:r>
          </w:p>
        </w:tc>
      </w:tr>
      <w:tr>
        <w:trPr>
          <w:trHeight w:val="156"/>
        </w:trPr>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4"/>
              </w:rPr>
              <w:t>stock award and</w:t>
            </w:r>
          </w:p>
        </w:tc>
        <w:tc>
          <w:tcPr>
            <w:tcW w:w="9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3"/>
              </w:rPr>
              <w:t>Year-end</w:t>
            </w:r>
          </w:p>
        </w:tc>
      </w:tr>
      <w:tr>
        <w:trPr>
          <w:trHeight w:val="156"/>
        </w:trPr>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6"/>
              </w:rPr>
              <w:t>option award</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4"/>
              </w:rPr>
              <w:t>average fair</w:t>
            </w:r>
          </w:p>
        </w:tc>
      </w:tr>
      <w:tr>
        <w:trPr>
          <w:trHeight w:val="156"/>
        </w:trPr>
        <w:tc>
          <w:tcPr>
            <w:tcW w:w="460" w:type="dxa"/>
            <w:vAlign w:val="bottom"/>
          </w:tcPr>
          <w:p>
            <w:pPr>
              <w:spacing w:after="0"/>
              <w:rPr>
                <w:sz w:val="13"/>
                <w:szCs w:val="13"/>
                <w:color w:val="auto"/>
              </w:rPr>
            </w:pPr>
          </w:p>
        </w:tc>
        <w:tc>
          <w:tcPr>
            <w:tcW w:w="11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4"/>
              </w:rPr>
              <w:t>Average</w:t>
            </w: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5"/>
              </w:rPr>
              <w:t>values reported</w:t>
            </w:r>
          </w:p>
        </w:tc>
        <w:tc>
          <w:tcPr>
            <w:tcW w:w="9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5"/>
              </w:rPr>
              <w:t>value for</w:t>
            </w:r>
          </w:p>
        </w:tc>
      </w:tr>
      <w:tr>
        <w:trPr>
          <w:trHeight w:val="143"/>
        </w:trPr>
        <w:tc>
          <w:tcPr>
            <w:tcW w:w="460" w:type="dxa"/>
            <w:vAlign w:val="bottom"/>
          </w:tcPr>
          <w:p>
            <w:pPr>
              <w:spacing w:after="0"/>
              <w:rPr>
                <w:sz w:val="12"/>
                <w:szCs w:val="12"/>
                <w:color w:val="auto"/>
              </w:rPr>
            </w:pPr>
          </w:p>
        </w:tc>
        <w:tc>
          <w:tcPr>
            <w:tcW w:w="116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435F86"/>
                <w:w w:val="93"/>
              </w:rPr>
              <w:t>Summary</w:t>
            </w:r>
          </w:p>
        </w:tc>
        <w:tc>
          <w:tcPr>
            <w:tcW w:w="120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4"/>
              </w:rPr>
              <w:t>in Summary</w:t>
            </w:r>
          </w:p>
        </w:tc>
        <w:tc>
          <w:tcPr>
            <w:tcW w:w="96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435F86"/>
                <w:w w:val="94"/>
              </w:rPr>
              <w:t>outstanding</w:t>
            </w:r>
          </w:p>
        </w:tc>
      </w:tr>
      <w:tr>
        <w:trPr>
          <w:trHeight w:val="156"/>
        </w:trPr>
        <w:tc>
          <w:tcPr>
            <w:tcW w:w="460" w:type="dxa"/>
            <w:vAlign w:val="bottom"/>
          </w:tcPr>
          <w:p>
            <w:pPr>
              <w:spacing w:after="0"/>
              <w:rPr>
                <w:sz w:val="13"/>
                <w:szCs w:val="13"/>
                <w:color w:val="auto"/>
              </w:rPr>
            </w:pPr>
          </w:p>
        </w:tc>
        <w:tc>
          <w:tcPr>
            <w:tcW w:w="11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4"/>
              </w:rPr>
              <w:t>Compensation</w:t>
            </w: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4"/>
              </w:rPr>
              <w:t>Compensation</w:t>
            </w:r>
          </w:p>
        </w:tc>
        <w:tc>
          <w:tcPr>
            <w:tcW w:w="9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6"/>
              </w:rPr>
              <w:t>equity awards</w:t>
            </w:r>
          </w:p>
        </w:tc>
      </w:tr>
      <w:tr>
        <w:trPr>
          <w:trHeight w:val="156"/>
        </w:trPr>
        <w:tc>
          <w:tcPr>
            <w:tcW w:w="460" w:type="dxa"/>
            <w:vAlign w:val="bottom"/>
          </w:tcPr>
          <w:p>
            <w:pPr>
              <w:spacing w:after="0"/>
              <w:rPr>
                <w:sz w:val="13"/>
                <w:szCs w:val="13"/>
                <w:color w:val="auto"/>
              </w:rPr>
            </w:pPr>
          </w:p>
        </w:tc>
        <w:tc>
          <w:tcPr>
            <w:tcW w:w="11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1"/>
              </w:rPr>
              <w:t>Table Total</w:t>
            </w:r>
          </w:p>
        </w:tc>
        <w:tc>
          <w:tcPr>
            <w:tcW w:w="12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5"/>
              </w:rPr>
              <w:t>Table for the</w:t>
            </w:r>
          </w:p>
        </w:tc>
        <w:tc>
          <w:tcPr>
            <w:tcW w:w="9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4"/>
              </w:rPr>
              <w:t>granted in</w:t>
            </w:r>
          </w:p>
        </w:tc>
      </w:tr>
      <w:tr>
        <w:trPr>
          <w:trHeight w:val="202"/>
        </w:trPr>
        <w:tc>
          <w:tcPr>
            <w:tcW w:w="460" w:type="dxa"/>
            <w:vAlign w:val="bottom"/>
          </w:tcPr>
          <w:p>
            <w:pPr>
              <w:spacing w:after="0"/>
              <w:rPr>
                <w:sz w:val="20"/>
                <w:szCs w:val="20"/>
                <w:color w:val="auto"/>
              </w:rPr>
            </w:pPr>
            <w:r>
              <w:rPr>
                <w:rFonts w:ascii="Arial" w:cs="Arial" w:eastAsia="Arial" w:hAnsi="Arial"/>
                <w:sz w:val="14"/>
                <w:szCs w:val="14"/>
                <w:b w:val="1"/>
                <w:bCs w:val="1"/>
                <w:color w:val="435F86"/>
              </w:rPr>
              <w:t>Year</w:t>
            </w:r>
          </w:p>
        </w:tc>
        <w:tc>
          <w:tcPr>
            <w:tcW w:w="1160" w:type="dxa"/>
            <w:vAlign w:val="bottom"/>
          </w:tcPr>
          <w:p>
            <w:pPr>
              <w:jc w:val="center"/>
              <w:ind w:left="51"/>
              <w:spacing w:after="0"/>
              <w:rPr>
                <w:sz w:val="20"/>
                <w:szCs w:val="20"/>
                <w:color w:val="auto"/>
              </w:rPr>
            </w:pPr>
            <w:r>
              <w:rPr>
                <w:rFonts w:ascii="Arial" w:cs="Arial" w:eastAsia="Arial" w:hAnsi="Arial"/>
                <w:sz w:val="14"/>
                <w:szCs w:val="14"/>
                <w:b w:val="1"/>
                <w:bCs w:val="1"/>
                <w:color w:val="435F86"/>
                <w:w w:val="94"/>
              </w:rPr>
              <w:t>Compensation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435F86"/>
                <w:w w:val="95"/>
              </w:rPr>
              <w:t>Covered Year</w:t>
            </w:r>
          </w:p>
        </w:tc>
        <w:tc>
          <w:tcPr>
            <w:tcW w:w="960" w:type="dxa"/>
            <w:vAlign w:val="bottom"/>
          </w:tcPr>
          <w:p>
            <w:pPr>
              <w:jc w:val="center"/>
              <w:ind w:left="31"/>
              <w:spacing w:after="0"/>
              <w:rPr>
                <w:sz w:val="20"/>
                <w:szCs w:val="20"/>
                <w:color w:val="auto"/>
              </w:rPr>
            </w:pPr>
            <w:r>
              <w:rPr>
                <w:rFonts w:ascii="Arial" w:cs="Arial" w:eastAsia="Arial" w:hAnsi="Arial"/>
                <w:sz w:val="14"/>
                <w:szCs w:val="14"/>
                <w:b w:val="1"/>
                <w:bCs w:val="1"/>
                <w:color w:val="435F86"/>
                <w:w w:val="95"/>
              </w:rPr>
              <w:t>Covered Year</w:t>
            </w: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center"/>
              <w:ind w:right="11"/>
              <w:spacing w:after="0"/>
              <w:rPr>
                <w:sz w:val="20"/>
                <w:szCs w:val="20"/>
                <w:color w:val="auto"/>
              </w:rPr>
            </w:pPr>
            <w:r>
              <w:rPr>
                <w:rFonts w:ascii="Arial" w:cs="Arial" w:eastAsia="Arial" w:hAnsi="Arial"/>
                <w:sz w:val="14"/>
                <w:szCs w:val="14"/>
                <w:b w:val="1"/>
                <w:bCs w:val="1"/>
                <w:color w:val="435F86"/>
                <w:w w:val="97"/>
              </w:rPr>
              <w:t>Plus/Less:</w:t>
            </w:r>
          </w:p>
        </w:tc>
        <w:tc>
          <w:tcPr>
            <w:tcW w:w="1060" w:type="dxa"/>
            <w:vAlign w:val="bottom"/>
          </w:tcPr>
          <w:p>
            <w:pPr>
              <w:jc w:val="center"/>
              <w:ind w:left="11"/>
              <w:spacing w:after="0"/>
              <w:rPr>
                <w:sz w:val="20"/>
                <w:szCs w:val="20"/>
                <w:color w:val="auto"/>
              </w:rPr>
            </w:pPr>
            <w:r>
              <w:rPr>
                <w:rFonts w:ascii="Arial" w:cs="Arial" w:eastAsia="Arial" w:hAnsi="Arial"/>
                <w:sz w:val="14"/>
                <w:szCs w:val="14"/>
                <w:b w:val="1"/>
                <w:bCs w:val="1"/>
                <w:color w:val="435F86"/>
                <w:w w:val="94"/>
              </w:rPr>
              <w:t>Plus/Less:</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4"/>
              </w:rPr>
              <w:t>Change in fair</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4"/>
              </w:rPr>
              <w:t>Change in fair</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5"/>
              </w:rPr>
              <w:t>value (from</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5"/>
              </w:rPr>
              <w:t>value (from</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3"/>
              </w:rPr>
              <w:t>prior year-end</w:t>
            </w:r>
          </w:p>
        </w:tc>
        <w:tc>
          <w:tcPr>
            <w:tcW w:w="10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5"/>
              </w:rPr>
              <w:t>prior year-end</w:t>
            </w:r>
          </w:p>
        </w:tc>
      </w:tr>
      <w:tr>
        <w:trPr>
          <w:trHeight w:val="143"/>
        </w:trPr>
        <w:tc>
          <w:tcPr>
            <w:tcW w:w="140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435F86"/>
                <w:w w:val="92"/>
              </w:rPr>
              <w:t>to Covered</w:t>
            </w:r>
          </w:p>
        </w:tc>
        <w:tc>
          <w:tcPr>
            <w:tcW w:w="1060" w:type="dxa"/>
            <w:vAlign w:val="bottom"/>
          </w:tcPr>
          <w:p>
            <w:pPr>
              <w:jc w:val="center"/>
              <w:ind w:left="11"/>
              <w:spacing w:after="0" w:line="143" w:lineRule="exact"/>
              <w:rPr>
                <w:sz w:val="20"/>
                <w:szCs w:val="20"/>
                <w:color w:val="auto"/>
              </w:rPr>
            </w:pPr>
            <w:r>
              <w:rPr>
                <w:rFonts w:ascii="Arial" w:cs="Arial" w:eastAsia="Arial" w:hAnsi="Arial"/>
                <w:sz w:val="14"/>
                <w:szCs w:val="14"/>
                <w:b w:val="1"/>
                <w:bCs w:val="1"/>
                <w:color w:val="435F86"/>
                <w:w w:val="94"/>
              </w:rPr>
              <w:t>to vesting date)</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2"/>
              </w:rPr>
              <w:t>Year-end) of</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5"/>
              </w:rPr>
              <w:t>of equity</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4"/>
              </w:rPr>
              <w:t>outstanding</w:t>
            </w:r>
          </w:p>
        </w:tc>
        <w:tc>
          <w:tcPr>
            <w:tcW w:w="10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4"/>
              </w:rPr>
              <w:t>awards granted</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6"/>
              </w:rPr>
              <w:t>equity</w:t>
            </w:r>
          </w:p>
        </w:tc>
        <w:tc>
          <w:tcPr>
            <w:tcW w:w="106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4"/>
              </w:rPr>
              <w:t>in prior years</w:t>
            </w:r>
          </w:p>
        </w:tc>
      </w:tr>
      <w:tr>
        <w:trPr>
          <w:trHeight w:val="156"/>
        </w:trPr>
        <w:tc>
          <w:tcPr>
            <w:tcW w:w="1400" w:type="dxa"/>
            <w:vAlign w:val="bottom"/>
          </w:tcPr>
          <w:p>
            <w:pPr>
              <w:jc w:val="center"/>
              <w:ind w:right="11"/>
              <w:spacing w:after="0" w:line="156" w:lineRule="exact"/>
              <w:rPr>
                <w:sz w:val="20"/>
                <w:szCs w:val="20"/>
                <w:color w:val="auto"/>
              </w:rPr>
            </w:pPr>
            <w:r>
              <w:rPr>
                <w:rFonts w:ascii="Arial" w:cs="Arial" w:eastAsia="Arial" w:hAnsi="Arial"/>
                <w:sz w:val="14"/>
                <w:szCs w:val="14"/>
                <w:b w:val="1"/>
                <w:bCs w:val="1"/>
                <w:color w:val="435F86"/>
                <w:w w:val="96"/>
              </w:rPr>
              <w:t>awards granted</w:t>
            </w:r>
          </w:p>
        </w:tc>
        <w:tc>
          <w:tcPr>
            <w:tcW w:w="106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435F86"/>
                <w:w w:val="95"/>
              </w:rPr>
              <w:t>that vested in</w:t>
            </w:r>
          </w:p>
        </w:tc>
      </w:tr>
      <w:tr>
        <w:trPr>
          <w:trHeight w:val="255"/>
        </w:trPr>
        <w:tc>
          <w:tcPr>
            <w:tcW w:w="1400" w:type="dxa"/>
            <w:vAlign w:val="bottom"/>
          </w:tcPr>
          <w:p>
            <w:pPr>
              <w:jc w:val="center"/>
              <w:spacing w:after="0"/>
              <w:rPr>
                <w:sz w:val="20"/>
                <w:szCs w:val="20"/>
                <w:color w:val="auto"/>
              </w:rPr>
            </w:pPr>
            <w:r>
              <w:rPr>
                <w:rFonts w:ascii="Arial" w:cs="Arial" w:eastAsia="Arial" w:hAnsi="Arial"/>
                <w:sz w:val="14"/>
                <w:szCs w:val="14"/>
                <w:b w:val="1"/>
                <w:bCs w:val="1"/>
                <w:color w:val="435F86"/>
                <w:w w:val="94"/>
              </w:rPr>
              <w:t>prior to Covered Year</w:t>
            </w:r>
          </w:p>
        </w:tc>
        <w:tc>
          <w:tcPr>
            <w:tcW w:w="1060" w:type="dxa"/>
            <w:vAlign w:val="bottom"/>
          </w:tcPr>
          <w:p>
            <w:pPr>
              <w:ind w:left="40"/>
              <w:spacing w:after="0" w:line="255" w:lineRule="exact"/>
              <w:rPr>
                <w:sz w:val="20"/>
                <w:szCs w:val="20"/>
                <w:color w:val="auto"/>
              </w:rPr>
            </w:pPr>
            <w:r>
              <w:rPr>
                <w:rFonts w:ascii="Arial" w:cs="Arial" w:eastAsia="Arial" w:hAnsi="Arial"/>
                <w:sz w:val="27"/>
                <w:szCs w:val="27"/>
                <w:b w:val="1"/>
                <w:bCs w:val="1"/>
                <w:color w:val="435F86"/>
                <w:vertAlign w:val="subscript"/>
              </w:rPr>
              <w:t>​</w:t>
            </w:r>
            <w:r>
              <w:rPr>
                <w:rFonts w:ascii="Arial" w:cs="Arial" w:eastAsia="Arial" w:hAnsi="Arial"/>
                <w:sz w:val="14"/>
                <w:szCs w:val="14"/>
                <w:b w:val="1"/>
                <w:bCs w:val="1"/>
                <w:color w:val="435F86"/>
              </w:rPr>
              <w:t xml:space="preserve"> Covered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-2537460</wp:posOffset>
            </wp:positionH>
            <wp:positionV relativeFrom="paragraph">
              <wp:posOffset>-31750</wp:posOffset>
            </wp:positionV>
            <wp:extent cx="5538470" cy="1733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38470"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435F86"/>
                <w:w w:val="98"/>
              </w:rPr>
              <w:t>Less: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4"/>
              </w:rPr>
              <w:t>Fair value of</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7"/>
              </w:rPr>
              <w:t>stock and</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6"/>
              </w:rPr>
              <w:t>option awards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4"/>
              </w:rPr>
              <w:t>forfeited during</w:t>
            </w: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435F86"/>
                <w:w w:val="96"/>
              </w:rPr>
              <w:t>Non-CEO</w:t>
            </w: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3"/>
              </w:rPr>
              <w:t>the Covered</w:t>
            </w: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0"/>
                <w:szCs w:val="20"/>
                <w:color w:val="auto"/>
              </w:rPr>
            </w:pPr>
            <w:r>
              <w:rPr>
                <w:rFonts w:ascii="Arial" w:cs="Arial" w:eastAsia="Arial" w:hAnsi="Arial"/>
                <w:sz w:val="14"/>
                <w:szCs w:val="14"/>
                <w:b w:val="1"/>
                <w:bCs w:val="1"/>
                <w:color w:val="435F86"/>
              </w:rPr>
              <w:t>​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435F86"/>
                <w:w w:val="92"/>
              </w:rPr>
              <w:t>Year</w:t>
            </w:r>
          </w:p>
        </w:tc>
        <w:tc>
          <w:tcPr>
            <w:tcW w:w="900" w:type="dxa"/>
            <w:vAlign w:val="bottom"/>
          </w:tcPr>
          <w:p>
            <w:pPr>
              <w:ind w:left="40"/>
              <w:spacing w:after="0" w:line="268" w:lineRule="exact"/>
              <w:rPr>
                <w:sz w:val="20"/>
                <w:szCs w:val="20"/>
                <w:color w:val="auto"/>
              </w:rPr>
            </w:pPr>
            <w:r>
              <w:rPr>
                <w:rFonts w:ascii="Arial" w:cs="Arial" w:eastAsia="Arial" w:hAnsi="Arial"/>
                <w:sz w:val="27"/>
                <w:szCs w:val="27"/>
                <w:b w:val="1"/>
                <w:bCs w:val="1"/>
                <w:color w:val="435F86"/>
                <w:vertAlign w:val="subscript"/>
              </w:rPr>
              <w:t>​ ​</w:t>
            </w:r>
            <w:r>
              <w:rPr>
                <w:rFonts w:ascii="Arial" w:cs="Arial" w:eastAsia="Arial" w:hAnsi="Arial"/>
                <w:sz w:val="14"/>
                <w:szCs w:val="14"/>
                <w:b w:val="1"/>
                <w:bCs w:val="1"/>
                <w:color w:val="435F86"/>
              </w:rPr>
              <w:t xml:space="preserve">  NEO CAP</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4640" w:space="140"/>
            <w:col w:w="2460" w:space="60"/>
            <w:col w:w="2359"/>
          </w:cols>
          <w:pgMar w:left="800" w:top="93" w:right="1440" w:bottom="1440" w:gutter="0" w:footer="0" w:header="0"/>
          <w:type w:val="continuous"/>
        </w:sectPr>
      </w:pPr>
    </w:p>
    <w:p>
      <w:pPr>
        <w:ind w:left="860"/>
        <w:spacing w:after="0"/>
        <w:tabs>
          <w:tab w:leader="none" w:pos="1460" w:val="left"/>
          <w:tab w:leader="none" w:pos="4980" w:val="left"/>
          <w:tab w:leader="none" w:pos="7740" w:val="left"/>
          <w:tab w:leader="none" w:pos="8380" w:val="left"/>
        </w:tabs>
        <w:rPr>
          <w:sz w:val="20"/>
          <w:szCs w:val="20"/>
          <w:color w:val="auto"/>
        </w:rPr>
      </w:pPr>
      <w:r>
        <w:rPr>
          <w:rFonts w:ascii="Arial" w:cs="Arial" w:eastAsia="Arial" w:hAnsi="Arial"/>
          <w:sz w:val="16"/>
          <w:szCs w:val="16"/>
          <w:color w:val="auto"/>
        </w:rPr>
        <w:t>2024</w:t>
        <w:tab/>
      </w:r>
      <w:r>
        <w:rPr>
          <w:rFonts w:ascii="Arial" w:cs="Arial" w:eastAsia="Arial" w:hAnsi="Arial"/>
          <w:sz w:val="29"/>
          <w:szCs w:val="29"/>
          <w:color w:val="auto"/>
          <w:vertAlign w:val="subscript"/>
        </w:rPr>
        <w:t>​</w:t>
      </w:r>
      <w:r>
        <w:rPr>
          <w:rFonts w:ascii="Arial" w:cs="Arial" w:eastAsia="Arial" w:hAnsi="Arial"/>
          <w:sz w:val="16"/>
          <w:szCs w:val="16"/>
          <w:color w:val="auto"/>
        </w:rPr>
        <w:t xml:space="preserve">$ 2,337,051 </w:t>
      </w:r>
      <w:r>
        <w:rPr>
          <w:rFonts w:ascii="Arial" w:cs="Arial" w:eastAsia="Arial" w:hAnsi="Arial"/>
          <w:sz w:val="29"/>
          <w:szCs w:val="29"/>
          <w:color w:val="auto"/>
          <w:vertAlign w:val="subscript"/>
        </w:rPr>
        <w:t>​</w:t>
      </w:r>
      <w:r>
        <w:rPr>
          <w:rFonts w:ascii="Arial" w:cs="Arial" w:eastAsia="Arial" w:hAnsi="Arial"/>
          <w:sz w:val="16"/>
          <w:szCs w:val="16"/>
          <w:color w:val="auto"/>
        </w:rPr>
        <w:t>$ (1,234,451)</w:t>
      </w:r>
      <w:r>
        <w:rPr>
          <w:rFonts w:ascii="Arial" w:cs="Arial" w:eastAsia="Arial" w:hAnsi="Arial"/>
          <w:sz w:val="29"/>
          <w:szCs w:val="29"/>
          <w:color w:val="auto"/>
          <w:vertAlign w:val="subscript"/>
        </w:rPr>
        <w:t>​ ​</w:t>
      </w:r>
      <w:r>
        <w:rPr>
          <w:rFonts w:ascii="Arial" w:cs="Arial" w:eastAsia="Arial" w:hAnsi="Arial"/>
          <w:sz w:val="16"/>
          <w:szCs w:val="16"/>
          <w:color w:val="auto"/>
        </w:rPr>
        <w:t>$ 1,183,444</w:t>
      </w:r>
      <w:r>
        <w:rPr>
          <w:sz w:val="20"/>
          <w:szCs w:val="20"/>
          <w:color w:val="auto"/>
        </w:rPr>
        <w:tab/>
      </w:r>
      <w:r>
        <w:rPr>
          <w:rFonts w:ascii="Arial" w:cs="Arial" w:eastAsia="Arial" w:hAnsi="Arial"/>
          <w:sz w:val="29"/>
          <w:szCs w:val="29"/>
          <w:color w:val="auto"/>
          <w:vertAlign w:val="subscript"/>
        </w:rPr>
        <w:t>​</w:t>
      </w:r>
      <w:r>
        <w:rPr>
          <w:rFonts w:ascii="Arial" w:cs="Arial" w:eastAsia="Arial" w:hAnsi="Arial"/>
          <w:sz w:val="29"/>
          <w:szCs w:val="29"/>
          <w:color w:val="auto"/>
        </w:rPr>
        <w:t xml:space="preserve">$ (191,662)  </w:t>
      </w:r>
      <w:r>
        <w:rPr>
          <w:rFonts w:ascii="Arial" w:cs="Arial" w:eastAsia="Arial" w:hAnsi="Arial"/>
          <w:sz w:val="29"/>
          <w:szCs w:val="29"/>
          <w:color w:val="auto"/>
          <w:vertAlign w:val="subscript"/>
        </w:rPr>
        <w:t>​ ​ ​</w:t>
      </w:r>
      <w:r>
        <w:rPr>
          <w:rFonts w:ascii="Arial" w:cs="Arial" w:eastAsia="Arial" w:hAnsi="Arial"/>
          <w:sz w:val="15"/>
          <w:szCs w:val="15"/>
          <w:color w:val="auto"/>
        </w:rPr>
        <w:t>$ (356,563)</w:t>
      </w:r>
      <w:r>
        <w:rPr>
          <w:rFonts w:ascii="Arial" w:cs="Arial" w:eastAsia="Arial" w:hAnsi="Arial"/>
          <w:sz w:val="29"/>
          <w:szCs w:val="29"/>
          <w:color w:val="auto"/>
          <w:vertAlign w:val="subscript"/>
        </w:rPr>
        <w:t>​​​</w:t>
      </w:r>
      <w:r>
        <w:rPr>
          <w:sz w:val="20"/>
          <w:szCs w:val="20"/>
          <w:color w:val="auto"/>
        </w:rPr>
        <w:tab/>
      </w:r>
      <w:r>
        <w:rPr>
          <w:rFonts w:ascii="Arial" w:cs="Arial" w:eastAsia="Arial" w:hAnsi="Arial"/>
          <w:sz w:val="28"/>
          <w:szCs w:val="28"/>
          <w:color w:val="auto"/>
          <w:vertAlign w:val="subscript"/>
        </w:rPr>
        <w:t>​</w:t>
      </w:r>
      <w:r>
        <w:rPr>
          <w:rFonts w:ascii="Arial" w:cs="Arial" w:eastAsia="Arial" w:hAnsi="Arial"/>
          <w:sz w:val="28"/>
          <w:szCs w:val="28"/>
          <w:color w:val="auto"/>
        </w:rPr>
        <w:t>$—</w:t>
      </w:r>
      <w:r>
        <w:rPr>
          <w:sz w:val="20"/>
          <w:szCs w:val="20"/>
          <w:color w:val="auto"/>
        </w:rPr>
        <w:tab/>
      </w:r>
      <w:r>
        <w:rPr>
          <w:rFonts w:ascii="Arial" w:cs="Arial" w:eastAsia="Arial" w:hAnsi="Arial"/>
          <w:sz w:val="21"/>
          <w:szCs w:val="21"/>
          <w:color w:val="auto"/>
          <w:vertAlign w:val="subscript"/>
        </w:rPr>
        <w:t>​​​​</w:t>
      </w:r>
      <w:r>
        <w:rPr>
          <w:rFonts w:ascii="Arial" w:cs="Arial" w:eastAsia="Arial" w:hAnsi="Arial"/>
          <w:sz w:val="21"/>
          <w:szCs w:val="21"/>
          <w:color w:val="auto"/>
        </w:rPr>
        <w:t>$1,737,819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-18415</wp:posOffset>
            </wp:positionV>
            <wp:extent cx="55384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Relationship between Pay and Performance</w:t>
      </w:r>
    </w:p>
    <w:p>
      <w:pPr>
        <w:spacing w:after="0" w:line="228" w:lineRule="exact"/>
        <w:rPr>
          <w:sz w:val="20"/>
          <w:szCs w:val="20"/>
          <w:color w:val="auto"/>
        </w:rPr>
      </w:pPr>
    </w:p>
    <w:p>
      <w:pPr>
        <w:ind w:left="780" w:right="279"/>
        <w:spacing w:after="0" w:line="256" w:lineRule="auto"/>
        <w:rPr>
          <w:sz w:val="20"/>
          <w:szCs w:val="20"/>
          <w:color w:val="auto"/>
        </w:rPr>
      </w:pPr>
      <w:r>
        <w:rPr>
          <w:rFonts w:ascii="Arial" w:cs="Arial" w:eastAsia="Arial" w:hAnsi="Arial"/>
          <w:sz w:val="21"/>
          <w:szCs w:val="21"/>
          <w:color w:val="auto"/>
        </w:rPr>
        <w:t>The graphs below depict the relationship between each of the CEO and average non-CEO NEO CAP in 2024, 2023, 2022, 2021 and 2020 to each of (1) the TSR of the Company and the S&amp;P 500 Healthcare Index, (2) the Company’s Net Income and (3) the Company’s Adjusted EBITDA, as well as the relationship between (4) the TSR of the Company and (5) the TSR of the S&amp;P 500 Healthcare Index.</w:t>
      </w:r>
    </w:p>
    <w:p>
      <w:pPr>
        <w:spacing w:after="0" w:line="153" w:lineRule="exact"/>
        <w:rPr>
          <w:sz w:val="20"/>
          <w:szCs w:val="20"/>
          <w:color w:val="auto"/>
        </w:rPr>
      </w:pPr>
    </w:p>
    <w:p>
      <w:pPr>
        <w:ind w:left="780" w:right="459"/>
        <w:spacing w:after="0" w:line="261" w:lineRule="auto"/>
        <w:rPr>
          <w:sz w:val="20"/>
          <w:szCs w:val="20"/>
          <w:color w:val="auto"/>
        </w:rPr>
      </w:pPr>
      <w:r>
        <w:rPr>
          <w:rFonts w:ascii="Arial" w:cs="Arial" w:eastAsia="Arial" w:hAnsi="Arial"/>
          <w:sz w:val="21"/>
          <w:szCs w:val="21"/>
          <w:color w:val="auto"/>
        </w:rPr>
        <w:t>The graph below reflects the relationship between each of the CEO and Average Non-CEO NEO CAP (per the SEC’s definition), and the Company’s Net Income and Adjusted EBITDA for the Covered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2162175</wp:posOffset>
            </wp:positionV>
            <wp:extent cx="494665" cy="165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2038350</wp:posOffset>
            </wp:positionV>
            <wp:extent cx="5538470"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Pay Versus Performance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Relationship between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167640</wp:posOffset>
            </wp:positionV>
            <wp:extent cx="4624070" cy="38569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624070" cy="385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780" w:right="1140"/>
        <w:spacing w:after="0" w:line="280" w:lineRule="auto"/>
        <w:rPr>
          <w:sz w:val="20"/>
          <w:szCs w:val="20"/>
          <w:color w:val="auto"/>
        </w:rPr>
      </w:pPr>
      <w:r>
        <w:rPr>
          <w:rFonts w:ascii="Arial" w:cs="Arial" w:eastAsia="Arial" w:hAnsi="Arial"/>
          <w:sz w:val="20"/>
          <w:szCs w:val="20"/>
          <w:color w:val="auto"/>
        </w:rPr>
        <w:t>The graph below reflects the relationship between each of the CEO and Average non-CEO NEO CAP (per the SEC’s definition), and the TSR of the Company, and between the TSR of the Company and the TSR of the S&amp;P 500 Health Care Index, for the Covered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2291080</wp:posOffset>
            </wp:positionV>
            <wp:extent cx="5538470"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74</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Pay Versus Performance</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Relationship between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167640</wp:posOffset>
            </wp:positionV>
            <wp:extent cx="4624070" cy="38569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624070" cy="385699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7139940</wp:posOffset>
            </wp:positionV>
            <wp:extent cx="494665" cy="165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7008495</wp:posOffset>
            </wp:positionV>
            <wp:extent cx="5538470" cy="165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Pay Versus Performance</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2024 Tabular List: Metrics Used to Link Pay and Performance</w:t>
      </w:r>
    </w:p>
    <w:p>
      <w:pPr>
        <w:spacing w:after="0" w:line="224"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2024 Tabular List: Metrics Used to Link Pay and Performance</w:t>
      </w:r>
    </w:p>
    <w:p>
      <w:pPr>
        <w:spacing w:after="0" w:line="215" w:lineRule="exact"/>
        <w:rPr>
          <w:sz w:val="20"/>
          <w:szCs w:val="20"/>
          <w:color w:val="auto"/>
        </w:rPr>
      </w:pPr>
    </w:p>
    <w:p>
      <w:pPr>
        <w:ind w:left="780" w:right="880"/>
        <w:spacing w:after="0" w:line="254" w:lineRule="auto"/>
        <w:rPr>
          <w:sz w:val="20"/>
          <w:szCs w:val="20"/>
          <w:color w:val="auto"/>
        </w:rPr>
      </w:pPr>
      <w:r>
        <w:rPr>
          <w:rFonts w:ascii="Arial" w:cs="Arial" w:eastAsia="Arial" w:hAnsi="Arial"/>
          <w:sz w:val="21"/>
          <w:szCs w:val="21"/>
          <w:color w:val="auto"/>
        </w:rPr>
        <w:t>The following financial performance measures represent, in the Company’s assessment, the most important financial measures the Company used to link our CEO and Non-CEO NEO CAP for 2024 to Company performance:</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21"/>
        </w:trPr>
        <w:tc>
          <w:tcPr>
            <w:tcW w:w="1660" w:type="dxa"/>
            <w:vAlign w:val="bottom"/>
          </w:tcPr>
          <w:p>
            <w:pPr>
              <w:spacing w:after="0"/>
              <w:rPr>
                <w:sz w:val="19"/>
                <w:szCs w:val="19"/>
                <w:color w:val="auto"/>
              </w:rPr>
            </w:pPr>
          </w:p>
        </w:tc>
        <w:tc>
          <w:tcPr>
            <w:tcW w:w="2600" w:type="dxa"/>
            <w:vAlign w:val="bottom"/>
            <w:tcBorders>
              <w:bottom w:val="single" w:sz="8" w:color="435F86"/>
            </w:tcBorders>
          </w:tcPr>
          <w:p>
            <w:pPr>
              <w:spacing w:after="0"/>
              <w:rPr>
                <w:sz w:val="20"/>
                <w:szCs w:val="20"/>
                <w:color w:val="auto"/>
              </w:rPr>
            </w:pPr>
            <w:r>
              <w:rPr>
                <w:rFonts w:ascii="Arial" w:cs="Arial" w:eastAsia="Arial" w:hAnsi="Arial"/>
                <w:sz w:val="17"/>
                <w:szCs w:val="17"/>
                <w:b w:val="1"/>
                <w:bCs w:val="1"/>
                <w:color w:val="435F86"/>
                <w:w w:val="97"/>
              </w:rPr>
              <w:t>Financial Performance Measures</w:t>
            </w:r>
          </w:p>
        </w:tc>
        <w:tc>
          <w:tcPr>
            <w:tcW w:w="2580" w:type="dxa"/>
            <w:vAlign w:val="bottom"/>
          </w:tcPr>
          <w:p>
            <w:pPr>
              <w:spacing w:after="0"/>
              <w:rPr>
                <w:sz w:val="19"/>
                <w:szCs w:val="19"/>
                <w:color w:val="auto"/>
              </w:rPr>
            </w:pPr>
          </w:p>
        </w:tc>
        <w:tc>
          <w:tcPr>
            <w:tcW w:w="500" w:type="dxa"/>
            <w:vAlign w:val="bottom"/>
          </w:tcPr>
          <w:p>
            <w:pPr>
              <w:ind w:left="440"/>
              <w:spacing w:after="0"/>
              <w:rPr>
                <w:sz w:val="20"/>
                <w:szCs w:val="20"/>
                <w:color w:val="auto"/>
              </w:rPr>
            </w:pPr>
            <w:r>
              <w:rPr>
                <w:rFonts w:ascii="Arial" w:cs="Arial" w:eastAsia="Arial" w:hAnsi="Arial"/>
                <w:sz w:val="17"/>
                <w:szCs w:val="17"/>
                <w:b w:val="1"/>
                <w:bCs w:val="1"/>
                <w:color w:val="435F86"/>
              </w:rPr>
              <w:t>​</w:t>
            </w:r>
          </w:p>
        </w:tc>
        <w:tc>
          <w:tcPr>
            <w:tcW w:w="0" w:type="dxa"/>
            <w:vAlign w:val="bottom"/>
          </w:tcPr>
          <w:p>
            <w:pPr>
              <w:spacing w:after="0"/>
              <w:rPr>
                <w:sz w:val="1"/>
                <w:szCs w:val="1"/>
                <w:color w:val="auto"/>
              </w:rPr>
            </w:pPr>
          </w:p>
        </w:tc>
      </w:tr>
      <w:tr>
        <w:trPr>
          <w:trHeight w:val="274"/>
        </w:trPr>
        <w:tc>
          <w:tcPr>
            <w:tcW w:w="1660" w:type="dxa"/>
            <w:vAlign w:val="bottom"/>
            <w:vMerge w:val="restart"/>
          </w:tcPr>
          <w:p>
            <w:pPr>
              <w:spacing w:after="0"/>
              <w:rPr>
                <w:sz w:val="20"/>
                <w:szCs w:val="20"/>
                <w:color w:val="auto"/>
              </w:rPr>
            </w:pPr>
            <w:r>
              <w:rPr>
                <w:rFonts w:ascii="Arial" w:cs="Arial" w:eastAsia="Arial" w:hAnsi="Arial"/>
                <w:sz w:val="21"/>
                <w:szCs w:val="21"/>
                <w:color w:val="auto"/>
              </w:rPr>
              <w:t>Adjusted EBITDA</w:t>
            </w:r>
          </w:p>
        </w:tc>
        <w:tc>
          <w:tcPr>
            <w:tcW w:w="5180" w:type="dxa"/>
            <w:vAlign w:val="bottom"/>
            <w:gridSpan w:val="2"/>
            <w:vMerge w:val="restart"/>
          </w:tcPr>
          <w:p>
            <w:pPr>
              <w:ind w:left="2220"/>
              <w:spacing w:after="0"/>
              <w:rPr>
                <w:sz w:val="20"/>
                <w:szCs w:val="20"/>
                <w:color w:val="auto"/>
              </w:rPr>
            </w:pPr>
            <w:r>
              <w:rPr>
                <w:rFonts w:ascii="Arial" w:cs="Arial" w:eastAsia="Arial" w:hAnsi="Arial"/>
                <w:sz w:val="21"/>
                <w:szCs w:val="21"/>
                <w:color w:val="auto"/>
              </w:rPr>
              <w:t>Sterigenics Segment Income</w:t>
            </w:r>
          </w:p>
        </w:tc>
        <w:tc>
          <w:tcPr>
            <w:tcW w:w="500" w:type="dxa"/>
            <w:vAlign w:val="bottom"/>
          </w:tcPr>
          <w:p>
            <w:pPr>
              <w:ind w:left="44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1"/>
        </w:trPr>
        <w:tc>
          <w:tcPr>
            <w:tcW w:w="1660" w:type="dxa"/>
            <w:vAlign w:val="bottom"/>
            <w:vMerge w:val="continue"/>
          </w:tcPr>
          <w:p>
            <w:pPr>
              <w:spacing w:after="0"/>
              <w:rPr>
                <w:sz w:val="7"/>
                <w:szCs w:val="7"/>
                <w:color w:val="auto"/>
              </w:rPr>
            </w:pPr>
          </w:p>
        </w:tc>
        <w:tc>
          <w:tcPr>
            <w:tcW w:w="518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780" w:right="860"/>
        <w:spacing w:after="0" w:line="255" w:lineRule="auto"/>
        <w:rPr>
          <w:sz w:val="20"/>
          <w:szCs w:val="20"/>
          <w:color w:val="auto"/>
        </w:rPr>
      </w:pPr>
      <w:r>
        <w:rPr>
          <w:rFonts w:ascii="Arial" w:cs="Arial" w:eastAsia="Arial" w:hAnsi="Arial"/>
          <w:sz w:val="20"/>
          <w:szCs w:val="20"/>
          <w:color w:val="auto"/>
        </w:rPr>
        <w:t>Adjusted EBITDA represents the most important financial performance measure used to link compensation actually paid to the CEO and Non-CEO NEOs for 2024 to Company performance. We define Adjusted EBITDA as earnings before interest, taxes, depreciation, amortization and certain other adjustments that we do not consider in our evaluation of our ongoing operating performance from period to period. These other adjustments include share-based compensation, loss on refinancing of debt, gain or loss on foreign currency, business optimization expenses, professional services relating to EO sterilization facilities, secondary offering and other shareholder activities, and accretion of asset retirement obligations. Each of these adjustments are further defined in the Company’s Form 10-K for the year ended December 31, 2024. The Company relies on Adjusted EBITDA because it allows management to more effectively evaluate operating performance from period to period without the impact of certain non-cash and non-routine items that we do not expect to continue at the same level in the future and other items that are not core to our operations. We use Sterigenics Segment Income to evaluate the performance of our Sterigenics reportable segment.</w:t>
      </w:r>
    </w:p>
    <w:p>
      <w:pPr>
        <w:spacing w:after="0" w:line="174" w:lineRule="exact"/>
        <w:rPr>
          <w:sz w:val="20"/>
          <w:szCs w:val="20"/>
          <w:color w:val="auto"/>
        </w:rPr>
      </w:pPr>
    </w:p>
    <w:p>
      <w:pPr>
        <w:ind w:left="780" w:right="1220"/>
        <w:spacing w:after="0" w:line="294" w:lineRule="auto"/>
        <w:rPr>
          <w:sz w:val="20"/>
          <w:szCs w:val="20"/>
          <w:color w:val="auto"/>
        </w:rPr>
      </w:pPr>
      <w:r>
        <w:rPr>
          <w:rFonts w:ascii="Arial" w:cs="Arial" w:eastAsia="Arial" w:hAnsi="Arial"/>
          <w:sz w:val="19"/>
          <w:szCs w:val="19"/>
          <w:color w:val="auto"/>
        </w:rPr>
        <w:t>The Company’s Annual Reports on Form 10-K for the years ended on December 31 for each of 2024, 2023, 2022, 2021 and 2020 include additional information on the calculation of Adjusted EBITDA and Sterigenics Segment Income, including non-GAAP reconciliation information.</w:t>
      </w:r>
    </w:p>
    <w:p>
      <w:pPr>
        <w:spacing w:after="0" w:line="132" w:lineRule="exact"/>
        <w:rPr>
          <w:sz w:val="20"/>
          <w:szCs w:val="20"/>
          <w:color w:val="auto"/>
        </w:rPr>
      </w:pPr>
    </w:p>
    <w:p>
      <w:pPr>
        <w:jc w:val="both"/>
        <w:ind w:left="780" w:right="960"/>
        <w:spacing w:after="0" w:line="286" w:lineRule="auto"/>
        <w:rPr>
          <w:sz w:val="20"/>
          <w:szCs w:val="20"/>
          <w:color w:val="auto"/>
        </w:rPr>
      </w:pPr>
      <w:r>
        <w:rPr>
          <w:rFonts w:ascii="Arial" w:cs="Arial" w:eastAsia="Arial" w:hAnsi="Arial"/>
          <w:sz w:val="19"/>
          <w:szCs w:val="19"/>
          <w:color w:val="auto"/>
        </w:rPr>
        <w:t>The LDC Committee did not consider the PvP disclosure above in making its pay decisions for any of the years shown. The information in this “Pay versus Performance” section shall not be deemed to be incorporated by reference into any filing by us under the Securities Act or the Exchange Act, except to the extent that we specifically incorporate this section by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1959610</wp:posOffset>
            </wp:positionV>
            <wp:extent cx="5538470" cy="165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76</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CEO Pay Ratio</w:t>
      </w:r>
    </w:p>
    <w:p>
      <w:pPr>
        <w:spacing w:after="0" w:line="200" w:lineRule="exact"/>
        <w:rPr>
          <w:sz w:val="20"/>
          <w:szCs w:val="20"/>
          <w:color w:val="auto"/>
        </w:rPr>
      </w:pPr>
    </w:p>
    <w:p>
      <w:pPr>
        <w:spacing w:after="0" w:line="218"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CEO PAY RATIO</w:t>
      </w:r>
    </w:p>
    <w:p>
      <w:pPr>
        <w:spacing w:after="0" w:line="207" w:lineRule="exact"/>
        <w:rPr>
          <w:sz w:val="20"/>
          <w:szCs w:val="20"/>
          <w:color w:val="auto"/>
        </w:rPr>
      </w:pPr>
    </w:p>
    <w:p>
      <w:pPr>
        <w:ind w:left="780" w:right="519"/>
        <w:spacing w:after="0" w:line="254" w:lineRule="auto"/>
        <w:rPr>
          <w:sz w:val="20"/>
          <w:szCs w:val="20"/>
          <w:color w:val="auto"/>
        </w:rPr>
      </w:pPr>
      <w:r>
        <w:rPr>
          <w:rFonts w:ascii="Arial" w:cs="Arial" w:eastAsia="Arial" w:hAnsi="Arial"/>
          <w:sz w:val="21"/>
          <w:szCs w:val="21"/>
          <w:color w:val="auto"/>
        </w:rPr>
        <w:t>In accordance with the Dodd-Frank Act and applicable SEC rules, we are providing the following information about the relationship of our CEO’s compensation to the compensation of all our employees. For 2024:</w:t>
      </w:r>
    </w:p>
    <w:p>
      <w:pPr>
        <w:spacing w:after="0" w:line="64" w:lineRule="exact"/>
        <w:rPr>
          <w:sz w:val="20"/>
          <w:szCs w:val="20"/>
          <w:color w:val="auto"/>
        </w:rPr>
      </w:pPr>
    </w:p>
    <w:p>
      <w:pPr>
        <w:ind w:left="1480" w:hanging="351"/>
        <w:spacing w:after="0"/>
        <w:tabs>
          <w:tab w:leader="none" w:pos="1480" w:val="left"/>
        </w:tabs>
        <w:numPr>
          <w:ilvl w:val="0"/>
          <w:numId w:val="59"/>
        </w:numPr>
        <w:rPr>
          <w:rFonts w:ascii="Arial" w:cs="Arial" w:eastAsia="Arial" w:hAnsi="Arial"/>
          <w:sz w:val="21"/>
          <w:szCs w:val="21"/>
          <w:color w:val="435F86"/>
        </w:rPr>
      </w:pPr>
      <w:r>
        <w:rPr>
          <w:rFonts w:ascii="Arial" w:cs="Arial" w:eastAsia="Arial" w:hAnsi="Arial"/>
          <w:sz w:val="21"/>
          <w:szCs w:val="21"/>
          <w:color w:val="auto"/>
        </w:rPr>
        <w:t>the annual total compensation of our median employee was $76,629;</w:t>
      </w:r>
    </w:p>
    <w:p>
      <w:pPr>
        <w:spacing w:after="0" w:line="108" w:lineRule="exact"/>
        <w:rPr>
          <w:rFonts w:ascii="Arial" w:cs="Arial" w:eastAsia="Arial" w:hAnsi="Arial"/>
          <w:sz w:val="21"/>
          <w:szCs w:val="21"/>
          <w:color w:val="435F86"/>
        </w:rPr>
      </w:pPr>
    </w:p>
    <w:p>
      <w:pPr>
        <w:ind w:left="1480" w:right="659" w:hanging="351"/>
        <w:spacing w:after="0" w:line="264" w:lineRule="auto"/>
        <w:tabs>
          <w:tab w:leader="none" w:pos="1480" w:val="left"/>
        </w:tabs>
        <w:numPr>
          <w:ilvl w:val="0"/>
          <w:numId w:val="59"/>
        </w:numPr>
        <w:rPr>
          <w:rFonts w:ascii="Arial" w:cs="Arial" w:eastAsia="Arial" w:hAnsi="Arial"/>
          <w:sz w:val="21"/>
          <w:szCs w:val="21"/>
          <w:color w:val="435F86"/>
        </w:rPr>
      </w:pPr>
      <w:r>
        <w:rPr>
          <w:rFonts w:ascii="Arial" w:cs="Arial" w:eastAsia="Arial" w:hAnsi="Arial"/>
          <w:sz w:val="21"/>
          <w:szCs w:val="21"/>
          <w:color w:val="auto"/>
        </w:rPr>
        <w:t>the annual total compensation of our CEO, as reported in the Summary Compensation Table, was $10,392,468; and</w:t>
      </w:r>
    </w:p>
    <w:p>
      <w:pPr>
        <w:spacing w:after="0" w:line="52" w:lineRule="exact"/>
        <w:rPr>
          <w:rFonts w:ascii="Arial" w:cs="Arial" w:eastAsia="Arial" w:hAnsi="Arial"/>
          <w:sz w:val="21"/>
          <w:szCs w:val="21"/>
          <w:color w:val="435F86"/>
        </w:rPr>
      </w:pPr>
    </w:p>
    <w:p>
      <w:pPr>
        <w:ind w:left="1480" w:right="599" w:hanging="351"/>
        <w:spacing w:after="0" w:line="277" w:lineRule="auto"/>
        <w:tabs>
          <w:tab w:leader="none" w:pos="1480" w:val="left"/>
        </w:tabs>
        <w:numPr>
          <w:ilvl w:val="0"/>
          <w:numId w:val="59"/>
        </w:numPr>
        <w:rPr>
          <w:rFonts w:ascii="Arial" w:cs="Arial" w:eastAsia="Arial" w:hAnsi="Arial"/>
          <w:sz w:val="21"/>
          <w:szCs w:val="21"/>
          <w:color w:val="435F86"/>
        </w:rPr>
      </w:pPr>
      <w:r>
        <w:rPr>
          <w:rFonts w:ascii="Arial" w:cs="Arial" w:eastAsia="Arial" w:hAnsi="Arial"/>
          <w:sz w:val="21"/>
          <w:szCs w:val="21"/>
          <w:color w:val="auto"/>
        </w:rPr>
        <w:t>the ratio of our CEO’s annual total compensation to the median employee’s annual total compensation was 136 to 1.</w:t>
      </w:r>
    </w:p>
    <w:p>
      <w:pPr>
        <w:spacing w:after="0" w:line="130" w:lineRule="exact"/>
        <w:rPr>
          <w:sz w:val="20"/>
          <w:szCs w:val="20"/>
          <w:color w:val="auto"/>
        </w:rPr>
      </w:pPr>
    </w:p>
    <w:p>
      <w:pPr>
        <w:ind w:left="780" w:right="199"/>
        <w:spacing w:after="0" w:line="246" w:lineRule="auto"/>
        <w:rPr>
          <w:sz w:val="20"/>
          <w:szCs w:val="20"/>
          <w:color w:val="auto"/>
        </w:rPr>
      </w:pPr>
      <w:r>
        <w:rPr>
          <w:rFonts w:ascii="Arial" w:cs="Arial" w:eastAsia="Arial" w:hAnsi="Arial"/>
          <w:sz w:val="21"/>
          <w:szCs w:val="21"/>
          <w:color w:val="auto"/>
        </w:rPr>
        <w:t>We believe there has been no change to our employee population and compensation arrangements since 2022 that would result in a significant change to our pay ratio disclosure. However, our original median employee from 2022 is no longer employed by the Company and, as permitted under SEC rules, we substituted a new median employee with substantially similar fiscal 2022 compensation as the original median employee for purposes of our pay ratio disclosure for fiscal year 2023. We have used this same new median employee for purposes of this 2024 CEO pay ratio disclosure. We identified our median employee using the methodology and the material assumptions, adjustments, and estimates described below.</w:t>
      </w:r>
    </w:p>
    <w:p>
      <w:pPr>
        <w:spacing w:after="0" w:line="161" w:lineRule="exact"/>
        <w:rPr>
          <w:sz w:val="20"/>
          <w:szCs w:val="20"/>
          <w:color w:val="auto"/>
        </w:rPr>
      </w:pPr>
    </w:p>
    <w:p>
      <w:pPr>
        <w:ind w:left="780" w:right="379"/>
        <w:spacing w:after="0" w:line="244" w:lineRule="auto"/>
        <w:rPr>
          <w:sz w:val="20"/>
          <w:szCs w:val="20"/>
          <w:color w:val="auto"/>
        </w:rPr>
      </w:pPr>
      <w:r>
        <w:rPr>
          <w:rFonts w:ascii="Arial" w:cs="Arial" w:eastAsia="Arial" w:hAnsi="Arial"/>
          <w:sz w:val="21"/>
          <w:szCs w:val="21"/>
          <w:color w:val="auto"/>
        </w:rPr>
        <w:t>To identify our median employee, we used the base salary as of December 31, 2022 of our global population, which included 3,122 employees, excluding our CEO, of which 1,826 were U.S. employees and 1,296 were non-U.S. employees. We have chosen annual base salary as the consistently applied compensation measure used to identify the median employee. Base salary is the primary compensation component for a large portion of our workforce and is the one pay component that has a similar definition and is reported in a similar manner globally. Therefore, annual base salary provides an accurate depiction of total earnings for the purposes of identifying our median employee. Base salaries for employees outside the United States were converted to United States Dollars by applying the applicable foreign exchange rates in effect on December 31, 2022.</w:t>
      </w:r>
    </w:p>
    <w:p>
      <w:pPr>
        <w:spacing w:after="0" w:line="180" w:lineRule="exact"/>
        <w:rPr>
          <w:sz w:val="20"/>
          <w:szCs w:val="20"/>
          <w:color w:val="auto"/>
        </w:rPr>
      </w:pPr>
    </w:p>
    <w:p>
      <w:pPr>
        <w:ind w:left="780" w:right="399"/>
        <w:spacing w:after="0" w:line="282" w:lineRule="auto"/>
        <w:rPr>
          <w:sz w:val="20"/>
          <w:szCs w:val="20"/>
          <w:color w:val="auto"/>
        </w:rPr>
      </w:pPr>
      <w:r>
        <w:rPr>
          <w:rFonts w:ascii="Arial" w:cs="Arial" w:eastAsia="Arial" w:hAnsi="Arial"/>
          <w:sz w:val="19"/>
          <w:szCs w:val="19"/>
          <w:color w:val="auto"/>
        </w:rPr>
        <w:t>In compliance with Item 402(u) and as permitted by SEC rules under a de minimis exemption, we excluded all employees in 3 countries (China (86 employees), Costa Rica (17 employees) and Thailand (30 employees)) totaling 133 employees (approximately 4.26% of our total workforce) when identifying our median employee. After accounting for the de minimis exemption, 2,989 employees in the U.S. and outside the U.S. were considered for identifying our median employee.</w:t>
      </w:r>
    </w:p>
    <w:p>
      <w:pPr>
        <w:spacing w:after="0" w:line="131" w:lineRule="exact"/>
        <w:rPr>
          <w:sz w:val="20"/>
          <w:szCs w:val="20"/>
          <w:color w:val="auto"/>
        </w:rPr>
      </w:pPr>
    </w:p>
    <w:p>
      <w:pPr>
        <w:ind w:left="780" w:right="319"/>
        <w:spacing w:after="0" w:line="301" w:lineRule="auto"/>
        <w:rPr>
          <w:sz w:val="20"/>
          <w:szCs w:val="20"/>
          <w:color w:val="auto"/>
        </w:rPr>
      </w:pPr>
      <w:r>
        <w:rPr>
          <w:rFonts w:ascii="Arial" w:cs="Arial" w:eastAsia="Arial" w:hAnsi="Arial"/>
          <w:sz w:val="19"/>
          <w:szCs w:val="19"/>
          <w:color w:val="auto"/>
        </w:rPr>
        <w:t>No cost of living adjustments were applied in our methodology. Our median employee’s total compensation of $79,773 was calculated in the same manner as we calculated total compensation for each of the named executive officers in the 2024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772160</wp:posOffset>
            </wp:positionV>
            <wp:extent cx="494665" cy="165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648335</wp:posOffset>
            </wp:positionV>
            <wp:extent cx="5538470" cy="165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right="659"/>
        <w:spacing w:after="0" w:line="273" w:lineRule="auto"/>
        <w:rPr>
          <w:sz w:val="20"/>
          <w:szCs w:val="20"/>
          <w:color w:val="auto"/>
        </w:rPr>
      </w:pPr>
      <w:r>
        <w:rPr>
          <w:rFonts w:ascii="Arial" w:cs="Arial" w:eastAsia="Arial" w:hAnsi="Arial"/>
          <w:sz w:val="17"/>
          <w:szCs w:val="17"/>
          <w:b w:val="1"/>
          <w:bCs w:val="1"/>
          <w:color w:val="auto"/>
        </w:rPr>
        <w:t>Proposal 3: Ratification of the Appointment of Ernst &amp; Young LLP as Our Independent Registered Public Accounting Firm</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for the Fiscal Year Ending December 31, 2025.</w:t>
      </w:r>
    </w:p>
    <w:p>
      <w:pPr>
        <w:spacing w:after="0" w:line="56"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Independent Registered Public Accounting Firm Fees</w:t>
      </w:r>
    </w:p>
    <w:p>
      <w:pPr>
        <w:spacing w:after="0" w:line="93" w:lineRule="exact"/>
        <w:rPr>
          <w:sz w:val="20"/>
          <w:szCs w:val="20"/>
          <w:color w:val="auto"/>
        </w:rPr>
      </w:pPr>
    </w:p>
    <w:p>
      <w:pPr>
        <w:ind w:left="780" w:right="279"/>
        <w:spacing w:after="0" w:line="244" w:lineRule="auto"/>
        <w:rPr>
          <w:sz w:val="20"/>
          <w:szCs w:val="20"/>
          <w:color w:val="auto"/>
        </w:rPr>
      </w:pPr>
      <w:r>
        <w:rPr>
          <w:rFonts w:ascii="Arial" w:cs="Arial" w:eastAsia="Arial" w:hAnsi="Arial"/>
          <w:sz w:val="40"/>
          <w:szCs w:val="40"/>
          <w:b w:val="1"/>
          <w:bCs w:val="1"/>
          <w:color w:val="28B5DE"/>
        </w:rPr>
        <w:t>PROPOSAL 3: RATIFICATION OF THE APPOINTMENT OF ERNST &amp; YOUNG LLP AS OUR INDEPENDENT REGISTERED PUBLIC ACCOUNTING FIRM FOR THE FISCAL YEAR ENDING DECEMBER 31, 2025.</w:t>
      </w:r>
    </w:p>
    <w:p>
      <w:pPr>
        <w:ind w:left="780" w:right="179"/>
        <w:spacing w:after="0" w:line="248" w:lineRule="auto"/>
        <w:rPr>
          <w:sz w:val="20"/>
          <w:szCs w:val="20"/>
          <w:color w:val="auto"/>
        </w:rPr>
      </w:pPr>
      <w:r>
        <w:rPr>
          <w:rFonts w:ascii="Arial" w:cs="Arial" w:eastAsia="Arial" w:hAnsi="Arial"/>
          <w:sz w:val="20"/>
          <w:szCs w:val="20"/>
          <w:color w:val="auto"/>
        </w:rPr>
        <w:t>We are asking shareholders to ratify the appointment of Ernst &amp; Young LLP (“Ernst &amp; Young”) as our independent registered public accounting firm for the fiscal year ending December 31, 2025. The Audit Committee and the Board believe that retaining Ernst &amp; Young to serve as our independent registered public accounting firm is in the best interests of the Company and its shareholders. Although ratification is not legally required, we are submitting the appointment of Ernst &amp; Young to our shareholders for ratification as a matter of good corporate governance practice. If the appointment is not ratified, the Audit Committee will reconsider the appointment. Even if the selection is ratified, the Audit Committee, in its discretion, may change the appointment at any time during the fiscal year if the Audit Committee determines that such a change would be in the best interest of the Company and its shareholders.</w:t>
      </w:r>
    </w:p>
    <w:p>
      <w:pPr>
        <w:spacing w:after="0" w:line="64" w:lineRule="exact"/>
        <w:rPr>
          <w:sz w:val="20"/>
          <w:szCs w:val="20"/>
          <w:color w:val="auto"/>
        </w:rPr>
      </w:pPr>
    </w:p>
    <w:p>
      <w:pPr>
        <w:ind w:left="780" w:right="199"/>
        <w:spacing w:after="0" w:line="251" w:lineRule="auto"/>
        <w:rPr>
          <w:sz w:val="20"/>
          <w:szCs w:val="20"/>
          <w:color w:val="auto"/>
        </w:rPr>
      </w:pPr>
      <w:r>
        <w:rPr>
          <w:rFonts w:ascii="Arial" w:cs="Arial" w:eastAsia="Arial" w:hAnsi="Arial"/>
          <w:sz w:val="20"/>
          <w:szCs w:val="20"/>
          <w:color w:val="auto"/>
        </w:rPr>
        <w:t>The Audit Committee is directly responsible for the appointment, compensation, retention, oversight, evaluation and, when appropriate, replacement of the independent registered public accounting firm that serves as the Company’s independent accountants. Ernst &amp; Young has served as the Company’s independent registered public accounting firm since 2019. In selecting the independent auditor, the Audit Committee annually evaluates the qualifications, performance and independence of the independent auditor, including reviewing the lead audit partner and considering the assessments of management and the head of the internal audit function.</w:t>
      </w:r>
    </w:p>
    <w:p>
      <w:pPr>
        <w:spacing w:after="0" w:line="56" w:lineRule="exact"/>
        <w:rPr>
          <w:sz w:val="20"/>
          <w:szCs w:val="20"/>
          <w:color w:val="auto"/>
        </w:rPr>
      </w:pPr>
    </w:p>
    <w:p>
      <w:pPr>
        <w:ind w:left="780" w:right="159"/>
        <w:spacing w:after="0" w:line="248" w:lineRule="auto"/>
        <w:rPr>
          <w:sz w:val="20"/>
          <w:szCs w:val="20"/>
          <w:color w:val="auto"/>
        </w:rPr>
      </w:pPr>
      <w:r>
        <w:rPr>
          <w:rFonts w:ascii="Arial" w:cs="Arial" w:eastAsia="Arial" w:hAnsi="Arial"/>
          <w:sz w:val="21"/>
          <w:szCs w:val="21"/>
          <w:color w:val="auto"/>
        </w:rPr>
        <w:t>Representatives of Ernst &amp; Young are expected to be present at the Annual Meeting. They will be given an opportunity to make a statement if they wish and are expected to be available to respond to appropriate questions.</w:t>
      </w:r>
    </w:p>
    <w:p>
      <w:pPr>
        <w:spacing w:after="0" w:line="251"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Independent Registered Public Accounting Firm Fees</w:t>
      </w:r>
    </w:p>
    <w:p>
      <w:pPr>
        <w:spacing w:after="0" w:line="98" w:lineRule="exact"/>
        <w:rPr>
          <w:sz w:val="20"/>
          <w:szCs w:val="20"/>
          <w:color w:val="auto"/>
        </w:rPr>
      </w:pPr>
    </w:p>
    <w:p>
      <w:pPr>
        <w:jc w:val="both"/>
        <w:ind w:left="780" w:right="479"/>
        <w:spacing w:after="0" w:line="287" w:lineRule="auto"/>
        <w:rPr>
          <w:sz w:val="20"/>
          <w:szCs w:val="20"/>
          <w:color w:val="auto"/>
        </w:rPr>
      </w:pPr>
      <w:r>
        <w:rPr>
          <w:rFonts w:ascii="Arial" w:cs="Arial" w:eastAsia="Arial" w:hAnsi="Arial"/>
          <w:sz w:val="19"/>
          <w:szCs w:val="19"/>
          <w:color w:val="auto"/>
        </w:rPr>
        <w:t>The following table shows fees Sotera Health paid for professional services rendered by Ernst &amp; Young for each of the fiscal years ended December 31, 2024 and December 31, 2023. The Audit Committee approved the fees shown in the table in accordance with its pre-approval process.</w:t>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184"/>
        </w:trPr>
        <w:tc>
          <w:tcPr>
            <w:tcW w:w="4380" w:type="dxa"/>
            <w:vAlign w:val="bottom"/>
          </w:tcPr>
          <w:p>
            <w:pPr>
              <w:ind w:left="80"/>
              <w:spacing w:after="0"/>
              <w:rPr>
                <w:sz w:val="20"/>
                <w:szCs w:val="20"/>
                <w:color w:val="auto"/>
              </w:rPr>
            </w:pPr>
            <w:r>
              <w:rPr>
                <w:rFonts w:ascii="Arial" w:cs="Arial" w:eastAsia="Arial" w:hAnsi="Arial"/>
                <w:sz w:val="16"/>
                <w:szCs w:val="16"/>
                <w:b w:val="1"/>
                <w:bCs w:val="1"/>
                <w:color w:val="435F86"/>
              </w:rPr>
              <w:t>Fee Category</w:t>
            </w:r>
          </w:p>
        </w:tc>
        <w:tc>
          <w:tcPr>
            <w:tcW w:w="2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5"/>
        </w:trPr>
        <w:tc>
          <w:tcPr>
            <w:tcW w:w="4380" w:type="dxa"/>
            <w:vAlign w:val="bottom"/>
          </w:tcPr>
          <w:p>
            <w:pPr>
              <w:ind w:left="80"/>
              <w:spacing w:after="0"/>
              <w:rPr>
                <w:sz w:val="20"/>
                <w:szCs w:val="20"/>
                <w:color w:val="auto"/>
              </w:rPr>
            </w:pPr>
            <w:r>
              <w:rPr>
                <w:rFonts w:ascii="Arial" w:cs="Arial" w:eastAsia="Arial" w:hAnsi="Arial"/>
                <w:sz w:val="16"/>
                <w:szCs w:val="16"/>
                <w:b w:val="1"/>
                <w:bCs w:val="1"/>
                <w:color w:val="435F86"/>
              </w:rPr>
              <w:t>(In thousands)</w:t>
            </w:r>
          </w:p>
        </w:tc>
        <w:tc>
          <w:tcPr>
            <w:tcW w:w="2840" w:type="dxa"/>
            <w:vAlign w:val="bottom"/>
          </w:tcPr>
          <w:p>
            <w:pPr>
              <w:spacing w:after="0"/>
              <w:rPr>
                <w:sz w:val="20"/>
                <w:szCs w:val="20"/>
                <w:color w:val="auto"/>
              </w:rPr>
            </w:pPr>
          </w:p>
        </w:tc>
        <w:tc>
          <w:tcPr>
            <w:tcW w:w="680" w:type="dxa"/>
            <w:vAlign w:val="bottom"/>
          </w:tcPr>
          <w:p>
            <w:pPr>
              <w:jc w:val="right"/>
              <w:ind w:right="236"/>
              <w:spacing w:after="0"/>
              <w:rPr>
                <w:sz w:val="20"/>
                <w:szCs w:val="20"/>
                <w:color w:val="auto"/>
              </w:rPr>
            </w:pPr>
            <w:r>
              <w:rPr>
                <w:rFonts w:ascii="Arial" w:cs="Arial" w:eastAsia="Arial" w:hAnsi="Arial"/>
                <w:sz w:val="16"/>
                <w:szCs w:val="16"/>
                <w:b w:val="1"/>
                <w:bCs w:val="1"/>
                <w:color w:val="435F86"/>
                <w:w w:val="95"/>
              </w:rPr>
              <w:t>2024</w:t>
            </w:r>
          </w:p>
        </w:tc>
        <w:tc>
          <w:tcPr>
            <w:tcW w:w="280" w:type="dxa"/>
            <w:vAlign w:val="bottom"/>
          </w:tcPr>
          <w:p>
            <w:pPr>
              <w:spacing w:after="0"/>
              <w:rPr>
                <w:sz w:val="20"/>
                <w:szCs w:val="20"/>
                <w:color w:val="auto"/>
              </w:rPr>
            </w:pPr>
          </w:p>
        </w:tc>
        <w:tc>
          <w:tcPr>
            <w:tcW w:w="500" w:type="dxa"/>
            <w:vAlign w:val="bottom"/>
          </w:tcPr>
          <w:p>
            <w:pPr>
              <w:jc w:val="right"/>
              <w:ind w:right="38"/>
              <w:spacing w:after="0"/>
              <w:rPr>
                <w:sz w:val="20"/>
                <w:szCs w:val="20"/>
                <w:color w:val="auto"/>
              </w:rPr>
            </w:pPr>
            <w:r>
              <w:rPr>
                <w:rFonts w:ascii="Arial" w:cs="Arial" w:eastAsia="Arial" w:hAnsi="Arial"/>
                <w:sz w:val="16"/>
                <w:szCs w:val="16"/>
                <w:b w:val="1"/>
                <w:bCs w:val="1"/>
                <w:color w:val="435F86"/>
              </w:rPr>
              <w:t>2023</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435F86"/>
              </w:rPr>
              <w:t>​</w:t>
            </w:r>
          </w:p>
        </w:tc>
      </w:tr>
      <w:tr>
        <w:trPr>
          <w:trHeight w:val="20"/>
        </w:trPr>
        <w:tc>
          <w:tcPr>
            <w:tcW w:w="4380" w:type="dxa"/>
            <w:vAlign w:val="bottom"/>
            <w:shd w:val="clear" w:color="auto" w:fill="435F86"/>
          </w:tcPr>
          <w:p>
            <w:pPr>
              <w:spacing w:after="0" w:line="20" w:lineRule="exact"/>
              <w:rPr>
                <w:sz w:val="1"/>
                <w:szCs w:val="1"/>
                <w:color w:val="auto"/>
              </w:rPr>
            </w:pPr>
          </w:p>
        </w:tc>
        <w:tc>
          <w:tcPr>
            <w:tcW w:w="3520" w:type="dxa"/>
            <w:vAlign w:val="bottom"/>
            <w:gridSpan w:val="2"/>
            <w:shd w:val="clear" w:color="auto" w:fill="435F86"/>
          </w:tcPr>
          <w:p>
            <w:pPr>
              <w:spacing w:after="0" w:line="20" w:lineRule="exact"/>
              <w:rPr>
                <w:sz w:val="1"/>
                <w:szCs w:val="1"/>
                <w:color w:val="auto"/>
              </w:rPr>
            </w:pPr>
          </w:p>
        </w:tc>
        <w:tc>
          <w:tcPr>
            <w:tcW w:w="780" w:type="dxa"/>
            <w:vAlign w:val="bottom"/>
            <w:gridSpan w:val="2"/>
            <w:shd w:val="clear" w:color="auto" w:fill="435F86"/>
          </w:tcPr>
          <w:p>
            <w:pPr>
              <w:spacing w:after="0" w:line="20" w:lineRule="exact"/>
              <w:rPr>
                <w:sz w:val="1"/>
                <w:szCs w:val="1"/>
                <w:color w:val="auto"/>
              </w:rPr>
            </w:pPr>
          </w:p>
        </w:tc>
        <w:tc>
          <w:tcPr>
            <w:tcW w:w="60" w:type="dxa"/>
            <w:vAlign w:val="bottom"/>
            <w:tcBorders>
              <w:left w:val="single" w:sz="8" w:color="435F86"/>
            </w:tcBorders>
          </w:tcPr>
          <w:p>
            <w:pPr>
              <w:spacing w:after="0" w:line="20" w:lineRule="exact"/>
              <w:rPr>
                <w:sz w:val="1"/>
                <w:szCs w:val="1"/>
                <w:color w:val="auto"/>
              </w:rPr>
            </w:pPr>
          </w:p>
        </w:tc>
      </w:tr>
      <w:tr>
        <w:trPr>
          <w:trHeight w:val="266"/>
        </w:trPr>
        <w:tc>
          <w:tcPr>
            <w:tcW w:w="4380" w:type="dxa"/>
            <w:vAlign w:val="bottom"/>
          </w:tcPr>
          <w:p>
            <w:pPr>
              <w:ind w:left="80"/>
              <w:spacing w:after="0"/>
              <w:rPr>
                <w:sz w:val="20"/>
                <w:szCs w:val="20"/>
                <w:color w:val="auto"/>
              </w:rPr>
            </w:pPr>
            <w:r>
              <w:rPr>
                <w:rFonts w:ascii="Arial" w:cs="Arial" w:eastAsia="Arial" w:hAnsi="Arial"/>
                <w:sz w:val="17"/>
                <w:szCs w:val="17"/>
                <w:color w:val="auto"/>
              </w:rPr>
              <w:t>Audit Fees</w:t>
            </w:r>
            <w:r>
              <w:rPr>
                <w:rFonts w:ascii="Arial" w:cs="Arial" w:eastAsia="Arial" w:hAnsi="Arial"/>
                <w:sz w:val="22"/>
                <w:szCs w:val="22"/>
                <w:color w:val="auto"/>
                <w:vertAlign w:val="superscript"/>
              </w:rPr>
              <w:t>(1)</w:t>
            </w:r>
          </w:p>
        </w:tc>
        <w:tc>
          <w:tcPr>
            <w:tcW w:w="3520" w:type="dxa"/>
            <w:vAlign w:val="bottom"/>
            <w:gridSpan w:val="2"/>
          </w:tcPr>
          <w:p>
            <w:pPr>
              <w:jc w:val="right"/>
              <w:ind w:right="136"/>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$3,595</w:t>
            </w:r>
          </w:p>
        </w:tc>
        <w:tc>
          <w:tcPr>
            <w:tcW w:w="840" w:type="dxa"/>
            <w:vAlign w:val="bottom"/>
            <w:gridSpan w:val="3"/>
          </w:tcPr>
          <w:p>
            <w:pPr>
              <w:jc w:val="right"/>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$2,953 </w:t>
            </w:r>
            <w:r>
              <w:rPr>
                <w:rFonts w:ascii="Arial" w:cs="Arial" w:eastAsia="Arial" w:hAnsi="Arial"/>
                <w:sz w:val="30"/>
                <w:szCs w:val="30"/>
                <w:color w:val="auto"/>
                <w:vertAlign w:val="subscript"/>
              </w:rPr>
              <w:t>​</w:t>
            </w:r>
          </w:p>
        </w:tc>
      </w:tr>
      <w:tr>
        <w:trPr>
          <w:trHeight w:val="20"/>
        </w:trPr>
        <w:tc>
          <w:tcPr>
            <w:tcW w:w="4380" w:type="dxa"/>
            <w:vAlign w:val="bottom"/>
            <w:shd w:val="clear" w:color="auto" w:fill="7B8FAA"/>
          </w:tcPr>
          <w:p>
            <w:pPr>
              <w:spacing w:after="0" w:line="20" w:lineRule="exact"/>
              <w:rPr>
                <w:sz w:val="1"/>
                <w:szCs w:val="1"/>
                <w:color w:val="auto"/>
              </w:rPr>
            </w:pPr>
          </w:p>
        </w:tc>
        <w:tc>
          <w:tcPr>
            <w:tcW w:w="2840" w:type="dxa"/>
            <w:vAlign w:val="bottom"/>
            <w:shd w:val="clear" w:color="auto" w:fill="7B8FAA"/>
          </w:tcPr>
          <w:p>
            <w:pPr>
              <w:spacing w:after="0" w:line="20" w:lineRule="exact"/>
              <w:rPr>
                <w:sz w:val="1"/>
                <w:szCs w:val="1"/>
                <w:color w:val="auto"/>
              </w:rPr>
            </w:pPr>
          </w:p>
        </w:tc>
        <w:tc>
          <w:tcPr>
            <w:tcW w:w="68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50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4380" w:type="dxa"/>
            <w:vAlign w:val="bottom"/>
          </w:tcPr>
          <w:p>
            <w:pPr>
              <w:ind w:left="80"/>
              <w:spacing w:after="0"/>
              <w:rPr>
                <w:sz w:val="20"/>
                <w:szCs w:val="20"/>
                <w:color w:val="auto"/>
              </w:rPr>
            </w:pPr>
            <w:r>
              <w:rPr>
                <w:rFonts w:ascii="Arial" w:cs="Arial" w:eastAsia="Arial" w:hAnsi="Arial"/>
                <w:sz w:val="17"/>
                <w:szCs w:val="17"/>
                <w:color w:val="auto"/>
              </w:rPr>
              <w:t>Audit-Related Fees</w:t>
            </w:r>
            <w:r>
              <w:rPr>
                <w:rFonts w:ascii="Arial" w:cs="Arial" w:eastAsia="Arial" w:hAnsi="Arial"/>
                <w:sz w:val="22"/>
                <w:szCs w:val="22"/>
                <w:color w:val="auto"/>
                <w:vertAlign w:val="superscript"/>
              </w:rPr>
              <w:t>(2)</w:t>
            </w:r>
          </w:p>
        </w:tc>
        <w:tc>
          <w:tcPr>
            <w:tcW w:w="2840" w:type="dxa"/>
            <w:vAlign w:val="bottom"/>
          </w:tcPr>
          <w:p>
            <w:pPr>
              <w:ind w:left="27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6"/>
              <w:spacing w:after="0"/>
              <w:rPr>
                <w:sz w:val="20"/>
                <w:szCs w:val="20"/>
                <w:color w:val="auto"/>
              </w:rPr>
            </w:pPr>
            <w:r>
              <w:rPr>
                <w:rFonts w:ascii="Arial" w:cs="Arial" w:eastAsia="Arial" w:hAnsi="Arial"/>
                <w:sz w:val="17"/>
                <w:szCs w:val="17"/>
                <w:color w:val="auto"/>
              </w:rPr>
              <w:t>23</w:t>
            </w:r>
          </w:p>
        </w:tc>
        <w:tc>
          <w:tcPr>
            <w:tcW w:w="280" w:type="dxa"/>
            <w:vAlign w:val="bottom"/>
          </w:tcPr>
          <w:p>
            <w:pPr>
              <w:ind w:left="2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22</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4380" w:type="dxa"/>
            <w:vAlign w:val="bottom"/>
            <w:shd w:val="clear" w:color="auto" w:fill="7B8FAA"/>
          </w:tcPr>
          <w:p>
            <w:pPr>
              <w:spacing w:after="0" w:line="20" w:lineRule="exact"/>
              <w:rPr>
                <w:sz w:val="1"/>
                <w:szCs w:val="1"/>
                <w:color w:val="auto"/>
              </w:rPr>
            </w:pPr>
          </w:p>
        </w:tc>
        <w:tc>
          <w:tcPr>
            <w:tcW w:w="2840" w:type="dxa"/>
            <w:vAlign w:val="bottom"/>
            <w:shd w:val="clear" w:color="auto" w:fill="7B8FAA"/>
          </w:tcPr>
          <w:p>
            <w:pPr>
              <w:spacing w:after="0" w:line="20" w:lineRule="exact"/>
              <w:rPr>
                <w:sz w:val="1"/>
                <w:szCs w:val="1"/>
                <w:color w:val="auto"/>
              </w:rPr>
            </w:pPr>
          </w:p>
        </w:tc>
        <w:tc>
          <w:tcPr>
            <w:tcW w:w="68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50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4380" w:type="dxa"/>
            <w:vAlign w:val="bottom"/>
          </w:tcPr>
          <w:p>
            <w:pPr>
              <w:ind w:left="80"/>
              <w:spacing w:after="0"/>
              <w:rPr>
                <w:sz w:val="20"/>
                <w:szCs w:val="20"/>
                <w:color w:val="auto"/>
              </w:rPr>
            </w:pPr>
            <w:r>
              <w:rPr>
                <w:rFonts w:ascii="Arial" w:cs="Arial" w:eastAsia="Arial" w:hAnsi="Arial"/>
                <w:sz w:val="17"/>
                <w:szCs w:val="17"/>
                <w:color w:val="auto"/>
              </w:rPr>
              <w:t>Tax Fees</w:t>
            </w:r>
            <w:r>
              <w:rPr>
                <w:rFonts w:ascii="Arial" w:cs="Arial" w:eastAsia="Arial" w:hAnsi="Arial"/>
                <w:sz w:val="22"/>
                <w:szCs w:val="22"/>
                <w:color w:val="auto"/>
                <w:vertAlign w:val="superscript"/>
              </w:rPr>
              <w:t>(3)</w:t>
            </w:r>
          </w:p>
        </w:tc>
        <w:tc>
          <w:tcPr>
            <w:tcW w:w="2840" w:type="dxa"/>
            <w:vAlign w:val="bottom"/>
          </w:tcPr>
          <w:p>
            <w:pPr>
              <w:ind w:left="27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6"/>
              <w:spacing w:after="0"/>
              <w:rPr>
                <w:sz w:val="20"/>
                <w:szCs w:val="20"/>
                <w:color w:val="auto"/>
              </w:rPr>
            </w:pPr>
            <w:r>
              <w:rPr>
                <w:rFonts w:ascii="Arial" w:cs="Arial" w:eastAsia="Arial" w:hAnsi="Arial"/>
                <w:sz w:val="17"/>
                <w:szCs w:val="17"/>
                <w:color w:val="auto"/>
              </w:rPr>
              <w:t>334</w:t>
            </w:r>
          </w:p>
        </w:tc>
        <w:tc>
          <w:tcPr>
            <w:tcW w:w="280" w:type="dxa"/>
            <w:vAlign w:val="bottom"/>
          </w:tcPr>
          <w:p>
            <w:pPr>
              <w:ind w:left="2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430</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4380" w:type="dxa"/>
            <w:vAlign w:val="bottom"/>
            <w:shd w:val="clear" w:color="auto" w:fill="7B8FAA"/>
          </w:tcPr>
          <w:p>
            <w:pPr>
              <w:spacing w:after="0" w:line="20" w:lineRule="exact"/>
              <w:rPr>
                <w:sz w:val="1"/>
                <w:szCs w:val="1"/>
                <w:color w:val="auto"/>
              </w:rPr>
            </w:pPr>
          </w:p>
        </w:tc>
        <w:tc>
          <w:tcPr>
            <w:tcW w:w="2840" w:type="dxa"/>
            <w:vAlign w:val="bottom"/>
            <w:shd w:val="clear" w:color="auto" w:fill="7B8FAA"/>
          </w:tcPr>
          <w:p>
            <w:pPr>
              <w:spacing w:after="0" w:line="20" w:lineRule="exact"/>
              <w:rPr>
                <w:sz w:val="1"/>
                <w:szCs w:val="1"/>
                <w:color w:val="auto"/>
              </w:rPr>
            </w:pPr>
          </w:p>
        </w:tc>
        <w:tc>
          <w:tcPr>
            <w:tcW w:w="680" w:type="dxa"/>
            <w:vAlign w:val="bottom"/>
            <w:shd w:val="clear" w:color="auto" w:fill="7B8FAA"/>
          </w:tcPr>
          <w:p>
            <w:pPr>
              <w:spacing w:after="0" w:line="20" w:lineRule="exact"/>
              <w:rPr>
                <w:sz w:val="1"/>
                <w:szCs w:val="1"/>
                <w:color w:val="auto"/>
              </w:rPr>
            </w:pPr>
          </w:p>
        </w:tc>
        <w:tc>
          <w:tcPr>
            <w:tcW w:w="280" w:type="dxa"/>
            <w:vAlign w:val="bottom"/>
            <w:shd w:val="clear" w:color="auto" w:fill="7B8FAA"/>
          </w:tcPr>
          <w:p>
            <w:pPr>
              <w:spacing w:after="0" w:line="20" w:lineRule="exact"/>
              <w:rPr>
                <w:sz w:val="1"/>
                <w:szCs w:val="1"/>
                <w:color w:val="auto"/>
              </w:rPr>
            </w:pPr>
          </w:p>
        </w:tc>
        <w:tc>
          <w:tcPr>
            <w:tcW w:w="500" w:type="dxa"/>
            <w:vAlign w:val="bottom"/>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4380" w:type="dxa"/>
            <w:vAlign w:val="bottom"/>
          </w:tcPr>
          <w:p>
            <w:pPr>
              <w:ind w:left="80"/>
              <w:spacing w:after="0"/>
              <w:rPr>
                <w:sz w:val="20"/>
                <w:szCs w:val="20"/>
                <w:color w:val="auto"/>
              </w:rPr>
            </w:pPr>
            <w:r>
              <w:rPr>
                <w:rFonts w:ascii="Arial" w:cs="Arial" w:eastAsia="Arial" w:hAnsi="Arial"/>
                <w:sz w:val="17"/>
                <w:szCs w:val="17"/>
                <w:color w:val="auto"/>
              </w:rPr>
              <w:t>All Other Fees</w:t>
            </w:r>
            <w:r>
              <w:rPr>
                <w:rFonts w:ascii="Arial" w:cs="Arial" w:eastAsia="Arial" w:hAnsi="Arial"/>
                <w:sz w:val="22"/>
                <w:szCs w:val="22"/>
                <w:color w:val="auto"/>
                <w:vertAlign w:val="superscript"/>
              </w:rPr>
              <w:t>(4)</w:t>
            </w:r>
          </w:p>
        </w:tc>
        <w:tc>
          <w:tcPr>
            <w:tcW w:w="2840" w:type="dxa"/>
            <w:vAlign w:val="bottom"/>
          </w:tcPr>
          <w:p>
            <w:pPr>
              <w:ind w:left="276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280" w:type="dxa"/>
            <w:vAlign w:val="bottom"/>
          </w:tcPr>
          <w:p>
            <w:pPr>
              <w:ind w:left="20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line="252" w:lineRule="exact"/>
              <w:rPr>
                <w:sz w:val="20"/>
                <w:szCs w:val="20"/>
                <w:color w:val="auto"/>
              </w:rPr>
            </w:pPr>
            <w:r>
              <w:rPr>
                <w:rFonts w:ascii="Arial" w:cs="Arial" w:eastAsia="Arial" w:hAnsi="Arial"/>
                <w:sz w:val="16"/>
                <w:szCs w:val="16"/>
                <w:color w:val="auto"/>
              </w:rPr>
              <w:t xml:space="preserve">— </w:t>
            </w:r>
            <w:r>
              <w:rPr>
                <w:rFonts w:ascii="Arial" w:cs="Arial" w:eastAsia="Arial" w:hAnsi="Arial"/>
                <w:sz w:val="29"/>
                <w:szCs w:val="29"/>
                <w:color w:val="auto"/>
                <w:vertAlign w:val="subscript"/>
              </w:rPr>
              <w:t>​</w:t>
            </w:r>
          </w:p>
        </w:tc>
      </w:tr>
      <w:tr>
        <w:trPr>
          <w:trHeight w:val="20"/>
        </w:trPr>
        <w:tc>
          <w:tcPr>
            <w:tcW w:w="4380" w:type="dxa"/>
            <w:vAlign w:val="bottom"/>
            <w:shd w:val="clear" w:color="auto" w:fill="7B8FAA"/>
          </w:tcPr>
          <w:p>
            <w:pPr>
              <w:spacing w:after="0" w:line="20" w:lineRule="exact"/>
              <w:rPr>
                <w:sz w:val="1"/>
                <w:szCs w:val="1"/>
                <w:color w:val="auto"/>
              </w:rPr>
            </w:pPr>
          </w:p>
        </w:tc>
        <w:tc>
          <w:tcPr>
            <w:tcW w:w="3520" w:type="dxa"/>
            <w:vAlign w:val="bottom"/>
            <w:gridSpan w:val="2"/>
            <w:shd w:val="clear" w:color="auto" w:fill="7B8FAA"/>
          </w:tcPr>
          <w:p>
            <w:pPr>
              <w:spacing w:after="0" w:line="20" w:lineRule="exact"/>
              <w:rPr>
                <w:sz w:val="1"/>
                <w:szCs w:val="1"/>
                <w:color w:val="auto"/>
              </w:rPr>
            </w:pPr>
          </w:p>
        </w:tc>
        <w:tc>
          <w:tcPr>
            <w:tcW w:w="780" w:type="dxa"/>
            <w:vAlign w:val="bottom"/>
            <w:gridSpan w:val="2"/>
            <w:shd w:val="clear" w:color="auto" w:fill="7B8FAA"/>
          </w:tcPr>
          <w:p>
            <w:pPr>
              <w:spacing w:after="0" w:line="20" w:lineRule="exact"/>
              <w:rPr>
                <w:sz w:val="1"/>
                <w:szCs w:val="1"/>
                <w:color w:val="auto"/>
              </w:rPr>
            </w:pPr>
          </w:p>
        </w:tc>
        <w:tc>
          <w:tcPr>
            <w:tcW w:w="60" w:type="dxa"/>
            <w:vAlign w:val="bottom"/>
            <w:tcBorders>
              <w:left w:val="single" w:sz="8" w:color="7B8FAA"/>
            </w:tcBorders>
          </w:tcPr>
          <w:p>
            <w:pPr>
              <w:spacing w:after="0" w:line="20" w:lineRule="exact"/>
              <w:rPr>
                <w:sz w:val="1"/>
                <w:szCs w:val="1"/>
                <w:color w:val="auto"/>
              </w:rPr>
            </w:pPr>
          </w:p>
        </w:tc>
      </w:tr>
      <w:tr>
        <w:trPr>
          <w:trHeight w:val="253"/>
        </w:trPr>
        <w:tc>
          <w:tcPr>
            <w:tcW w:w="4380" w:type="dxa"/>
            <w:vAlign w:val="bottom"/>
          </w:tcPr>
          <w:p>
            <w:pPr>
              <w:ind w:left="80"/>
              <w:spacing w:after="0"/>
              <w:rPr>
                <w:sz w:val="20"/>
                <w:szCs w:val="20"/>
                <w:color w:val="auto"/>
              </w:rPr>
            </w:pPr>
            <w:r>
              <w:rPr>
                <w:rFonts w:ascii="Arial" w:cs="Arial" w:eastAsia="Arial" w:hAnsi="Arial"/>
                <w:sz w:val="17"/>
                <w:szCs w:val="17"/>
                <w:color w:val="auto"/>
              </w:rPr>
              <w:t>Total Fees</w:t>
            </w:r>
          </w:p>
        </w:tc>
        <w:tc>
          <w:tcPr>
            <w:tcW w:w="3520" w:type="dxa"/>
            <w:vAlign w:val="bottom"/>
            <w:gridSpan w:val="2"/>
          </w:tcPr>
          <w:p>
            <w:pPr>
              <w:jc w:val="right"/>
              <w:ind w:right="136"/>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$3,952</w:t>
            </w:r>
          </w:p>
        </w:tc>
        <w:tc>
          <w:tcPr>
            <w:tcW w:w="780" w:type="dxa"/>
            <w:vAlign w:val="bottom"/>
            <w:gridSpan w:val="2"/>
          </w:tcPr>
          <w:p>
            <w:pPr>
              <w:ind w:left="2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$3,405</w:t>
            </w:r>
          </w:p>
        </w:tc>
        <w:tc>
          <w:tcPr>
            <w:tcW w:w="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4380" w:type="dxa"/>
            <w:vAlign w:val="bottom"/>
            <w:shd w:val="clear" w:color="auto" w:fill="435F86"/>
          </w:tcPr>
          <w:p>
            <w:pPr>
              <w:spacing w:after="0" w:line="20" w:lineRule="exact"/>
              <w:rPr>
                <w:sz w:val="1"/>
                <w:szCs w:val="1"/>
                <w:color w:val="auto"/>
              </w:rPr>
            </w:pPr>
          </w:p>
        </w:tc>
        <w:tc>
          <w:tcPr>
            <w:tcW w:w="2840" w:type="dxa"/>
            <w:vAlign w:val="bottom"/>
            <w:shd w:val="clear" w:color="auto" w:fill="435F86"/>
          </w:tcPr>
          <w:p>
            <w:pPr>
              <w:spacing w:after="0" w:line="20" w:lineRule="exact"/>
              <w:rPr>
                <w:sz w:val="1"/>
                <w:szCs w:val="1"/>
                <w:color w:val="auto"/>
              </w:rPr>
            </w:pPr>
          </w:p>
        </w:tc>
        <w:tc>
          <w:tcPr>
            <w:tcW w:w="680" w:type="dxa"/>
            <w:vAlign w:val="bottom"/>
            <w:shd w:val="clear" w:color="auto" w:fill="435F86"/>
          </w:tcPr>
          <w:p>
            <w:pPr>
              <w:spacing w:after="0" w:line="20" w:lineRule="exact"/>
              <w:rPr>
                <w:sz w:val="1"/>
                <w:szCs w:val="1"/>
                <w:color w:val="auto"/>
              </w:rPr>
            </w:pPr>
          </w:p>
        </w:tc>
        <w:tc>
          <w:tcPr>
            <w:tcW w:w="280" w:type="dxa"/>
            <w:vAlign w:val="bottom"/>
            <w:shd w:val="clear" w:color="auto" w:fill="435F86"/>
          </w:tcPr>
          <w:p>
            <w:pPr>
              <w:spacing w:after="0" w:line="20" w:lineRule="exact"/>
              <w:rPr>
                <w:sz w:val="1"/>
                <w:szCs w:val="1"/>
                <w:color w:val="auto"/>
              </w:rPr>
            </w:pPr>
          </w:p>
        </w:tc>
        <w:tc>
          <w:tcPr>
            <w:tcW w:w="500" w:type="dxa"/>
            <w:vAlign w:val="bottom"/>
            <w:shd w:val="clear" w:color="auto" w:fill="435F86"/>
          </w:tcPr>
          <w:p>
            <w:pPr>
              <w:spacing w:after="0" w:line="20" w:lineRule="exact"/>
              <w:rPr>
                <w:sz w:val="1"/>
                <w:szCs w:val="1"/>
                <w:color w:val="auto"/>
              </w:rPr>
            </w:pPr>
          </w:p>
        </w:tc>
        <w:tc>
          <w:tcPr>
            <w:tcW w:w="60" w:type="dxa"/>
            <w:vAlign w:val="bottom"/>
            <w:tcBorders>
              <w:left w:val="single" w:sz="8" w:color="435F86"/>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-881380</wp:posOffset>
            </wp:positionV>
            <wp:extent cx="5538470" cy="1816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38470" cy="18161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-527050</wp:posOffset>
            </wp:positionV>
            <wp:extent cx="5538470" cy="1733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38470" cy="173355"/>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-180975</wp:posOffset>
            </wp:positionV>
            <wp:extent cx="5538470" cy="1733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538470" cy="173355"/>
                    </a:xfrm>
                    <a:prstGeom prst="rect">
                      <a:avLst/>
                    </a:prstGeom>
                    <a:noFill/>
                  </pic:spPr>
                </pic:pic>
              </a:graphicData>
            </a:graphic>
          </wp:anchor>
        </w:drawing>
      </w:r>
    </w:p>
    <w:p>
      <w:pPr>
        <w:spacing w:after="0" w:line="80" w:lineRule="exact"/>
        <w:rPr>
          <w:sz w:val="20"/>
          <w:szCs w:val="20"/>
          <w:color w:val="auto"/>
        </w:rPr>
      </w:pPr>
    </w:p>
    <w:p>
      <w:pPr>
        <w:ind w:left="1120" w:right="239" w:hanging="337"/>
        <w:spacing w:after="0" w:line="265" w:lineRule="auto"/>
        <w:tabs>
          <w:tab w:leader="none" w:pos="112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consisted of fees for (a) professional services rendered for the annual audit of Sotera Health’s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financial statements, (b) the audit of Sotera Health’s internal control over financial reporting, (c) review of the interim consolidated financial statements included in quarterly reports and (d) services that are typically provided by an independent registered public accounting firm in connection with statutory and regulatory filings or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133350</wp:posOffset>
            </wp:positionV>
            <wp:extent cx="5538470" cy="165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45085</wp:posOffset>
            </wp:positionV>
            <wp:extent cx="6569710" cy="419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left="1280" w:right="159"/>
        <w:spacing w:after="0" w:line="273" w:lineRule="auto"/>
        <w:rPr>
          <w:sz w:val="20"/>
          <w:szCs w:val="20"/>
          <w:color w:val="auto"/>
        </w:rPr>
      </w:pPr>
      <w:r>
        <w:rPr>
          <w:rFonts w:ascii="Arial" w:cs="Arial" w:eastAsia="Arial" w:hAnsi="Arial"/>
          <w:sz w:val="17"/>
          <w:szCs w:val="17"/>
          <w:b w:val="1"/>
          <w:bCs w:val="1"/>
          <w:color w:val="auto"/>
        </w:rPr>
        <w:t>Proposal 3: Ratification of the Appointment of Ernst &amp; Young LLP as Our Independent Registered Public Accounting Firm</w:t>
      </w:r>
    </w:p>
    <w:p>
      <w:pPr>
        <w:spacing w:after="0" w:line="2"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for the Fiscal Year Ending December 31, 2025.</w:t>
      </w:r>
    </w:p>
    <w:p>
      <w:pPr>
        <w:spacing w:after="0" w:line="67" w:lineRule="exact"/>
        <w:rPr>
          <w:sz w:val="20"/>
          <w:szCs w:val="20"/>
          <w:color w:val="auto"/>
        </w:rPr>
      </w:pPr>
    </w:p>
    <w:p>
      <w:pPr>
        <w:ind w:left="6120"/>
        <w:spacing w:after="0"/>
        <w:rPr>
          <w:sz w:val="20"/>
          <w:szCs w:val="20"/>
          <w:color w:val="auto"/>
        </w:rPr>
      </w:pPr>
      <w:r>
        <w:rPr>
          <w:rFonts w:ascii="Arial" w:cs="Arial" w:eastAsia="Arial" w:hAnsi="Arial"/>
          <w:sz w:val="13"/>
          <w:szCs w:val="13"/>
          <w:b w:val="1"/>
          <w:bCs w:val="1"/>
          <w:color w:val="auto"/>
        </w:rPr>
        <w:t>Independent Registered Public Accounting Firm Fees</w:t>
      </w:r>
    </w:p>
    <w:p>
      <w:pPr>
        <w:spacing w:after="0" w:line="40" w:lineRule="exact"/>
        <w:rPr>
          <w:sz w:val="20"/>
          <w:szCs w:val="20"/>
          <w:color w:val="auto"/>
        </w:rPr>
      </w:pPr>
    </w:p>
    <w:p>
      <w:pPr>
        <w:ind w:left="1120" w:right="279" w:hanging="337"/>
        <w:spacing w:after="0" w:line="261" w:lineRule="auto"/>
        <w:tabs>
          <w:tab w:leader="none" w:pos="112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Audit-Related Fees </w:t>
      </w:r>
      <w:r>
        <w:rPr>
          <w:rFonts w:ascii="Arial" w:cs="Arial" w:eastAsia="Arial" w:hAnsi="Arial"/>
          <w:sz w:val="17"/>
          <w:szCs w:val="17"/>
          <w:color w:val="auto"/>
        </w:rPr>
        <w:t>included fees for assurance and related services that were reasonably related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of the audit or review of Sotera Health’s consolidated financial statements and are not reported under “Audit Fees.” These services include (a) due diligence services pertaining to potential business acquisitions/dispositions, (b) financial audits of employee benefit plans, (c) agreed-upon or expanded audit procedures required to comply with local market requirements, assistance with internal control documentation requirements and (d) annual subscriptions or licensing of online content, such as accounting, tax or regulatory reference tools.</w:t>
      </w:r>
    </w:p>
    <w:p>
      <w:pPr>
        <w:spacing w:after="0" w:line="28" w:lineRule="exact"/>
        <w:rPr>
          <w:rFonts w:ascii="Arial" w:cs="Arial" w:eastAsia="Arial" w:hAnsi="Arial"/>
          <w:sz w:val="17"/>
          <w:szCs w:val="17"/>
          <w:color w:val="auto"/>
        </w:rPr>
      </w:pPr>
    </w:p>
    <w:p>
      <w:pPr>
        <w:ind w:left="1120" w:right="379" w:hanging="337"/>
        <w:spacing w:after="0" w:line="275" w:lineRule="auto"/>
        <w:tabs>
          <w:tab w:leader="none" w:pos="112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Tax Fees </w:t>
      </w:r>
      <w:r>
        <w:rPr>
          <w:rFonts w:ascii="Arial" w:cs="Arial" w:eastAsia="Arial" w:hAnsi="Arial"/>
          <w:sz w:val="17"/>
          <w:szCs w:val="17"/>
          <w:color w:val="auto"/>
        </w:rPr>
        <w:t>consisted of fees for professional services for tax compliance and review, and tax planning and advice.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services include assistance regarding federal, state and international tax matters, including compliance, return preparation, tax audits, tax advisory and consulting services.</w:t>
      </w:r>
    </w:p>
    <w:p>
      <w:pPr>
        <w:spacing w:after="0" w:line="54" w:lineRule="exact"/>
        <w:rPr>
          <w:rFonts w:ascii="Arial" w:cs="Arial" w:eastAsia="Arial" w:hAnsi="Arial"/>
          <w:sz w:val="17"/>
          <w:szCs w:val="17"/>
          <w:color w:val="auto"/>
        </w:rPr>
      </w:pPr>
    </w:p>
    <w:p>
      <w:pPr>
        <w:ind w:left="1120" w:hanging="337"/>
        <w:spacing w:after="0"/>
        <w:tabs>
          <w:tab w:leader="none" w:pos="1120" w:val="left"/>
        </w:tabs>
        <w:numPr>
          <w:ilvl w:val="0"/>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would include fees for permitted services other than those that meet the criteria above.</w:t>
      </w:r>
    </w:p>
    <w:p>
      <w:pPr>
        <w:spacing w:after="0" w:line="210" w:lineRule="exact"/>
        <w:rPr>
          <w:sz w:val="20"/>
          <w:szCs w:val="20"/>
          <w:color w:val="auto"/>
        </w:rPr>
      </w:pPr>
    </w:p>
    <w:p>
      <w:pPr>
        <w:ind w:left="780" w:right="479"/>
        <w:spacing w:after="0" w:line="264" w:lineRule="auto"/>
        <w:rPr>
          <w:sz w:val="20"/>
          <w:szCs w:val="20"/>
          <w:color w:val="auto"/>
        </w:rPr>
      </w:pPr>
      <w:r>
        <w:rPr>
          <w:rFonts w:ascii="Arial" w:cs="Arial" w:eastAsia="Arial" w:hAnsi="Arial"/>
          <w:sz w:val="21"/>
          <w:szCs w:val="21"/>
          <w:color w:val="auto"/>
        </w:rPr>
        <w:t>The Audit Committee has concluded that the provision of the non-audit services described above was compatible with maintaining the independence of Ernst &amp;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321945</wp:posOffset>
            </wp:positionV>
            <wp:extent cx="5011420" cy="8737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011420" cy="87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FFFFFF"/>
        </w:rPr>
        <w:t>The Board recommends a vote “FOR” the ratification of the</w:t>
      </w:r>
    </w:p>
    <w:p>
      <w:pPr>
        <w:spacing w:after="0" w:line="42" w:lineRule="exact"/>
        <w:rPr>
          <w:sz w:val="20"/>
          <w:szCs w:val="20"/>
          <w:color w:val="auto"/>
        </w:rPr>
      </w:pPr>
    </w:p>
    <w:p>
      <w:pPr>
        <w:ind w:left="2440" w:right="579"/>
        <w:spacing w:after="0" w:line="208" w:lineRule="auto"/>
        <w:rPr>
          <w:sz w:val="20"/>
          <w:szCs w:val="20"/>
          <w:color w:val="auto"/>
        </w:rPr>
      </w:pPr>
      <w:r>
        <w:rPr>
          <w:rFonts w:ascii="Arial" w:cs="Arial" w:eastAsia="Arial" w:hAnsi="Arial"/>
          <w:sz w:val="21"/>
          <w:szCs w:val="21"/>
          <w:b w:val="1"/>
          <w:bCs w:val="1"/>
          <w:color w:val="FFFFFF"/>
        </w:rPr>
        <w:t xml:space="preserve">appointment of Ernst &amp; Young as Sotera Health’s independent </w:t>
      </w:r>
      <w:r>
        <w:rPr>
          <w:rFonts w:ascii="Arial" w:cs="Arial" w:eastAsia="Arial" w:hAnsi="Arial"/>
          <w:sz w:val="41"/>
          <w:szCs w:val="41"/>
          <w:b w:val="1"/>
          <w:bCs w:val="1"/>
          <w:color w:val="FFFFFF"/>
          <w:vertAlign w:val="subscript"/>
        </w:rPr>
        <w:t>​</w:t>
      </w:r>
      <w:r>
        <w:rPr>
          <w:rFonts w:ascii="Arial" w:cs="Arial" w:eastAsia="Arial" w:hAnsi="Arial"/>
          <w:sz w:val="21"/>
          <w:szCs w:val="21"/>
          <w:b w:val="1"/>
          <w:bCs w:val="1"/>
          <w:color w:val="FFFFFF"/>
        </w:rPr>
        <w:t xml:space="preserve"> registered public accounting firm for the fiscal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80" w:right="159"/>
        <w:spacing w:after="0" w:line="245" w:lineRule="auto"/>
        <w:rPr>
          <w:sz w:val="20"/>
          <w:szCs w:val="20"/>
          <w:color w:val="auto"/>
        </w:rPr>
      </w:pPr>
      <w:r>
        <w:rPr>
          <w:rFonts w:ascii="Arial" w:cs="Arial" w:eastAsia="Arial" w:hAnsi="Arial"/>
          <w:sz w:val="31"/>
          <w:szCs w:val="31"/>
          <w:color w:val="28B5DE"/>
        </w:rPr>
        <w:t>Policy on Audit Committee’s Pre-Approval of Audit and Permissible Non-Audit Services of Independent Registered Public Accounting Firm</w:t>
      </w:r>
    </w:p>
    <w:p>
      <w:pPr>
        <w:spacing w:after="0" w:line="141" w:lineRule="exact"/>
        <w:rPr>
          <w:sz w:val="20"/>
          <w:szCs w:val="20"/>
          <w:color w:val="auto"/>
        </w:rPr>
      </w:pPr>
    </w:p>
    <w:p>
      <w:pPr>
        <w:ind w:left="780" w:right="199"/>
        <w:spacing w:after="0" w:line="269" w:lineRule="auto"/>
        <w:rPr>
          <w:sz w:val="20"/>
          <w:szCs w:val="20"/>
          <w:color w:val="auto"/>
        </w:rPr>
      </w:pPr>
      <w:r>
        <w:rPr>
          <w:rFonts w:ascii="Arial" w:cs="Arial" w:eastAsia="Arial" w:hAnsi="Arial"/>
          <w:sz w:val="19"/>
          <w:szCs w:val="19"/>
          <w:color w:val="auto"/>
        </w:rPr>
        <w:t>The Audit Committee reviews and pre-approves all audit and non-audit services provided to Sotera Health by the registered public accounting firm, as well as audit services provided to Sotera Health or its consolidated subsidiaries by any separate accounting firm on which, in the case of the consolidated subsidiaries, the registered public accounting firm expressly relies, to assure that any such services (together, the “covered services”) do not impair the independence of the registered public accounting firm. Covered services may include audit services, audit-related services and tax services, and specifically designated non-audit services which, in the opinion of the Audit Committee, will not impair the independence of the independent registered public accounting firm. The policy provides for the general pre-approval of predictable and recurring covered services and related fee estimates or arrangements by the full Audit Committee on an annual basis. General pre-approval of any covered services is effective for the applicable fiscal year. All of the fees paid to Ernst &amp; Young for services rendered during 2024 and 2023 under the categories of Audit Fees, Audit-Related Fees, Tax Fees, and All Other Fees, as applicable, were pre-approved by the Audit Committee. The policy delegates to the Chair of the Audit Committee the authority to pre-approve covered services that are not the subject of general pre-approval and for which the aggregate estimated fees do not exceed $250,000. In considering whether to pre-approve such a service, the Chair of the Audit Committee is to consider the nature and scope of the proposed service in light of applicable law and the principles and other guidance enunciated by the SEC and the Public Company Accounting Oversight Board (“PCAOB”) with respect to independence of registered public accounting firms. The policy designates the CFO to monitor the performance of all services the registered public accounting firm provides and to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450850</wp:posOffset>
            </wp:positionV>
            <wp:extent cx="494665" cy="165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327025</wp:posOffset>
            </wp:positionV>
            <wp:extent cx="5538470" cy="165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367665</wp:posOffset>
            </wp:positionV>
            <wp:extent cx="6569710" cy="419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right="1300"/>
        <w:spacing w:after="0" w:line="273" w:lineRule="auto"/>
        <w:rPr>
          <w:sz w:val="20"/>
          <w:szCs w:val="20"/>
          <w:color w:val="auto"/>
        </w:rPr>
      </w:pPr>
      <w:r>
        <w:rPr>
          <w:rFonts w:ascii="Arial" w:cs="Arial" w:eastAsia="Arial" w:hAnsi="Arial"/>
          <w:sz w:val="17"/>
          <w:szCs w:val="17"/>
          <w:b w:val="1"/>
          <w:bCs w:val="1"/>
          <w:color w:val="auto"/>
        </w:rPr>
        <w:t>Proposal 3: Ratification of the Appointment of Ernst &amp; Young LLP as Our Independent Registered Public Accounting Firm</w:t>
      </w:r>
    </w:p>
    <w:p>
      <w:pPr>
        <w:spacing w:after="0" w:line="2"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for the Fiscal Year Ending December 31, 2025.</w:t>
      </w:r>
    </w:p>
    <w:p>
      <w:pPr>
        <w:spacing w:after="0" w:line="56" w:lineRule="exact"/>
        <w:rPr>
          <w:sz w:val="20"/>
          <w:szCs w:val="20"/>
          <w:color w:val="auto"/>
        </w:rPr>
      </w:pPr>
    </w:p>
    <w:p>
      <w:pPr>
        <w:ind w:left="780" w:right="1080"/>
        <w:spacing w:after="0" w:line="293" w:lineRule="auto"/>
        <w:rPr>
          <w:sz w:val="20"/>
          <w:szCs w:val="20"/>
          <w:color w:val="auto"/>
        </w:rPr>
      </w:pPr>
      <w:r>
        <w:rPr>
          <w:rFonts w:ascii="Arial" w:cs="Arial" w:eastAsia="Arial" w:hAnsi="Arial"/>
          <w:sz w:val="14"/>
          <w:szCs w:val="14"/>
          <w:b w:val="1"/>
          <w:bCs w:val="1"/>
          <w:color w:val="auto"/>
        </w:rPr>
        <w:t>Policy on Audit Committee’s Pre-Approval of Audit and Permissible Non-Audit Services of Independent Registered Public Accounting Firm</w:t>
      </w:r>
    </w:p>
    <w:p>
      <w:pPr>
        <w:spacing w:after="0" w:line="57" w:lineRule="exact"/>
        <w:rPr>
          <w:sz w:val="20"/>
          <w:szCs w:val="20"/>
          <w:color w:val="auto"/>
        </w:rPr>
      </w:pPr>
    </w:p>
    <w:p>
      <w:pPr>
        <w:ind w:left="780" w:right="860"/>
        <w:spacing w:after="0" w:line="277" w:lineRule="auto"/>
        <w:rPr>
          <w:sz w:val="20"/>
          <w:szCs w:val="20"/>
          <w:color w:val="auto"/>
        </w:rPr>
      </w:pPr>
      <w:r>
        <w:rPr>
          <w:rFonts w:ascii="Arial" w:cs="Arial" w:eastAsia="Arial" w:hAnsi="Arial"/>
          <w:sz w:val="19"/>
          <w:szCs w:val="19"/>
          <w:color w:val="auto"/>
        </w:rPr>
        <w:t>whether such services adhere to the policy. The CFO is required to report quarterly to the Audit Committee detailing the status of the covered services and fees previously approved by the Audit Committee (or the Chair, as applicable) for the fiscal year, the amounts allocated and used for each such covered service, any additional covered services and fees request to be approved by the Audit Committee, any services that may require application of the de minimis exception for permissible non-audit services described in the policy and any other results of the CFO’s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5921375</wp:posOffset>
            </wp:positionV>
            <wp:extent cx="5538470" cy="165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80</w:t>
            </w:r>
          </w:p>
        </w:tc>
      </w:tr>
      <w:tr>
        <w:trPr>
          <w:trHeight w:val="80"/>
        </w:trPr>
        <w:tc>
          <w:tcPr>
            <w:tcW w:w="4140" w:type="dxa"/>
            <w:vAlign w:val="bottom"/>
            <w:tcBorders>
              <w:bottom w:val="single" w:sz="8" w:color="9A9A9A"/>
            </w:tcBorders>
          </w:tcPr>
          <w:p>
            <w:pPr>
              <w:spacing w:after="0"/>
              <w:rPr>
                <w:sz w:val="6"/>
                <w:szCs w:val="6"/>
                <w:color w:val="auto"/>
              </w:rPr>
            </w:pPr>
          </w:p>
        </w:tc>
        <w:tc>
          <w:tcPr>
            <w:tcW w:w="61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600"/>
        <w:spacing w:after="0"/>
        <w:rPr>
          <w:sz w:val="20"/>
          <w:szCs w:val="20"/>
          <w:color w:val="auto"/>
        </w:rPr>
      </w:pPr>
      <w:r>
        <w:rPr>
          <w:rFonts w:ascii="Arial" w:cs="Arial" w:eastAsia="Arial" w:hAnsi="Arial"/>
          <w:sz w:val="16"/>
          <w:szCs w:val="16"/>
          <w:b w:val="1"/>
          <w:bCs w:val="1"/>
          <w:color w:val="auto"/>
        </w:rPr>
        <w:t>Audit Committee Report</w:t>
      </w:r>
    </w:p>
    <w:p>
      <w:pPr>
        <w:spacing w:after="0" w:line="200" w:lineRule="exact"/>
        <w:rPr>
          <w:sz w:val="20"/>
          <w:szCs w:val="20"/>
          <w:color w:val="auto"/>
        </w:rPr>
      </w:pPr>
    </w:p>
    <w:p>
      <w:pPr>
        <w:spacing w:after="0" w:line="22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AUDIT COMMITTEE REPORT</w:t>
      </w:r>
    </w:p>
    <w:p>
      <w:pPr>
        <w:spacing w:after="0" w:line="207" w:lineRule="exact"/>
        <w:rPr>
          <w:sz w:val="20"/>
          <w:szCs w:val="20"/>
          <w:color w:val="auto"/>
        </w:rPr>
      </w:pPr>
    </w:p>
    <w:p>
      <w:pPr>
        <w:ind w:left="780" w:right="319"/>
        <w:spacing w:after="0" w:line="251" w:lineRule="auto"/>
        <w:rPr>
          <w:sz w:val="20"/>
          <w:szCs w:val="20"/>
          <w:color w:val="auto"/>
        </w:rPr>
      </w:pPr>
      <w:r>
        <w:rPr>
          <w:rFonts w:ascii="Arial" w:cs="Arial" w:eastAsia="Arial" w:hAnsi="Arial"/>
          <w:sz w:val="21"/>
          <w:szCs w:val="21"/>
          <w:color w:val="auto"/>
        </w:rPr>
        <w:t>The information contained in this report shall not be deemed to be “soliciting material” or “filed” with the SEC, or subject to the liabilities of Section 18 of the Exchange Act, except to the extent that Sotera Health specifically incorporates this report by reference into a document filed under the Securities Act or the Exchange Act.</w:t>
      </w:r>
    </w:p>
    <w:p>
      <w:pPr>
        <w:spacing w:after="0" w:line="171" w:lineRule="exact"/>
        <w:rPr>
          <w:sz w:val="20"/>
          <w:szCs w:val="20"/>
          <w:color w:val="auto"/>
        </w:rPr>
      </w:pPr>
    </w:p>
    <w:p>
      <w:pPr>
        <w:ind w:left="780" w:right="159"/>
        <w:spacing w:after="0" w:line="268" w:lineRule="auto"/>
        <w:rPr>
          <w:sz w:val="20"/>
          <w:szCs w:val="20"/>
          <w:color w:val="auto"/>
        </w:rPr>
      </w:pPr>
      <w:r>
        <w:rPr>
          <w:rFonts w:ascii="Arial" w:cs="Arial" w:eastAsia="Arial" w:hAnsi="Arial"/>
          <w:sz w:val="20"/>
          <w:szCs w:val="20"/>
          <w:b w:val="1"/>
          <w:bCs w:val="1"/>
          <w:color w:val="auto"/>
        </w:rPr>
        <w:t xml:space="preserve">Composition. </w:t>
      </w:r>
      <w:r>
        <w:rPr>
          <w:rFonts w:ascii="Arial" w:cs="Arial" w:eastAsia="Arial" w:hAnsi="Arial"/>
          <w:sz w:val="20"/>
          <w:szCs w:val="20"/>
          <w:color w:val="auto"/>
        </w:rPr>
        <w:t>The Audit Committee of the Board comprises Vincent Petrella, Karen Flynn, Ann</w:t>
      </w:r>
      <w:r>
        <w:rPr>
          <w:rFonts w:ascii="Arial" w:cs="Arial" w:eastAsia="Arial" w:hAnsi="Arial"/>
          <w:sz w:val="20"/>
          <w:szCs w:val="20"/>
          <w:b w:val="1"/>
          <w:bCs w:val="1"/>
          <w:color w:val="auto"/>
        </w:rPr>
        <w:t xml:space="preserve"> </w:t>
      </w:r>
      <w:r>
        <w:rPr>
          <w:rFonts w:ascii="Arial" w:cs="Arial" w:eastAsia="Arial" w:hAnsi="Arial"/>
          <w:sz w:val="20"/>
          <w:szCs w:val="20"/>
          <w:color w:val="auto"/>
        </w:rPr>
        <w:t>Klee and David Wheadon, who all meet the independence and financial experience requirements under applicable SEC rules and Nasdaq listing standards. In addition, the Board has determined that Mr. Petrella is an “audit committee financial expert” as defined by SEC rules.</w:t>
      </w:r>
    </w:p>
    <w:p>
      <w:pPr>
        <w:spacing w:after="0" w:line="141" w:lineRule="exact"/>
        <w:rPr>
          <w:sz w:val="20"/>
          <w:szCs w:val="20"/>
          <w:color w:val="auto"/>
        </w:rPr>
      </w:pPr>
    </w:p>
    <w:p>
      <w:pPr>
        <w:ind w:left="780" w:right="199"/>
        <w:spacing w:after="0" w:line="269" w:lineRule="auto"/>
        <w:rPr>
          <w:sz w:val="20"/>
          <w:szCs w:val="20"/>
          <w:color w:val="auto"/>
        </w:rPr>
      </w:pPr>
      <w:r>
        <w:rPr>
          <w:rFonts w:ascii="Arial" w:cs="Arial" w:eastAsia="Arial" w:hAnsi="Arial"/>
          <w:sz w:val="19"/>
          <w:szCs w:val="19"/>
          <w:b w:val="1"/>
          <w:bCs w:val="1"/>
          <w:color w:val="auto"/>
        </w:rPr>
        <w:t xml:space="preserve">Responsibilities. </w:t>
      </w:r>
      <w:r>
        <w:rPr>
          <w:rFonts w:ascii="Arial" w:cs="Arial" w:eastAsia="Arial" w:hAnsi="Arial"/>
          <w:sz w:val="19"/>
          <w:szCs w:val="19"/>
          <w:color w:val="auto"/>
        </w:rPr>
        <w:t>The Audit Committee operates under a written charter that has been adopted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The charter is reviewed annually for changes, as appropriate. The Audit Committee is responsible for general oversight of Sotera Health’s accounting and financial reporting processes, Sotera Health’s relationship with its independent registered public accounting firm, Sotera Health’s compliance with legal and regulatory requirements and Sotera Health’s policies and procedures with respect to risk assessment and risk management. Sotera Health’s management is responsible for:</w:t>
      </w:r>
    </w:p>
    <w:p>
      <w:pPr>
        <w:spacing w:after="0" w:line="4" w:lineRule="exact"/>
        <w:rPr>
          <w:sz w:val="20"/>
          <w:szCs w:val="20"/>
          <w:color w:val="auto"/>
        </w:rPr>
      </w:pPr>
    </w:p>
    <w:p>
      <w:pPr>
        <w:jc w:val="both"/>
        <w:ind w:left="780" w:right="259" w:firstLine="3"/>
        <w:spacing w:after="0" w:line="244" w:lineRule="auto"/>
        <w:tabs>
          <w:tab w:leader="none" w:pos="10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maintaining Sotera Health’s books of account and preparing periodic financial statements based thereon; and (b) maintaining the system of internal control over financial reporting. The independent registered public accounting firm is responsible for auditing Sotera Health’s annual consolidated financial statements and internal controls over financial reporting.</w:t>
      </w:r>
    </w:p>
    <w:p>
      <w:pPr>
        <w:spacing w:after="0" w:line="179" w:lineRule="exact"/>
        <w:rPr>
          <w:sz w:val="20"/>
          <w:szCs w:val="20"/>
          <w:color w:val="auto"/>
        </w:rPr>
      </w:pPr>
    </w:p>
    <w:p>
      <w:pPr>
        <w:ind w:left="780" w:right="459"/>
        <w:spacing w:after="0" w:line="264" w:lineRule="auto"/>
        <w:rPr>
          <w:sz w:val="20"/>
          <w:szCs w:val="20"/>
          <w:color w:val="auto"/>
        </w:rPr>
      </w:pPr>
      <w:r>
        <w:rPr>
          <w:rFonts w:ascii="Arial" w:cs="Arial" w:eastAsia="Arial" w:hAnsi="Arial"/>
          <w:sz w:val="21"/>
          <w:szCs w:val="21"/>
          <w:b w:val="1"/>
          <w:bCs w:val="1"/>
          <w:color w:val="auto"/>
        </w:rPr>
        <w:t xml:space="preserve">Review with Management and Independent Registered Public Accounting Firm. </w:t>
      </w:r>
      <w:r>
        <w:rPr>
          <w:rFonts w:ascii="Arial" w:cs="Arial" w:eastAsia="Arial" w:hAnsi="Arial"/>
          <w:sz w:val="21"/>
          <w:szCs w:val="21"/>
          <w:color w:val="auto"/>
        </w:rPr>
        <w:t>The Audit</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hereby reports as follows:</w:t>
      </w:r>
    </w:p>
    <w:p>
      <w:pPr>
        <w:spacing w:after="0" w:line="157" w:lineRule="exact"/>
        <w:rPr>
          <w:sz w:val="20"/>
          <w:szCs w:val="20"/>
          <w:color w:val="auto"/>
        </w:rPr>
      </w:pPr>
    </w:p>
    <w:p>
      <w:pPr>
        <w:ind w:left="1480" w:right="339" w:hanging="351"/>
        <w:spacing w:after="0" w:line="251" w:lineRule="auto"/>
        <w:tabs>
          <w:tab w:leader="none" w:pos="1480" w:val="left"/>
        </w:tabs>
        <w:numPr>
          <w:ilvl w:val="0"/>
          <w:numId w:val="63"/>
        </w:numPr>
        <w:rPr>
          <w:rFonts w:ascii="Arial" w:cs="Arial" w:eastAsia="Arial" w:hAnsi="Arial"/>
          <w:sz w:val="21"/>
          <w:szCs w:val="21"/>
          <w:b w:val="1"/>
          <w:bCs w:val="1"/>
          <w:color w:val="435F86"/>
        </w:rPr>
      </w:pPr>
      <w:r>
        <w:rPr>
          <w:rFonts w:ascii="Arial" w:cs="Arial" w:eastAsia="Arial" w:hAnsi="Arial"/>
          <w:sz w:val="21"/>
          <w:szCs w:val="21"/>
          <w:color w:val="auto"/>
        </w:rPr>
        <w:t>The Audit Committee has reviewed and discussed with management and the independent registered public accounting firm, Ernst &amp; Young, together and separately, Sotera Health’s audited consolidated financial statements contained in Sotera Health’s Annual Report on Form 10-K for fiscal year 2024.</w:t>
      </w:r>
    </w:p>
    <w:p>
      <w:pPr>
        <w:spacing w:after="0" w:line="170" w:lineRule="exact"/>
        <w:rPr>
          <w:rFonts w:ascii="Arial" w:cs="Arial" w:eastAsia="Arial" w:hAnsi="Arial"/>
          <w:sz w:val="21"/>
          <w:szCs w:val="21"/>
          <w:b w:val="1"/>
          <w:bCs w:val="1"/>
          <w:color w:val="435F86"/>
        </w:rPr>
      </w:pPr>
    </w:p>
    <w:p>
      <w:pPr>
        <w:ind w:left="1480" w:right="1019" w:hanging="351"/>
        <w:spacing w:after="0" w:line="264" w:lineRule="auto"/>
        <w:tabs>
          <w:tab w:leader="none" w:pos="1480" w:val="left"/>
        </w:tabs>
        <w:numPr>
          <w:ilvl w:val="0"/>
          <w:numId w:val="63"/>
        </w:numPr>
        <w:rPr>
          <w:rFonts w:ascii="Arial" w:cs="Arial" w:eastAsia="Arial" w:hAnsi="Arial"/>
          <w:sz w:val="21"/>
          <w:szCs w:val="21"/>
          <w:b w:val="1"/>
          <w:bCs w:val="1"/>
          <w:color w:val="435F86"/>
        </w:rPr>
      </w:pPr>
      <w:r>
        <w:rPr>
          <w:rFonts w:ascii="Arial" w:cs="Arial" w:eastAsia="Arial" w:hAnsi="Arial"/>
          <w:sz w:val="21"/>
          <w:szCs w:val="21"/>
          <w:color w:val="auto"/>
        </w:rPr>
        <w:t>The Audit Committee has discussed with Ernst &amp; Young the matters required to be discussed by applicable requirements of the PCAOB and the SEC.</w:t>
      </w:r>
    </w:p>
    <w:p>
      <w:pPr>
        <w:spacing w:after="0" w:line="156" w:lineRule="exact"/>
        <w:rPr>
          <w:rFonts w:ascii="Arial" w:cs="Arial" w:eastAsia="Arial" w:hAnsi="Arial"/>
          <w:sz w:val="21"/>
          <w:szCs w:val="21"/>
          <w:b w:val="1"/>
          <w:bCs w:val="1"/>
          <w:color w:val="435F86"/>
        </w:rPr>
      </w:pPr>
    </w:p>
    <w:p>
      <w:pPr>
        <w:ind w:left="1480" w:right="219" w:hanging="351"/>
        <w:spacing w:after="0" w:line="251" w:lineRule="auto"/>
        <w:tabs>
          <w:tab w:leader="none" w:pos="1480" w:val="left"/>
        </w:tabs>
        <w:numPr>
          <w:ilvl w:val="0"/>
          <w:numId w:val="63"/>
        </w:numPr>
        <w:rPr>
          <w:rFonts w:ascii="Arial" w:cs="Arial" w:eastAsia="Arial" w:hAnsi="Arial"/>
          <w:sz w:val="21"/>
          <w:szCs w:val="21"/>
          <w:b w:val="1"/>
          <w:bCs w:val="1"/>
          <w:color w:val="435F86"/>
        </w:rPr>
      </w:pPr>
      <w:r>
        <w:rPr>
          <w:rFonts w:ascii="Arial" w:cs="Arial" w:eastAsia="Arial" w:hAnsi="Arial"/>
          <w:sz w:val="21"/>
          <w:szCs w:val="21"/>
          <w:color w:val="auto"/>
        </w:rPr>
        <w:t>The Audit Committee has received from Ernst &amp; Young the written disclosures and the letter required by applicable requirements of the PCAOB regarding Ernst &amp; Young’s communications with the Audit Committee concerning independence and has discussed with Ernst &amp; Young its independence.</w:t>
      </w:r>
    </w:p>
    <w:p>
      <w:pPr>
        <w:spacing w:after="0" w:line="171" w:lineRule="exact"/>
        <w:rPr>
          <w:sz w:val="20"/>
          <w:szCs w:val="20"/>
          <w:color w:val="auto"/>
        </w:rPr>
      </w:pPr>
    </w:p>
    <w:p>
      <w:pPr>
        <w:ind w:left="780" w:right="279"/>
        <w:spacing w:after="0" w:line="251" w:lineRule="auto"/>
        <w:rPr>
          <w:sz w:val="20"/>
          <w:szCs w:val="20"/>
          <w:color w:val="auto"/>
        </w:rPr>
      </w:pPr>
      <w:r>
        <w:rPr>
          <w:rFonts w:ascii="Arial" w:cs="Arial" w:eastAsia="Arial" w:hAnsi="Arial"/>
          <w:sz w:val="21"/>
          <w:szCs w:val="21"/>
          <w:color w:val="auto"/>
        </w:rPr>
        <w:t>Based on the review and discussions referred to in paragraphs 1-3 above, the Audit Committee recommended to the Board, and the Board approved, that the audited consolidated financial statements be included in the Company’s Annual Report on Form 10-K for fiscal year 2024 for filing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446405</wp:posOffset>
            </wp:positionV>
            <wp:extent cx="494665" cy="165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323215</wp:posOffset>
            </wp:positionV>
            <wp:extent cx="5538470" cy="165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Audit Committee Report</w:t>
      </w:r>
    </w:p>
    <w:p>
      <w:pPr>
        <w:spacing w:after="0" w:line="200" w:lineRule="exact"/>
        <w:rPr>
          <w:sz w:val="20"/>
          <w:szCs w:val="20"/>
          <w:color w:val="auto"/>
        </w:rPr>
      </w:pPr>
    </w:p>
    <w:p>
      <w:pPr>
        <w:spacing w:after="0" w:line="246" w:lineRule="exact"/>
        <w:rPr>
          <w:sz w:val="20"/>
          <w:szCs w:val="20"/>
          <w:color w:val="auto"/>
        </w:rPr>
      </w:pPr>
    </w:p>
    <w:p>
      <w:pPr>
        <w:ind w:left="780" w:right="960"/>
        <w:spacing w:after="0" w:line="251" w:lineRule="auto"/>
        <w:rPr>
          <w:sz w:val="20"/>
          <w:szCs w:val="20"/>
          <w:color w:val="auto"/>
        </w:rPr>
      </w:pPr>
      <w:r>
        <w:rPr>
          <w:rFonts w:ascii="Arial" w:cs="Arial" w:eastAsia="Arial" w:hAnsi="Arial"/>
          <w:sz w:val="21"/>
          <w:szCs w:val="21"/>
          <w:color w:val="auto"/>
        </w:rPr>
        <w:t>The Audit Committee has appointed Ernst &amp; Young as Sotera Health’s independent registered public accounting firm for fiscal year 2025 and recommends to shareholders that they ratify the appointment of Ernst &amp; Young as Sotera Health’s independent registered public accounting firm for fiscal year 2025.</w:t>
      </w:r>
    </w:p>
    <w:p>
      <w:pPr>
        <w:spacing w:after="0" w:line="171" w:lineRule="exact"/>
        <w:rPr>
          <w:sz w:val="20"/>
          <w:szCs w:val="20"/>
          <w:color w:val="auto"/>
        </w:rPr>
      </w:pPr>
    </w:p>
    <w:p>
      <w:pPr>
        <w:ind w:left="780"/>
        <w:spacing w:after="0"/>
        <w:rPr>
          <w:sz w:val="20"/>
          <w:szCs w:val="20"/>
          <w:color w:val="auto"/>
        </w:rPr>
      </w:pPr>
      <w:r>
        <w:rPr>
          <w:rFonts w:ascii="Arial" w:cs="Arial" w:eastAsia="Arial" w:hAnsi="Arial"/>
          <w:sz w:val="21"/>
          <w:szCs w:val="21"/>
          <w:color w:val="auto"/>
        </w:rPr>
        <w:t>Respectfully submitted,</w:t>
      </w:r>
    </w:p>
    <w:p>
      <w:pPr>
        <w:spacing w:after="0" w:line="215" w:lineRule="exact"/>
        <w:rPr>
          <w:sz w:val="20"/>
          <w:szCs w:val="20"/>
          <w:color w:val="auto"/>
        </w:rPr>
      </w:pPr>
    </w:p>
    <w:p>
      <w:pPr>
        <w:ind w:left="780"/>
        <w:spacing w:after="0"/>
        <w:rPr>
          <w:sz w:val="20"/>
          <w:szCs w:val="20"/>
          <w:color w:val="auto"/>
        </w:rPr>
      </w:pPr>
      <w:r>
        <w:rPr>
          <w:rFonts w:ascii="Arial" w:cs="Arial" w:eastAsia="Arial" w:hAnsi="Arial"/>
          <w:sz w:val="21"/>
          <w:szCs w:val="21"/>
          <w:b w:val="1"/>
          <w:bCs w:val="1"/>
          <w:i w:val="1"/>
          <w:iCs w:val="1"/>
          <w:color w:val="auto"/>
        </w:rPr>
        <w:t>The Audit Committee</w:t>
      </w:r>
    </w:p>
    <w:p>
      <w:pPr>
        <w:spacing w:after="0" w:line="10" w:lineRule="exact"/>
        <w:rPr>
          <w:sz w:val="20"/>
          <w:szCs w:val="20"/>
          <w:color w:val="auto"/>
        </w:rPr>
      </w:pPr>
    </w:p>
    <w:p>
      <w:pPr>
        <w:ind w:left="780"/>
        <w:spacing w:after="0"/>
        <w:rPr>
          <w:sz w:val="20"/>
          <w:szCs w:val="20"/>
          <w:color w:val="auto"/>
        </w:rPr>
      </w:pPr>
      <w:r>
        <w:rPr>
          <w:rFonts w:ascii="Arial" w:cs="Arial" w:eastAsia="Arial" w:hAnsi="Arial"/>
          <w:sz w:val="21"/>
          <w:szCs w:val="21"/>
          <w:color w:val="auto"/>
        </w:rPr>
        <w:t>Vincent K. Petrella, Chair</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21"/>
          <w:szCs w:val="21"/>
          <w:color w:val="auto"/>
        </w:rPr>
        <w:t>Karen A. Flynn</w:t>
      </w:r>
    </w:p>
    <w:p>
      <w:pPr>
        <w:ind w:left="780"/>
        <w:spacing w:after="0" w:line="237" w:lineRule="auto"/>
        <w:rPr>
          <w:sz w:val="20"/>
          <w:szCs w:val="20"/>
          <w:color w:val="auto"/>
        </w:rPr>
      </w:pPr>
      <w:r>
        <w:rPr>
          <w:rFonts w:ascii="Arial" w:cs="Arial" w:eastAsia="Arial" w:hAnsi="Arial"/>
          <w:sz w:val="21"/>
          <w:szCs w:val="21"/>
          <w:color w:val="auto"/>
        </w:rPr>
        <w:t>Ann R. Klee</w:t>
      </w:r>
    </w:p>
    <w:p>
      <w:pPr>
        <w:ind w:left="780"/>
        <w:spacing w:after="0"/>
        <w:rPr>
          <w:sz w:val="20"/>
          <w:szCs w:val="20"/>
          <w:color w:val="auto"/>
        </w:rPr>
      </w:pPr>
      <w:r>
        <w:rPr>
          <w:rFonts w:ascii="Arial" w:cs="Arial" w:eastAsia="Arial" w:hAnsi="Arial"/>
          <w:sz w:val="21"/>
          <w:szCs w:val="21"/>
          <w:color w:val="auto"/>
        </w:rPr>
        <w:t>David E. Wheadon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5067935</wp:posOffset>
            </wp:positionV>
            <wp:extent cx="5538470" cy="165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82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00" w:lineRule="exact"/>
        <w:rPr>
          <w:sz w:val="20"/>
          <w:szCs w:val="20"/>
          <w:color w:val="auto"/>
        </w:rPr>
      </w:pPr>
    </w:p>
    <w:p>
      <w:pPr>
        <w:spacing w:after="0" w:line="218" w:lineRule="exact"/>
        <w:rPr>
          <w:sz w:val="20"/>
          <w:szCs w:val="20"/>
          <w:color w:val="auto"/>
        </w:rPr>
      </w:pPr>
    </w:p>
    <w:p>
      <w:pPr>
        <w:ind w:left="780" w:right="1140"/>
        <w:spacing w:after="0" w:line="295" w:lineRule="auto"/>
        <w:rPr>
          <w:sz w:val="20"/>
          <w:szCs w:val="20"/>
          <w:color w:val="auto"/>
        </w:rPr>
      </w:pPr>
      <w:r>
        <w:rPr>
          <w:rFonts w:ascii="Arial" w:cs="Arial" w:eastAsia="Arial" w:hAnsi="Arial"/>
          <w:sz w:val="40"/>
          <w:szCs w:val="40"/>
          <w:b w:val="1"/>
          <w:bCs w:val="1"/>
          <w:color w:val="28B5DE"/>
        </w:rPr>
        <w:t>SECURITY OWNERSHIP OF CERTAIN BENEFICIAL OWNERS AND MANAGEMENT</w:t>
      </w:r>
    </w:p>
    <w:p>
      <w:pPr>
        <w:spacing w:after="0" w:line="14" w:lineRule="exact"/>
        <w:rPr>
          <w:sz w:val="20"/>
          <w:szCs w:val="20"/>
          <w:color w:val="auto"/>
        </w:rPr>
      </w:pPr>
    </w:p>
    <w:p>
      <w:pPr>
        <w:ind w:left="780" w:right="820"/>
        <w:spacing w:after="0" w:line="264" w:lineRule="auto"/>
        <w:rPr>
          <w:sz w:val="20"/>
          <w:szCs w:val="20"/>
          <w:color w:val="auto"/>
        </w:rPr>
      </w:pPr>
      <w:r>
        <w:rPr>
          <w:rFonts w:ascii="Arial" w:cs="Arial" w:eastAsia="Arial" w:hAnsi="Arial"/>
          <w:sz w:val="21"/>
          <w:szCs w:val="21"/>
          <w:color w:val="auto"/>
        </w:rPr>
        <w:t>The following table sets forth information regarding the beneficial ownership of our common stock as of March 28, 2025 by:</w:t>
      </w:r>
    </w:p>
    <w:p>
      <w:pPr>
        <w:spacing w:after="0" w:line="53" w:lineRule="exact"/>
        <w:rPr>
          <w:sz w:val="20"/>
          <w:szCs w:val="20"/>
          <w:color w:val="auto"/>
        </w:rPr>
      </w:pPr>
    </w:p>
    <w:p>
      <w:pPr>
        <w:ind w:left="1480" w:right="1700" w:hanging="351"/>
        <w:spacing w:after="0" w:line="277" w:lineRule="auto"/>
        <w:tabs>
          <w:tab w:leader="none" w:pos="1480" w:val="left"/>
        </w:tabs>
        <w:numPr>
          <w:ilvl w:val="0"/>
          <w:numId w:val="64"/>
        </w:numPr>
        <w:rPr>
          <w:rFonts w:ascii="Arial" w:cs="Arial" w:eastAsia="Arial" w:hAnsi="Arial"/>
          <w:sz w:val="21"/>
          <w:szCs w:val="21"/>
          <w:color w:val="435F86"/>
        </w:rPr>
      </w:pPr>
      <w:r>
        <w:rPr>
          <w:rFonts w:ascii="Arial" w:cs="Arial" w:eastAsia="Arial" w:hAnsi="Arial"/>
          <w:sz w:val="21"/>
          <w:szCs w:val="21"/>
          <w:color w:val="auto"/>
        </w:rPr>
        <w:t>each person or group who is known by us to own beneficially more than 5% of our outstanding shares of common stock;</w:t>
      </w:r>
    </w:p>
    <w:p>
      <w:pPr>
        <w:spacing w:after="0" w:line="39" w:lineRule="exact"/>
        <w:rPr>
          <w:rFonts w:ascii="Arial" w:cs="Arial" w:eastAsia="Arial" w:hAnsi="Arial"/>
          <w:sz w:val="21"/>
          <w:szCs w:val="21"/>
          <w:color w:val="435F86"/>
        </w:rPr>
      </w:pPr>
    </w:p>
    <w:p>
      <w:pPr>
        <w:ind w:left="1480" w:hanging="351"/>
        <w:spacing w:after="0"/>
        <w:tabs>
          <w:tab w:leader="none" w:pos="1480" w:val="left"/>
        </w:tabs>
        <w:numPr>
          <w:ilvl w:val="0"/>
          <w:numId w:val="64"/>
        </w:numPr>
        <w:rPr>
          <w:rFonts w:ascii="Arial" w:cs="Arial" w:eastAsia="Arial" w:hAnsi="Arial"/>
          <w:sz w:val="21"/>
          <w:szCs w:val="21"/>
          <w:color w:val="435F86"/>
        </w:rPr>
      </w:pPr>
      <w:r>
        <w:rPr>
          <w:rFonts w:ascii="Arial" w:cs="Arial" w:eastAsia="Arial" w:hAnsi="Arial"/>
          <w:sz w:val="21"/>
          <w:szCs w:val="21"/>
          <w:color w:val="auto"/>
        </w:rPr>
        <w:t>each of our Named Executive Officers;</w:t>
      </w:r>
    </w:p>
    <w:p>
      <w:pPr>
        <w:spacing w:after="0" w:line="108" w:lineRule="exact"/>
        <w:rPr>
          <w:rFonts w:ascii="Arial" w:cs="Arial" w:eastAsia="Arial" w:hAnsi="Arial"/>
          <w:sz w:val="21"/>
          <w:szCs w:val="21"/>
          <w:color w:val="435F86"/>
        </w:rPr>
      </w:pPr>
    </w:p>
    <w:p>
      <w:pPr>
        <w:ind w:left="1480" w:hanging="351"/>
        <w:spacing w:after="0"/>
        <w:tabs>
          <w:tab w:leader="none" w:pos="1480" w:val="left"/>
        </w:tabs>
        <w:numPr>
          <w:ilvl w:val="0"/>
          <w:numId w:val="64"/>
        </w:numPr>
        <w:rPr>
          <w:rFonts w:ascii="Arial" w:cs="Arial" w:eastAsia="Arial" w:hAnsi="Arial"/>
          <w:sz w:val="21"/>
          <w:szCs w:val="21"/>
          <w:color w:val="435F86"/>
        </w:rPr>
      </w:pPr>
      <w:r>
        <w:rPr>
          <w:rFonts w:ascii="Arial" w:cs="Arial" w:eastAsia="Arial" w:hAnsi="Arial"/>
          <w:sz w:val="21"/>
          <w:szCs w:val="21"/>
          <w:color w:val="auto"/>
        </w:rPr>
        <w:t>each of our directors; and</w:t>
      </w:r>
    </w:p>
    <w:p>
      <w:pPr>
        <w:spacing w:after="0" w:line="108" w:lineRule="exact"/>
        <w:rPr>
          <w:rFonts w:ascii="Arial" w:cs="Arial" w:eastAsia="Arial" w:hAnsi="Arial"/>
          <w:sz w:val="21"/>
          <w:szCs w:val="21"/>
          <w:color w:val="435F86"/>
        </w:rPr>
      </w:pPr>
    </w:p>
    <w:p>
      <w:pPr>
        <w:ind w:left="1480" w:hanging="351"/>
        <w:spacing w:after="0"/>
        <w:tabs>
          <w:tab w:leader="none" w:pos="1480" w:val="left"/>
        </w:tabs>
        <w:numPr>
          <w:ilvl w:val="0"/>
          <w:numId w:val="64"/>
        </w:numPr>
        <w:rPr>
          <w:rFonts w:ascii="Arial" w:cs="Arial" w:eastAsia="Arial" w:hAnsi="Arial"/>
          <w:sz w:val="21"/>
          <w:szCs w:val="21"/>
          <w:color w:val="435F86"/>
        </w:rPr>
      </w:pPr>
      <w:r>
        <w:rPr>
          <w:rFonts w:ascii="Arial" w:cs="Arial" w:eastAsia="Arial" w:hAnsi="Arial"/>
          <w:sz w:val="21"/>
          <w:szCs w:val="21"/>
          <w:color w:val="auto"/>
        </w:rPr>
        <w:t>all the executive officers and directors as a group.</w:t>
      </w:r>
    </w:p>
    <w:p>
      <w:pPr>
        <w:spacing w:after="0" w:line="200" w:lineRule="exact"/>
        <w:rPr>
          <w:sz w:val="20"/>
          <w:szCs w:val="20"/>
          <w:color w:val="auto"/>
        </w:rPr>
      </w:pPr>
    </w:p>
    <w:p>
      <w:pPr>
        <w:ind w:left="780" w:right="920"/>
        <w:spacing w:after="0" w:line="272" w:lineRule="auto"/>
        <w:rPr>
          <w:sz w:val="20"/>
          <w:szCs w:val="20"/>
          <w:color w:val="auto"/>
        </w:rPr>
      </w:pPr>
      <w:r>
        <w:rPr>
          <w:rFonts w:ascii="Arial" w:cs="Arial" w:eastAsia="Arial" w:hAnsi="Arial"/>
          <w:sz w:val="19"/>
          <w:szCs w:val="19"/>
          <w:color w:val="auto"/>
        </w:rPr>
        <w:t>We have determined beneficial ownership in accordance with the rules and regulations of the SEC, and the information is not necessarily indicative of beneficial ownership for any other purpose. We have based the calculation of the percentage of beneficial ownership on 283,855,074 shares of common stock outstanding, as of March 28, 2025. For purposes of calculating each</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21"/>
          <w:szCs w:val="21"/>
          <w:color w:val="auto"/>
        </w:rPr>
        <w:t>person’s percentage ownership, common stock issuable pursuant to options exercisable within</w:t>
      </w:r>
    </w:p>
    <w:p>
      <w:pPr>
        <w:spacing w:after="0" w:line="5" w:lineRule="exact"/>
        <w:rPr>
          <w:sz w:val="20"/>
          <w:szCs w:val="20"/>
          <w:color w:val="auto"/>
        </w:rPr>
      </w:pPr>
    </w:p>
    <w:p>
      <w:pPr>
        <w:ind w:left="780" w:right="880"/>
        <w:spacing w:after="0" w:line="264" w:lineRule="auto"/>
        <w:rPr>
          <w:sz w:val="20"/>
          <w:szCs w:val="20"/>
          <w:color w:val="auto"/>
        </w:rPr>
      </w:pPr>
      <w:r>
        <w:rPr>
          <w:rFonts w:ascii="Arial" w:cs="Arial" w:eastAsia="Arial" w:hAnsi="Arial"/>
          <w:sz w:val="19"/>
          <w:szCs w:val="19"/>
          <w:color w:val="auto"/>
        </w:rPr>
        <w:t>60 days of March 28, 2025 and common stock issuable in connection with outstanding RSUs which will vest within 60 days of March 28, 2025 are included as outstanding and beneficially owned for that person, and are deemed outstanding for purposes of computing the percentage ownership of that person only. Except as disclosed in the footnotes to this table and subject to applicable community property laws, we believe that each shareholder identified in the table possesses sole voting and investment power over all shares of common stock shown as beneficially owned by the shareholder. Unless otherwise indicated, this table is based upon information supplied by officers, directors and principal shareholders and Schedules 13D and 13G filed with the SEC. Unless otherwise indicated in the table or footnotes below, the address for each beneficial owner is</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21"/>
          <w:szCs w:val="21"/>
          <w:color w:val="auto"/>
        </w:rPr>
        <w:t>c/o Sotera Health, 9100 South Hills Blvd, Suite 300, Broadview Heights, Ohio 44147.</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435F86"/>
                <w:w w:val="97"/>
              </w:rPr>
              <w:t>Number of Shares</w:t>
            </w:r>
          </w:p>
        </w:tc>
        <w:tc>
          <w:tcPr>
            <w:tcW w:w="26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435F86"/>
                <w:w w:val="93"/>
              </w:rPr>
              <w:t>Percentage of Shares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29"/>
        </w:trPr>
        <w:tc>
          <w:tcPr>
            <w:tcW w:w="780" w:type="dxa"/>
            <w:vAlign w:val="bottom"/>
          </w:tcPr>
          <w:p>
            <w:pPr>
              <w:spacing w:after="0"/>
              <w:rPr>
                <w:sz w:val="19"/>
                <w:szCs w:val="19"/>
                <w:color w:val="auto"/>
              </w:rPr>
            </w:pPr>
          </w:p>
        </w:tc>
        <w:tc>
          <w:tcPr>
            <w:tcW w:w="5040" w:type="dxa"/>
            <w:vAlign w:val="bottom"/>
          </w:tcPr>
          <w:p>
            <w:pPr>
              <w:ind w:left="80"/>
              <w:spacing w:after="0"/>
              <w:rPr>
                <w:sz w:val="20"/>
                <w:szCs w:val="20"/>
                <w:color w:val="auto"/>
              </w:rPr>
            </w:pPr>
            <w:r>
              <w:rPr>
                <w:rFonts w:ascii="Arial" w:cs="Arial" w:eastAsia="Arial" w:hAnsi="Arial"/>
                <w:sz w:val="14"/>
                <w:szCs w:val="14"/>
                <w:b w:val="1"/>
                <w:bCs w:val="1"/>
                <w:color w:val="435F86"/>
              </w:rPr>
              <w:t>Name of Beneficial Owner</w:t>
            </w:r>
          </w:p>
        </w:tc>
        <w:tc>
          <w:tcPr>
            <w:tcW w:w="2220" w:type="dxa"/>
            <w:vAlign w:val="bottom"/>
            <w:gridSpan w:val="4"/>
          </w:tcPr>
          <w:p>
            <w:pPr>
              <w:ind w:left="540"/>
              <w:spacing w:after="0" w:line="228" w:lineRule="exact"/>
              <w:rPr>
                <w:sz w:val="20"/>
                <w:szCs w:val="20"/>
                <w:color w:val="auto"/>
              </w:rPr>
            </w:pPr>
            <w:r>
              <w:rPr>
                <w:rFonts w:ascii="Arial" w:cs="Arial" w:eastAsia="Arial" w:hAnsi="Arial"/>
                <w:sz w:val="26"/>
                <w:szCs w:val="26"/>
                <w:b w:val="1"/>
                <w:bCs w:val="1"/>
                <w:color w:val="435F86"/>
                <w:vertAlign w:val="subscript"/>
              </w:rPr>
              <w:t>​ ​</w:t>
            </w:r>
            <w:r>
              <w:rPr>
                <w:rFonts w:ascii="Arial" w:cs="Arial" w:eastAsia="Arial" w:hAnsi="Arial"/>
                <w:sz w:val="13"/>
                <w:szCs w:val="13"/>
                <w:b w:val="1"/>
                <w:bCs w:val="1"/>
                <w:color w:val="435F86"/>
              </w:rPr>
              <w:t xml:space="preserve">Beneficially Owned </w:t>
            </w:r>
            <w:r>
              <w:rPr>
                <w:rFonts w:ascii="Arial" w:cs="Arial" w:eastAsia="Arial" w:hAnsi="Arial"/>
                <w:sz w:val="16"/>
                <w:szCs w:val="16"/>
                <w:b w:val="1"/>
                <w:bCs w:val="1"/>
                <w:color w:val="435F86"/>
                <w:vertAlign w:val="superscript"/>
              </w:rPr>
              <w:t>(1)</w:t>
            </w:r>
            <w:r>
              <w:rPr>
                <w:rFonts w:ascii="Arial" w:cs="Arial" w:eastAsia="Arial" w:hAnsi="Arial"/>
                <w:sz w:val="13"/>
                <w:szCs w:val="13"/>
                <w:b w:val="1"/>
                <w:bCs w:val="1"/>
                <w:color w:val="435F86"/>
              </w:rPr>
              <w:t xml:space="preserve"> </w:t>
            </w:r>
            <w:r>
              <w:rPr>
                <w:rFonts w:ascii="Arial" w:cs="Arial" w:eastAsia="Arial" w:hAnsi="Arial"/>
                <w:sz w:val="26"/>
                <w:szCs w:val="26"/>
                <w:b w:val="1"/>
                <w:bCs w:val="1"/>
                <w:color w:val="435F86"/>
                <w:vertAlign w:val="subscript"/>
              </w:rPr>
              <w:t>​ ​</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435F86"/>
                <w:w w:val="96"/>
              </w:rPr>
              <w:t>Beneficially Owned</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435F86"/>
              </w:rPr>
              <w:t>​</w:t>
            </w:r>
          </w:p>
        </w:tc>
      </w:tr>
      <w:tr>
        <w:trPr>
          <w:trHeight w:val="253"/>
        </w:trPr>
        <w:tc>
          <w:tcPr>
            <w:tcW w:w="780" w:type="dxa"/>
            <w:vAlign w:val="bottom"/>
          </w:tcPr>
          <w:p>
            <w:pPr>
              <w:spacing w:after="0"/>
              <w:rPr>
                <w:sz w:val="21"/>
                <w:szCs w:val="21"/>
                <w:color w:val="auto"/>
              </w:rPr>
            </w:pPr>
          </w:p>
        </w:tc>
        <w:tc>
          <w:tcPr>
            <w:tcW w:w="5040" w:type="dxa"/>
            <w:vAlign w:val="bottom"/>
            <w:tcBorders>
              <w:top w:val="single" w:sz="8" w:color="435F86"/>
            </w:tcBorders>
            <w:shd w:val="clear" w:color="auto" w:fill="CCEEFF"/>
          </w:tcPr>
          <w:p>
            <w:pPr>
              <w:ind w:left="80"/>
              <w:spacing w:after="0"/>
              <w:rPr>
                <w:sz w:val="20"/>
                <w:szCs w:val="20"/>
                <w:color w:val="auto"/>
              </w:rPr>
            </w:pPr>
            <w:r>
              <w:rPr>
                <w:rFonts w:ascii="Arial" w:cs="Arial" w:eastAsia="Arial" w:hAnsi="Arial"/>
                <w:sz w:val="17"/>
                <w:szCs w:val="17"/>
                <w:b w:val="1"/>
                <w:bCs w:val="1"/>
                <w:color w:val="435F86"/>
              </w:rPr>
              <w:t>5% Shareholders:</w:t>
            </w:r>
          </w:p>
        </w:tc>
        <w:tc>
          <w:tcPr>
            <w:tcW w:w="720" w:type="dxa"/>
            <w:vAlign w:val="bottom"/>
            <w:tcBorders>
              <w:top w:val="single" w:sz="8" w:color="435F86"/>
            </w:tcBorders>
            <w:shd w:val="clear" w:color="auto" w:fill="CCEEFF"/>
          </w:tcPr>
          <w:p>
            <w:pPr>
              <w:ind w:left="540"/>
              <w:spacing w:after="0"/>
              <w:rPr>
                <w:sz w:val="20"/>
                <w:szCs w:val="20"/>
                <w:color w:val="auto"/>
              </w:rPr>
            </w:pPr>
            <w:r>
              <w:rPr>
                <w:rFonts w:ascii="Arial" w:cs="Arial" w:eastAsia="Arial" w:hAnsi="Arial"/>
                <w:sz w:val="17"/>
                <w:szCs w:val="17"/>
                <w:b w:val="1"/>
                <w:bCs w:val="1"/>
                <w:color w:val="435F86"/>
              </w:rPr>
              <w:t>​ ​</w:t>
            </w:r>
          </w:p>
        </w:tc>
        <w:tc>
          <w:tcPr>
            <w:tcW w:w="220" w:type="dxa"/>
            <w:vAlign w:val="bottom"/>
            <w:tcBorders>
              <w:top w:val="single" w:sz="8" w:color="435F86"/>
            </w:tcBorders>
            <w:shd w:val="clear" w:color="auto" w:fill="CCEEFF"/>
          </w:tcPr>
          <w:p>
            <w:pPr>
              <w:ind w:left="120"/>
              <w:spacing w:after="0"/>
              <w:rPr>
                <w:sz w:val="20"/>
                <w:szCs w:val="20"/>
                <w:color w:val="auto"/>
              </w:rPr>
            </w:pPr>
            <w:r>
              <w:rPr>
                <w:rFonts w:ascii="Arial" w:cs="Arial" w:eastAsia="Arial" w:hAnsi="Arial"/>
                <w:sz w:val="17"/>
                <w:szCs w:val="17"/>
                <w:b w:val="1"/>
                <w:bCs w:val="1"/>
                <w:color w:val="435F86"/>
              </w:rPr>
              <w:t>​</w:t>
            </w:r>
          </w:p>
        </w:tc>
        <w:tc>
          <w:tcPr>
            <w:tcW w:w="1020" w:type="dxa"/>
            <w:vAlign w:val="bottom"/>
            <w:tcBorders>
              <w:top w:val="single" w:sz="8" w:color="435F86"/>
            </w:tcBorders>
            <w:shd w:val="clear" w:color="auto" w:fill="CCEEFF"/>
          </w:tcPr>
          <w:p>
            <w:pPr>
              <w:spacing w:after="0"/>
              <w:rPr>
                <w:sz w:val="21"/>
                <w:szCs w:val="21"/>
                <w:color w:val="auto"/>
              </w:rPr>
            </w:pPr>
          </w:p>
        </w:tc>
        <w:tc>
          <w:tcPr>
            <w:tcW w:w="260" w:type="dxa"/>
            <w:vAlign w:val="bottom"/>
            <w:tcBorders>
              <w:top w:val="single" w:sz="8" w:color="435F86"/>
            </w:tcBorders>
            <w:shd w:val="clear" w:color="auto" w:fill="CCEEFF"/>
          </w:tcPr>
          <w:p>
            <w:pPr>
              <w:ind w:left="60"/>
              <w:spacing w:after="0"/>
              <w:rPr>
                <w:sz w:val="20"/>
                <w:szCs w:val="20"/>
                <w:color w:val="auto"/>
              </w:rPr>
            </w:pPr>
            <w:r>
              <w:rPr>
                <w:rFonts w:ascii="Arial" w:cs="Arial" w:eastAsia="Arial" w:hAnsi="Arial"/>
                <w:sz w:val="17"/>
                <w:szCs w:val="17"/>
                <w:b w:val="1"/>
                <w:bCs w:val="1"/>
                <w:color w:val="435F86"/>
              </w:rPr>
              <w:t>​​ ​</w:t>
            </w:r>
          </w:p>
        </w:tc>
        <w:tc>
          <w:tcPr>
            <w:tcW w:w="540" w:type="dxa"/>
            <w:vAlign w:val="bottom"/>
            <w:tcBorders>
              <w:top w:val="single" w:sz="8" w:color="435F86"/>
            </w:tcBorders>
            <w:shd w:val="clear" w:color="auto" w:fill="CCEEFF"/>
          </w:tcPr>
          <w:p>
            <w:pPr>
              <w:ind w:left="420"/>
              <w:spacing w:after="0"/>
              <w:rPr>
                <w:sz w:val="20"/>
                <w:szCs w:val="20"/>
                <w:color w:val="auto"/>
              </w:rPr>
            </w:pPr>
            <w:r>
              <w:rPr>
                <w:rFonts w:ascii="Arial" w:cs="Arial" w:eastAsia="Arial" w:hAnsi="Arial"/>
                <w:sz w:val="17"/>
                <w:szCs w:val="17"/>
                <w:b w:val="1"/>
                <w:bCs w:val="1"/>
                <w:color w:val="435F86"/>
              </w:rPr>
              <w:t>​</w:t>
            </w:r>
          </w:p>
        </w:tc>
        <w:tc>
          <w:tcPr>
            <w:tcW w:w="820" w:type="dxa"/>
            <w:vAlign w:val="bottom"/>
            <w:tcBorders>
              <w:top w:val="single" w:sz="8" w:color="435F86"/>
            </w:tcBorders>
            <w:shd w:val="clear" w:color="auto" w:fill="CCEEFF"/>
          </w:tcPr>
          <w:p>
            <w:pPr>
              <w:spacing w:after="0"/>
              <w:rPr>
                <w:sz w:val="21"/>
                <w:szCs w:val="21"/>
                <w:color w:val="auto"/>
              </w:rPr>
            </w:pPr>
          </w:p>
        </w:tc>
        <w:tc>
          <w:tcPr>
            <w:tcW w:w="100" w:type="dxa"/>
            <w:vAlign w:val="bottom"/>
            <w:tcBorders>
              <w:top w:val="single" w:sz="8" w:color="435F86"/>
            </w:tcBorders>
            <w:shd w:val="clear" w:color="auto" w:fill="CCEEFF"/>
          </w:tcPr>
          <w:p>
            <w:pPr>
              <w:spacing w:after="0"/>
              <w:rPr>
                <w:sz w:val="20"/>
                <w:szCs w:val="20"/>
                <w:color w:val="auto"/>
              </w:rPr>
            </w:pPr>
            <w:r>
              <w:rPr>
                <w:rFonts w:ascii="Arial" w:cs="Arial" w:eastAsia="Arial" w:hAnsi="Arial"/>
                <w:sz w:val="17"/>
                <w:szCs w:val="17"/>
                <w:b w:val="1"/>
                <w:bCs w:val="1"/>
                <w:color w:val="435F86"/>
              </w:rPr>
              <w:t>​​</w:t>
            </w:r>
          </w:p>
        </w:tc>
        <w:tc>
          <w:tcPr>
            <w:tcW w:w="800" w:type="dxa"/>
            <w:vAlign w:val="bottom"/>
          </w:tcPr>
          <w:p>
            <w:pPr>
              <w:spacing w:after="0"/>
              <w:rPr>
                <w:sz w:val="21"/>
                <w:szCs w:val="21"/>
                <w:color w:val="auto"/>
              </w:rPr>
            </w:pPr>
          </w:p>
        </w:tc>
      </w:tr>
      <w:tr>
        <w:trPr>
          <w:trHeight w:val="260"/>
        </w:trPr>
        <w:tc>
          <w:tcPr>
            <w:tcW w:w="780" w:type="dxa"/>
            <w:vAlign w:val="bottom"/>
          </w:tcPr>
          <w:p>
            <w:pPr>
              <w:spacing w:after="0"/>
              <w:rPr>
                <w:sz w:val="22"/>
                <w:szCs w:val="22"/>
                <w:color w:val="auto"/>
              </w:rPr>
            </w:pPr>
          </w:p>
        </w:tc>
        <w:tc>
          <w:tcPr>
            <w:tcW w:w="5040" w:type="dxa"/>
            <w:vAlign w:val="bottom"/>
          </w:tcPr>
          <w:p>
            <w:pPr>
              <w:ind w:left="80"/>
              <w:spacing w:after="0"/>
              <w:rPr>
                <w:sz w:val="20"/>
                <w:szCs w:val="20"/>
                <w:color w:val="auto"/>
              </w:rPr>
            </w:pPr>
            <w:r>
              <w:rPr>
                <w:rFonts w:ascii="Arial" w:cs="Arial" w:eastAsia="Arial" w:hAnsi="Arial"/>
                <w:sz w:val="17"/>
                <w:szCs w:val="17"/>
                <w:color w:val="auto"/>
              </w:rPr>
              <w:t>Investment funds and entities affiliated with Warburg Pincus</w:t>
            </w:r>
            <w:r>
              <w:rPr>
                <w:rFonts w:ascii="Arial" w:cs="Arial" w:eastAsia="Arial" w:hAnsi="Arial"/>
                <w:sz w:val="22"/>
                <w:szCs w:val="22"/>
                <w:color w:val="auto"/>
                <w:vertAlign w:val="superscript"/>
              </w:rPr>
              <w:t>(2)</w:t>
            </w:r>
          </w:p>
        </w:tc>
        <w:tc>
          <w:tcPr>
            <w:tcW w:w="720" w:type="dxa"/>
            <w:vAlign w:val="bottom"/>
          </w:tcPr>
          <w:p>
            <w:pPr>
              <w:ind w:left="540"/>
              <w:spacing w:after="0"/>
              <w:rPr>
                <w:sz w:val="20"/>
                <w:szCs w:val="20"/>
                <w:color w:val="auto"/>
              </w:rPr>
            </w:pPr>
            <w:r>
              <w:rPr>
                <w:rFonts w:ascii="Arial" w:cs="Arial" w:eastAsia="Arial" w:hAnsi="Arial"/>
                <w:sz w:val="17"/>
                <w:szCs w:val="17"/>
                <w:color w:val="auto"/>
              </w:rPr>
              <w:t>​ ​</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73,822,952</w:t>
            </w:r>
          </w:p>
        </w:tc>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1360" w:type="dxa"/>
            <w:vAlign w:val="bottom"/>
            <w:gridSpan w:val="2"/>
          </w:tcPr>
          <w:p>
            <w:pPr>
              <w:ind w:left="420"/>
              <w:spacing w:after="0" w:line="259"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26.01%</w:t>
            </w:r>
          </w:p>
        </w:tc>
        <w:tc>
          <w:tcPr>
            <w:tcW w:w="9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780" w:type="dxa"/>
            <w:vAlign w:val="bottom"/>
          </w:tcPr>
          <w:p>
            <w:pPr>
              <w:spacing w:after="0"/>
              <w:rPr>
                <w:sz w:val="21"/>
                <w:szCs w:val="21"/>
                <w:color w:val="auto"/>
              </w:rPr>
            </w:pPr>
          </w:p>
        </w:tc>
        <w:tc>
          <w:tcPr>
            <w:tcW w:w="504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Investment funds and entities affiliated with GTCR</w:t>
            </w:r>
            <w:r>
              <w:rPr>
                <w:rFonts w:ascii="Arial" w:cs="Arial" w:eastAsia="Arial" w:hAnsi="Arial"/>
                <w:sz w:val="22"/>
                <w:szCs w:val="22"/>
                <w:color w:val="auto"/>
                <w:vertAlign w:val="superscript"/>
              </w:rPr>
              <w:t>(3)</w:t>
            </w:r>
          </w:p>
        </w:tc>
        <w:tc>
          <w:tcPr>
            <w:tcW w:w="720" w:type="dxa"/>
            <w:vAlign w:val="bottom"/>
            <w:tcBorders>
              <w:top w:val="single" w:sz="8" w:color="7B8FAA"/>
              <w:bottom w:val="single" w:sz="8" w:color="7B8FAA"/>
            </w:tcBorders>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220" w:type="dxa"/>
            <w:vAlign w:val="bottom"/>
            <w:tcBorders>
              <w:top w:val="single" w:sz="8" w:color="7B8FAA"/>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7B8FAA"/>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49,215,301</w:t>
            </w:r>
          </w:p>
        </w:tc>
        <w:tc>
          <w:tcPr>
            <w:tcW w:w="260" w:type="dxa"/>
            <w:vAlign w:val="bottom"/>
            <w:tcBorders>
              <w:top w:val="single" w:sz="8" w:color="7B8FAA"/>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360" w:type="dxa"/>
            <w:vAlign w:val="bottom"/>
            <w:tcBorders>
              <w:top w:val="single" w:sz="8" w:color="7B8FAA"/>
              <w:bottom w:val="single" w:sz="8" w:color="7B8FAA"/>
            </w:tcBorders>
            <w:gridSpan w:val="2"/>
            <w:shd w:val="clear" w:color="auto" w:fill="CCEEFF"/>
          </w:tcPr>
          <w:p>
            <w:pPr>
              <w:ind w:left="4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17.34%</w:t>
            </w:r>
          </w:p>
        </w:tc>
        <w:tc>
          <w:tcPr>
            <w:tcW w:w="10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r>
      <w:tr>
        <w:trPr>
          <w:trHeight w:val="253"/>
        </w:trPr>
        <w:tc>
          <w:tcPr>
            <w:tcW w:w="780" w:type="dxa"/>
            <w:vAlign w:val="bottom"/>
          </w:tcPr>
          <w:p>
            <w:pPr>
              <w:spacing w:after="0"/>
              <w:rPr>
                <w:sz w:val="21"/>
                <w:szCs w:val="21"/>
                <w:color w:val="auto"/>
              </w:rPr>
            </w:pPr>
          </w:p>
        </w:tc>
        <w:tc>
          <w:tcPr>
            <w:tcW w:w="5040" w:type="dxa"/>
            <w:vAlign w:val="bottom"/>
          </w:tcPr>
          <w:p>
            <w:pPr>
              <w:ind w:left="80"/>
              <w:spacing w:after="0"/>
              <w:rPr>
                <w:sz w:val="20"/>
                <w:szCs w:val="20"/>
                <w:color w:val="auto"/>
              </w:rPr>
            </w:pPr>
            <w:r>
              <w:rPr>
                <w:rFonts w:ascii="Arial" w:cs="Arial" w:eastAsia="Arial" w:hAnsi="Arial"/>
                <w:sz w:val="17"/>
                <w:szCs w:val="17"/>
                <w:color w:val="auto"/>
              </w:rPr>
              <w:t>Darsana Capital Partners LP</w:t>
            </w:r>
            <w:r>
              <w:rPr>
                <w:rFonts w:ascii="Arial" w:cs="Arial" w:eastAsia="Arial" w:hAnsi="Arial"/>
                <w:sz w:val="22"/>
                <w:szCs w:val="22"/>
                <w:color w:val="auto"/>
                <w:vertAlign w:val="superscript"/>
              </w:rPr>
              <w:t>(4)</w:t>
            </w:r>
          </w:p>
        </w:tc>
        <w:tc>
          <w:tcPr>
            <w:tcW w:w="720" w:type="dxa"/>
            <w:vAlign w:val="bottom"/>
          </w:tcPr>
          <w:p>
            <w:pPr>
              <w:ind w:left="540"/>
              <w:spacing w:after="0"/>
              <w:rPr>
                <w:sz w:val="20"/>
                <w:szCs w:val="20"/>
                <w:color w:val="auto"/>
              </w:rPr>
            </w:pPr>
            <w:r>
              <w:rPr>
                <w:rFonts w:ascii="Arial" w:cs="Arial" w:eastAsia="Arial" w:hAnsi="Arial"/>
                <w:sz w:val="17"/>
                <w:szCs w:val="17"/>
                <w:color w:val="auto"/>
              </w:rPr>
              <w:t>​ ​</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20,010,000</w:t>
            </w:r>
          </w:p>
        </w:tc>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540" w:type="dxa"/>
            <w:vAlign w:val="bottom"/>
          </w:tcPr>
          <w:p>
            <w:pPr>
              <w:ind w:left="4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73"/>
              <w:spacing w:after="0"/>
              <w:rPr>
                <w:sz w:val="20"/>
                <w:szCs w:val="20"/>
                <w:color w:val="auto"/>
              </w:rPr>
            </w:pPr>
            <w:r>
              <w:rPr>
                <w:rFonts w:ascii="Arial" w:cs="Arial" w:eastAsia="Arial" w:hAnsi="Arial"/>
                <w:sz w:val="17"/>
                <w:szCs w:val="17"/>
                <w:color w:val="auto"/>
              </w:rPr>
              <w:t>7.05%</w:t>
            </w:r>
          </w:p>
        </w:tc>
        <w:tc>
          <w:tcPr>
            <w:tcW w:w="9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780" w:type="dxa"/>
            <w:vAlign w:val="bottom"/>
          </w:tcPr>
          <w:p>
            <w:pPr>
              <w:spacing w:after="0"/>
              <w:rPr>
                <w:sz w:val="21"/>
                <w:szCs w:val="21"/>
                <w:color w:val="auto"/>
              </w:rPr>
            </w:pPr>
          </w:p>
        </w:tc>
        <w:tc>
          <w:tcPr>
            <w:tcW w:w="504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The Vanguard Group</w:t>
            </w:r>
            <w:r>
              <w:rPr>
                <w:rFonts w:ascii="Arial" w:cs="Arial" w:eastAsia="Arial" w:hAnsi="Arial"/>
                <w:sz w:val="22"/>
                <w:szCs w:val="22"/>
                <w:color w:val="auto"/>
                <w:vertAlign w:val="superscript"/>
              </w:rPr>
              <w:t>(5)</w:t>
            </w:r>
          </w:p>
        </w:tc>
        <w:tc>
          <w:tcPr>
            <w:tcW w:w="720" w:type="dxa"/>
            <w:vAlign w:val="bottom"/>
            <w:tcBorders>
              <w:top w:val="single" w:sz="8" w:color="7B8FAA"/>
              <w:bottom w:val="single" w:sz="8" w:color="7B8FAA"/>
            </w:tcBorders>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220" w:type="dxa"/>
            <w:vAlign w:val="bottom"/>
            <w:tcBorders>
              <w:top w:val="single" w:sz="8" w:color="7B8FAA"/>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7B8FAA"/>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14,750,205</w:t>
            </w:r>
          </w:p>
        </w:tc>
        <w:tc>
          <w:tcPr>
            <w:tcW w:w="260" w:type="dxa"/>
            <w:vAlign w:val="bottom"/>
            <w:tcBorders>
              <w:top w:val="single" w:sz="8" w:color="7B8FAA"/>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540" w:type="dxa"/>
            <w:vAlign w:val="bottom"/>
            <w:tcBorders>
              <w:top w:val="single" w:sz="8" w:color="7B8FAA"/>
              <w:bottom w:val="single" w:sz="8" w:color="7B8FAA"/>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7B8FAA"/>
              <w:bottom w:val="single" w:sz="8" w:color="7B8FAA"/>
            </w:tcBorders>
            <w:shd w:val="clear" w:color="auto" w:fill="CCEEFF"/>
          </w:tcPr>
          <w:p>
            <w:pPr>
              <w:jc w:val="right"/>
              <w:ind w:right="173"/>
              <w:spacing w:after="0"/>
              <w:rPr>
                <w:sz w:val="20"/>
                <w:szCs w:val="20"/>
                <w:color w:val="auto"/>
              </w:rPr>
            </w:pPr>
            <w:r>
              <w:rPr>
                <w:rFonts w:ascii="Arial" w:cs="Arial" w:eastAsia="Arial" w:hAnsi="Arial"/>
                <w:sz w:val="17"/>
                <w:szCs w:val="17"/>
                <w:color w:val="auto"/>
              </w:rPr>
              <w:t>5.20%</w:t>
            </w:r>
          </w:p>
        </w:tc>
        <w:tc>
          <w:tcPr>
            <w:tcW w:w="10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r>
      <w:tr>
        <w:trPr>
          <w:trHeight w:val="253"/>
        </w:trPr>
        <w:tc>
          <w:tcPr>
            <w:tcW w:w="780" w:type="dxa"/>
            <w:vAlign w:val="bottom"/>
          </w:tcPr>
          <w:p>
            <w:pPr>
              <w:spacing w:after="0"/>
              <w:rPr>
                <w:sz w:val="21"/>
                <w:szCs w:val="21"/>
                <w:color w:val="auto"/>
              </w:rPr>
            </w:pPr>
          </w:p>
        </w:tc>
        <w:tc>
          <w:tcPr>
            <w:tcW w:w="5040" w:type="dxa"/>
            <w:vAlign w:val="bottom"/>
          </w:tcPr>
          <w:p>
            <w:pPr>
              <w:ind w:left="80"/>
              <w:spacing w:after="0"/>
              <w:rPr>
                <w:sz w:val="20"/>
                <w:szCs w:val="20"/>
                <w:color w:val="auto"/>
              </w:rPr>
            </w:pPr>
            <w:r>
              <w:rPr>
                <w:rFonts w:ascii="Arial" w:cs="Arial" w:eastAsia="Arial" w:hAnsi="Arial"/>
                <w:sz w:val="17"/>
                <w:szCs w:val="17"/>
                <w:b w:val="1"/>
                <w:bCs w:val="1"/>
                <w:color w:val="435F86"/>
              </w:rPr>
              <w:t>Named Executive Officers and Directors:</w:t>
            </w:r>
          </w:p>
        </w:tc>
        <w:tc>
          <w:tcPr>
            <w:tcW w:w="720" w:type="dxa"/>
            <w:vAlign w:val="bottom"/>
          </w:tcPr>
          <w:p>
            <w:pPr>
              <w:ind w:left="540"/>
              <w:spacing w:after="0"/>
              <w:rPr>
                <w:sz w:val="20"/>
                <w:szCs w:val="20"/>
                <w:color w:val="auto"/>
              </w:rPr>
            </w:pPr>
            <w:r>
              <w:rPr>
                <w:rFonts w:ascii="Arial" w:cs="Arial" w:eastAsia="Arial" w:hAnsi="Arial"/>
                <w:sz w:val="17"/>
                <w:szCs w:val="17"/>
                <w:b w:val="1"/>
                <w:bCs w:val="1"/>
                <w:color w:val="435F86"/>
              </w:rPr>
              <w:t>​ ​</w:t>
            </w:r>
          </w:p>
        </w:tc>
        <w:tc>
          <w:tcPr>
            <w:tcW w:w="220" w:type="dxa"/>
            <w:vAlign w:val="bottom"/>
          </w:tcPr>
          <w:p>
            <w:pPr>
              <w:ind w:left="120"/>
              <w:spacing w:after="0"/>
              <w:rPr>
                <w:sz w:val="20"/>
                <w:szCs w:val="20"/>
                <w:color w:val="auto"/>
              </w:rPr>
            </w:pPr>
            <w:r>
              <w:rPr>
                <w:rFonts w:ascii="Arial" w:cs="Arial" w:eastAsia="Arial" w:hAnsi="Arial"/>
                <w:sz w:val="17"/>
                <w:szCs w:val="17"/>
                <w:b w:val="1"/>
                <w:bCs w:val="1"/>
                <w:color w:val="435F86"/>
              </w:rPr>
              <w:t>​</w:t>
            </w:r>
          </w:p>
        </w:tc>
        <w:tc>
          <w:tcPr>
            <w:tcW w:w="102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Arial" w:cs="Arial" w:eastAsia="Arial" w:hAnsi="Arial"/>
                <w:sz w:val="17"/>
                <w:szCs w:val="17"/>
                <w:b w:val="1"/>
                <w:bCs w:val="1"/>
                <w:color w:val="435F86"/>
              </w:rPr>
              <w:t>​​ ​</w:t>
            </w:r>
          </w:p>
        </w:tc>
        <w:tc>
          <w:tcPr>
            <w:tcW w:w="540" w:type="dxa"/>
            <w:vAlign w:val="bottom"/>
          </w:tcPr>
          <w:p>
            <w:pPr>
              <w:ind w:left="420"/>
              <w:spacing w:after="0"/>
              <w:rPr>
                <w:sz w:val="20"/>
                <w:szCs w:val="20"/>
                <w:color w:val="auto"/>
              </w:rPr>
            </w:pPr>
            <w:r>
              <w:rPr>
                <w:rFonts w:ascii="Arial" w:cs="Arial" w:eastAsia="Arial" w:hAnsi="Arial"/>
                <w:sz w:val="17"/>
                <w:szCs w:val="17"/>
                <w:b w:val="1"/>
                <w:bCs w:val="1"/>
                <w:color w:val="435F86"/>
              </w:rPr>
              <w:t>​</w:t>
            </w:r>
          </w:p>
        </w:tc>
        <w:tc>
          <w:tcPr>
            <w:tcW w:w="8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7"/>
                <w:szCs w:val="17"/>
                <w:b w:val="1"/>
                <w:bCs w:val="1"/>
                <w:color w:val="435F86"/>
              </w:rPr>
              <w:t>​​</w:t>
            </w:r>
          </w:p>
        </w:tc>
      </w:tr>
      <w:tr>
        <w:trPr>
          <w:trHeight w:val="260"/>
        </w:trPr>
        <w:tc>
          <w:tcPr>
            <w:tcW w:w="780" w:type="dxa"/>
            <w:vAlign w:val="bottom"/>
          </w:tcPr>
          <w:p>
            <w:pPr>
              <w:spacing w:after="0"/>
              <w:rPr>
                <w:sz w:val="22"/>
                <w:szCs w:val="22"/>
                <w:color w:val="auto"/>
              </w:rPr>
            </w:pPr>
          </w:p>
        </w:tc>
        <w:tc>
          <w:tcPr>
            <w:tcW w:w="504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B. Petras, Jr.</w:t>
            </w:r>
            <w:r>
              <w:rPr>
                <w:rFonts w:ascii="Arial" w:cs="Arial" w:eastAsia="Arial" w:hAnsi="Arial"/>
                <w:sz w:val="22"/>
                <w:szCs w:val="22"/>
                <w:color w:val="auto"/>
                <w:vertAlign w:val="superscript"/>
              </w:rPr>
              <w:t>(6)</w:t>
            </w:r>
          </w:p>
        </w:tc>
        <w:tc>
          <w:tcPr>
            <w:tcW w:w="720" w:type="dxa"/>
            <w:vAlign w:val="bottom"/>
            <w:tcBorders>
              <w:bottom w:val="single" w:sz="8" w:color="7B8FAA"/>
            </w:tcBorders>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9,725,592</w:t>
            </w:r>
          </w:p>
        </w:tc>
        <w:tc>
          <w:tcPr>
            <w:tcW w:w="2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540" w:type="dxa"/>
            <w:vAlign w:val="bottom"/>
            <w:tcBorders>
              <w:bottom w:val="single" w:sz="8" w:color="7B8FAA"/>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7B8FAA"/>
            </w:tcBorders>
            <w:shd w:val="clear" w:color="auto" w:fill="CCEEFF"/>
          </w:tcPr>
          <w:p>
            <w:pPr>
              <w:jc w:val="right"/>
              <w:ind w:right="173"/>
              <w:spacing w:after="0"/>
              <w:rPr>
                <w:sz w:val="20"/>
                <w:szCs w:val="20"/>
                <w:color w:val="auto"/>
              </w:rPr>
            </w:pPr>
            <w:r>
              <w:rPr>
                <w:rFonts w:ascii="Arial" w:cs="Arial" w:eastAsia="Arial" w:hAnsi="Arial"/>
                <w:sz w:val="17"/>
                <w:szCs w:val="17"/>
                <w:color w:val="auto"/>
              </w:rPr>
              <w:t>3.43%</w:t>
            </w:r>
          </w:p>
        </w:tc>
        <w:tc>
          <w:tcPr>
            <w:tcW w:w="10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2"/>
                <w:szCs w:val="22"/>
                <w:color w:val="auto"/>
              </w:rPr>
            </w:pPr>
          </w:p>
        </w:tc>
      </w:tr>
      <w:tr>
        <w:trPr>
          <w:trHeight w:val="253"/>
        </w:trPr>
        <w:tc>
          <w:tcPr>
            <w:tcW w:w="780" w:type="dxa"/>
            <w:vAlign w:val="bottom"/>
          </w:tcPr>
          <w:p>
            <w:pPr>
              <w:spacing w:after="0"/>
              <w:rPr>
                <w:sz w:val="21"/>
                <w:szCs w:val="21"/>
                <w:color w:val="auto"/>
              </w:rPr>
            </w:pPr>
          </w:p>
        </w:tc>
        <w:tc>
          <w:tcPr>
            <w:tcW w:w="5040" w:type="dxa"/>
            <w:vAlign w:val="bottom"/>
          </w:tcPr>
          <w:p>
            <w:pPr>
              <w:ind w:left="80"/>
              <w:spacing w:after="0"/>
              <w:rPr>
                <w:sz w:val="20"/>
                <w:szCs w:val="20"/>
                <w:color w:val="auto"/>
              </w:rPr>
            </w:pPr>
            <w:r>
              <w:rPr>
                <w:rFonts w:ascii="Arial" w:cs="Arial" w:eastAsia="Arial" w:hAnsi="Arial"/>
                <w:sz w:val="17"/>
                <w:szCs w:val="17"/>
                <w:color w:val="auto"/>
              </w:rPr>
              <w:t>Jonathan M. Lyons</w:t>
            </w:r>
            <w:r>
              <w:rPr>
                <w:rFonts w:ascii="Arial" w:cs="Arial" w:eastAsia="Arial" w:hAnsi="Arial"/>
                <w:sz w:val="22"/>
                <w:szCs w:val="22"/>
                <w:color w:val="auto"/>
                <w:vertAlign w:val="superscript"/>
              </w:rPr>
              <w:t>(7)</w:t>
            </w:r>
          </w:p>
        </w:tc>
        <w:tc>
          <w:tcPr>
            <w:tcW w:w="720" w:type="dxa"/>
            <w:vAlign w:val="bottom"/>
          </w:tcPr>
          <w:p>
            <w:pPr>
              <w:ind w:left="540"/>
              <w:spacing w:after="0"/>
              <w:rPr>
                <w:sz w:val="20"/>
                <w:szCs w:val="20"/>
                <w:color w:val="auto"/>
              </w:rPr>
            </w:pPr>
            <w:r>
              <w:rPr>
                <w:rFonts w:ascii="Arial" w:cs="Arial" w:eastAsia="Arial" w:hAnsi="Arial"/>
                <w:sz w:val="17"/>
                <w:szCs w:val="17"/>
                <w:color w:val="auto"/>
              </w:rPr>
              <w:t>​ ​</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63,661</w:t>
            </w:r>
          </w:p>
        </w:tc>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540" w:type="dxa"/>
            <w:vAlign w:val="bottom"/>
          </w:tcPr>
          <w:p>
            <w:pPr>
              <w:ind w:left="4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780" w:type="dxa"/>
            <w:vAlign w:val="bottom"/>
          </w:tcPr>
          <w:p>
            <w:pPr>
              <w:spacing w:after="0"/>
              <w:rPr>
                <w:sz w:val="21"/>
                <w:szCs w:val="21"/>
                <w:color w:val="auto"/>
              </w:rPr>
            </w:pPr>
          </w:p>
        </w:tc>
        <w:tc>
          <w:tcPr>
            <w:tcW w:w="504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Michael P. Rutz</w:t>
            </w:r>
            <w:r>
              <w:rPr>
                <w:rFonts w:ascii="Arial" w:cs="Arial" w:eastAsia="Arial" w:hAnsi="Arial"/>
                <w:sz w:val="22"/>
                <w:szCs w:val="22"/>
                <w:color w:val="auto"/>
                <w:vertAlign w:val="superscript"/>
              </w:rPr>
              <w:t>(8)</w:t>
            </w:r>
            <w:r>
              <w:rPr>
                <w:rFonts w:ascii="Arial" w:cs="Arial" w:eastAsia="Arial" w:hAnsi="Arial"/>
                <w:sz w:val="17"/>
                <w:szCs w:val="17"/>
                <w:color w:val="auto"/>
              </w:rPr>
              <w:t>​</w:t>
            </w:r>
          </w:p>
        </w:tc>
        <w:tc>
          <w:tcPr>
            <w:tcW w:w="720" w:type="dxa"/>
            <w:vAlign w:val="bottom"/>
            <w:tcBorders>
              <w:top w:val="single" w:sz="8" w:color="7B8FAA"/>
              <w:bottom w:val="single" w:sz="8" w:color="7B8FAA"/>
            </w:tcBorders>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220" w:type="dxa"/>
            <w:vAlign w:val="bottom"/>
            <w:tcBorders>
              <w:top w:val="single" w:sz="8" w:color="7B8FAA"/>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7B8FAA"/>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730,177</w:t>
            </w:r>
          </w:p>
        </w:tc>
        <w:tc>
          <w:tcPr>
            <w:tcW w:w="260" w:type="dxa"/>
            <w:vAlign w:val="bottom"/>
            <w:tcBorders>
              <w:top w:val="single" w:sz="8" w:color="7B8FAA"/>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540" w:type="dxa"/>
            <w:vAlign w:val="bottom"/>
            <w:tcBorders>
              <w:top w:val="single" w:sz="8" w:color="7B8FAA"/>
              <w:bottom w:val="single" w:sz="8" w:color="7B8FAA"/>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7B8FAA"/>
              <w:bottom w:val="single" w:sz="8" w:color="7B8FAA"/>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r>
      <w:tr>
        <w:trPr>
          <w:trHeight w:val="253"/>
        </w:trPr>
        <w:tc>
          <w:tcPr>
            <w:tcW w:w="780" w:type="dxa"/>
            <w:vAlign w:val="bottom"/>
          </w:tcPr>
          <w:p>
            <w:pPr>
              <w:spacing w:after="0"/>
              <w:rPr>
                <w:sz w:val="21"/>
                <w:szCs w:val="21"/>
                <w:color w:val="auto"/>
              </w:rPr>
            </w:pPr>
          </w:p>
        </w:tc>
        <w:tc>
          <w:tcPr>
            <w:tcW w:w="5040" w:type="dxa"/>
            <w:vAlign w:val="bottom"/>
          </w:tcPr>
          <w:p>
            <w:pPr>
              <w:ind w:left="80"/>
              <w:spacing w:after="0"/>
              <w:rPr>
                <w:sz w:val="20"/>
                <w:szCs w:val="20"/>
                <w:color w:val="auto"/>
              </w:rPr>
            </w:pPr>
            <w:r>
              <w:rPr>
                <w:rFonts w:ascii="Arial" w:cs="Arial" w:eastAsia="Arial" w:hAnsi="Arial"/>
                <w:sz w:val="17"/>
                <w:szCs w:val="17"/>
                <w:color w:val="auto"/>
              </w:rPr>
              <w:t>Alexander Dimitrief</w:t>
            </w:r>
            <w:r>
              <w:rPr>
                <w:rFonts w:ascii="Arial" w:cs="Arial" w:eastAsia="Arial" w:hAnsi="Arial"/>
                <w:sz w:val="22"/>
                <w:szCs w:val="22"/>
                <w:color w:val="auto"/>
                <w:vertAlign w:val="superscript"/>
              </w:rPr>
              <w:t>(9)</w:t>
            </w:r>
            <w:r>
              <w:rPr>
                <w:rFonts w:ascii="Arial" w:cs="Arial" w:eastAsia="Arial" w:hAnsi="Arial"/>
                <w:sz w:val="17"/>
                <w:szCs w:val="17"/>
                <w:color w:val="auto"/>
              </w:rPr>
              <w:t>​</w:t>
            </w:r>
          </w:p>
        </w:tc>
        <w:tc>
          <w:tcPr>
            <w:tcW w:w="720" w:type="dxa"/>
            <w:vAlign w:val="bottom"/>
          </w:tcPr>
          <w:p>
            <w:pPr>
              <w:ind w:left="540"/>
              <w:spacing w:after="0"/>
              <w:rPr>
                <w:sz w:val="20"/>
                <w:szCs w:val="20"/>
                <w:color w:val="auto"/>
              </w:rPr>
            </w:pPr>
            <w:r>
              <w:rPr>
                <w:rFonts w:ascii="Arial" w:cs="Arial" w:eastAsia="Arial" w:hAnsi="Arial"/>
                <w:sz w:val="17"/>
                <w:szCs w:val="17"/>
                <w:color w:val="auto"/>
              </w:rPr>
              <w:t>​ ​</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880,820</w:t>
            </w:r>
          </w:p>
        </w:tc>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540" w:type="dxa"/>
            <w:vAlign w:val="bottom"/>
          </w:tcPr>
          <w:p>
            <w:pPr>
              <w:ind w:left="4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780" w:type="dxa"/>
            <w:vAlign w:val="bottom"/>
          </w:tcPr>
          <w:p>
            <w:pPr>
              <w:spacing w:after="0"/>
              <w:rPr>
                <w:sz w:val="21"/>
                <w:szCs w:val="21"/>
                <w:color w:val="auto"/>
              </w:rPr>
            </w:pPr>
          </w:p>
        </w:tc>
        <w:tc>
          <w:tcPr>
            <w:tcW w:w="5040" w:type="dxa"/>
            <w:vAlign w:val="bottom"/>
            <w:tcBorders>
              <w:top w:val="single" w:sz="8" w:color="7B8FAA"/>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Ruoxi Chen</w:t>
            </w:r>
            <w:r>
              <w:rPr>
                <w:rFonts w:ascii="Arial" w:cs="Arial" w:eastAsia="Arial" w:hAnsi="Arial"/>
                <w:sz w:val="22"/>
                <w:szCs w:val="22"/>
                <w:color w:val="auto"/>
                <w:vertAlign w:val="superscript"/>
              </w:rPr>
              <w:t>(10)</w:t>
            </w:r>
            <w:r>
              <w:rPr>
                <w:rFonts w:ascii="Arial" w:cs="Arial" w:eastAsia="Arial" w:hAnsi="Arial"/>
                <w:sz w:val="17"/>
                <w:szCs w:val="17"/>
                <w:color w:val="auto"/>
              </w:rPr>
              <w:t>​</w:t>
            </w:r>
          </w:p>
        </w:tc>
        <w:tc>
          <w:tcPr>
            <w:tcW w:w="720" w:type="dxa"/>
            <w:vAlign w:val="bottom"/>
            <w:tcBorders>
              <w:top w:val="single" w:sz="8" w:color="7B8FAA"/>
              <w:bottom w:val="single" w:sz="8" w:color="7B8FAA"/>
            </w:tcBorders>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220" w:type="dxa"/>
            <w:vAlign w:val="bottom"/>
            <w:tcBorders>
              <w:top w:val="single" w:sz="8" w:color="7B8FAA"/>
              <w:bottom w:val="single" w:sz="8" w:color="7B8FAA"/>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7B8FAA"/>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73,884,601</w:t>
            </w:r>
          </w:p>
        </w:tc>
        <w:tc>
          <w:tcPr>
            <w:tcW w:w="260" w:type="dxa"/>
            <w:vAlign w:val="bottom"/>
            <w:tcBorders>
              <w:top w:val="single" w:sz="8" w:color="7B8FAA"/>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360" w:type="dxa"/>
            <w:vAlign w:val="bottom"/>
            <w:tcBorders>
              <w:top w:val="single" w:sz="8" w:color="7B8FAA"/>
              <w:bottom w:val="single" w:sz="8" w:color="7B8FAA"/>
            </w:tcBorders>
            <w:gridSpan w:val="2"/>
            <w:shd w:val="clear" w:color="auto" w:fill="CCEEFF"/>
          </w:tcPr>
          <w:p>
            <w:pPr>
              <w:ind w:left="4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26.03%</w:t>
            </w:r>
          </w:p>
        </w:tc>
        <w:tc>
          <w:tcPr>
            <w:tcW w:w="100" w:type="dxa"/>
            <w:vAlign w:val="bottom"/>
            <w:tcBorders>
              <w:top w:val="single" w:sz="8" w:color="7B8FAA"/>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r>
      <w:tr>
        <w:trPr>
          <w:trHeight w:val="253"/>
        </w:trPr>
        <w:tc>
          <w:tcPr>
            <w:tcW w:w="780" w:type="dxa"/>
            <w:vAlign w:val="bottom"/>
          </w:tcPr>
          <w:p>
            <w:pPr>
              <w:spacing w:after="0"/>
              <w:rPr>
                <w:sz w:val="21"/>
                <w:szCs w:val="21"/>
                <w:color w:val="auto"/>
              </w:rPr>
            </w:pPr>
          </w:p>
        </w:tc>
        <w:tc>
          <w:tcPr>
            <w:tcW w:w="5040" w:type="dxa"/>
            <w:vAlign w:val="bottom"/>
          </w:tcPr>
          <w:p>
            <w:pPr>
              <w:ind w:left="80"/>
              <w:spacing w:after="0"/>
              <w:rPr>
                <w:sz w:val="20"/>
                <w:szCs w:val="20"/>
                <w:color w:val="auto"/>
              </w:rPr>
            </w:pPr>
            <w:r>
              <w:rPr>
                <w:rFonts w:ascii="Arial" w:cs="Arial" w:eastAsia="Arial" w:hAnsi="Arial"/>
                <w:sz w:val="17"/>
                <w:szCs w:val="17"/>
                <w:color w:val="auto"/>
              </w:rPr>
              <w:t>Sean L. Cunningham</w:t>
            </w:r>
            <w:r>
              <w:rPr>
                <w:rFonts w:ascii="Arial" w:cs="Arial" w:eastAsia="Arial" w:hAnsi="Arial"/>
                <w:sz w:val="22"/>
                <w:szCs w:val="22"/>
                <w:color w:val="auto"/>
                <w:vertAlign w:val="superscript"/>
              </w:rPr>
              <w:t>(11)</w:t>
            </w:r>
            <w:r>
              <w:rPr>
                <w:rFonts w:ascii="Arial" w:cs="Arial" w:eastAsia="Arial" w:hAnsi="Arial"/>
                <w:sz w:val="17"/>
                <w:szCs w:val="17"/>
                <w:color w:val="auto"/>
              </w:rPr>
              <w:t>​</w:t>
            </w:r>
          </w:p>
        </w:tc>
        <w:tc>
          <w:tcPr>
            <w:tcW w:w="720" w:type="dxa"/>
            <w:vAlign w:val="bottom"/>
          </w:tcPr>
          <w:p>
            <w:pPr>
              <w:ind w:left="540"/>
              <w:spacing w:after="0"/>
              <w:rPr>
                <w:sz w:val="20"/>
                <w:szCs w:val="20"/>
                <w:color w:val="auto"/>
              </w:rPr>
            </w:pPr>
            <w:r>
              <w:rPr>
                <w:rFonts w:ascii="Arial" w:cs="Arial" w:eastAsia="Arial" w:hAnsi="Arial"/>
                <w:sz w:val="17"/>
                <w:szCs w:val="17"/>
                <w:color w:val="auto"/>
              </w:rPr>
              <w:t>​ ​</w:t>
            </w:r>
          </w:p>
        </w:tc>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
              <w:spacing w:after="0"/>
              <w:rPr>
                <w:sz w:val="20"/>
                <w:szCs w:val="20"/>
                <w:color w:val="auto"/>
              </w:rPr>
            </w:pPr>
            <w:r>
              <w:rPr>
                <w:rFonts w:ascii="Arial" w:cs="Arial" w:eastAsia="Arial" w:hAnsi="Arial"/>
                <w:sz w:val="17"/>
                <w:szCs w:val="17"/>
                <w:color w:val="auto"/>
              </w:rPr>
              <w:t>49,276,950</w:t>
            </w:r>
          </w:p>
        </w:tc>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1360" w:type="dxa"/>
            <w:vAlign w:val="bottom"/>
            <w:gridSpan w:val="2"/>
          </w:tcPr>
          <w:p>
            <w:pPr>
              <w:ind w:left="4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17.36%</w:t>
            </w:r>
          </w:p>
        </w:tc>
        <w:tc>
          <w:tcPr>
            <w:tcW w:w="900" w:type="dxa"/>
            <w:vAlign w:val="bottom"/>
            <w:gridSpan w:val="2"/>
          </w:tcPr>
          <w:p>
            <w:pPr>
              <w:spacing w:after="0"/>
              <w:rPr>
                <w:sz w:val="20"/>
                <w:szCs w:val="20"/>
                <w:color w:val="auto"/>
              </w:rPr>
            </w:pPr>
            <w:r>
              <w:rPr>
                <w:rFonts w:ascii="Arial" w:cs="Arial" w:eastAsia="Arial" w:hAnsi="Arial"/>
                <w:sz w:val="17"/>
                <w:szCs w:val="17"/>
                <w:color w:val="auto"/>
              </w:rPr>
              <w:t>​​</w:t>
            </w:r>
          </w:p>
        </w:tc>
      </w:tr>
      <w:tr>
        <w:trPr>
          <w:trHeight w:val="253"/>
        </w:trPr>
        <w:tc>
          <w:tcPr>
            <w:tcW w:w="780" w:type="dxa"/>
            <w:vAlign w:val="bottom"/>
          </w:tcPr>
          <w:p>
            <w:pPr>
              <w:spacing w:after="0"/>
              <w:rPr>
                <w:sz w:val="21"/>
                <w:szCs w:val="21"/>
                <w:color w:val="auto"/>
              </w:rPr>
            </w:pPr>
          </w:p>
        </w:tc>
        <w:tc>
          <w:tcPr>
            <w:tcW w:w="5040" w:type="dxa"/>
            <w:vAlign w:val="bottom"/>
            <w:tcBorders>
              <w:top w:val="single" w:sz="8" w:color="7B8FAA"/>
              <w:bottom w:val="single" w:sz="8" w:color="435F86"/>
            </w:tcBorders>
            <w:shd w:val="clear" w:color="auto" w:fill="CCEEFF"/>
          </w:tcPr>
          <w:p>
            <w:pPr>
              <w:ind w:left="80"/>
              <w:spacing w:after="0"/>
              <w:rPr>
                <w:sz w:val="20"/>
                <w:szCs w:val="20"/>
                <w:color w:val="auto"/>
              </w:rPr>
            </w:pPr>
            <w:r>
              <w:rPr>
                <w:rFonts w:ascii="Arial" w:cs="Arial" w:eastAsia="Arial" w:hAnsi="Arial"/>
                <w:sz w:val="17"/>
                <w:szCs w:val="17"/>
                <w:color w:val="auto"/>
              </w:rPr>
              <w:t>Robert B. Knauss</w:t>
            </w:r>
            <w:r>
              <w:rPr>
                <w:rFonts w:ascii="Arial" w:cs="Arial" w:eastAsia="Arial" w:hAnsi="Arial"/>
                <w:sz w:val="22"/>
                <w:szCs w:val="22"/>
                <w:color w:val="auto"/>
                <w:vertAlign w:val="superscript"/>
              </w:rPr>
              <w:t>(10)</w:t>
            </w:r>
            <w:r>
              <w:rPr>
                <w:rFonts w:ascii="Arial" w:cs="Arial" w:eastAsia="Arial" w:hAnsi="Arial"/>
                <w:sz w:val="17"/>
                <w:szCs w:val="17"/>
                <w:color w:val="auto"/>
              </w:rPr>
              <w:t>​</w:t>
            </w:r>
          </w:p>
        </w:tc>
        <w:tc>
          <w:tcPr>
            <w:tcW w:w="720" w:type="dxa"/>
            <w:vAlign w:val="bottom"/>
            <w:tcBorders>
              <w:top w:val="single" w:sz="8" w:color="7B8FAA"/>
              <w:bottom w:val="single" w:sz="8" w:color="435F86"/>
            </w:tcBorders>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220" w:type="dxa"/>
            <w:vAlign w:val="bottom"/>
            <w:tcBorders>
              <w:top w:val="single" w:sz="8" w:color="7B8FAA"/>
              <w:bottom w:val="single" w:sz="8" w:color="435F86"/>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7B8FAA"/>
              <w:bottom w:val="single" w:sz="8" w:color="435F86"/>
            </w:tcBorders>
            <w:shd w:val="clear" w:color="auto" w:fill="CCEEFF"/>
          </w:tcPr>
          <w:p>
            <w:pPr>
              <w:jc w:val="right"/>
              <w:ind w:right="13"/>
              <w:spacing w:after="0"/>
              <w:rPr>
                <w:sz w:val="20"/>
                <w:szCs w:val="20"/>
                <w:color w:val="auto"/>
              </w:rPr>
            </w:pPr>
            <w:r>
              <w:rPr>
                <w:rFonts w:ascii="Arial" w:cs="Arial" w:eastAsia="Arial" w:hAnsi="Arial"/>
                <w:sz w:val="17"/>
                <w:szCs w:val="17"/>
                <w:color w:val="auto"/>
              </w:rPr>
              <w:t>73,858,753</w:t>
            </w:r>
          </w:p>
        </w:tc>
        <w:tc>
          <w:tcPr>
            <w:tcW w:w="260" w:type="dxa"/>
            <w:vAlign w:val="bottom"/>
            <w:tcBorders>
              <w:top w:val="single" w:sz="8" w:color="7B8FAA"/>
              <w:bottom w:val="single" w:sz="8" w:color="435F86"/>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360" w:type="dxa"/>
            <w:vAlign w:val="bottom"/>
            <w:tcBorders>
              <w:top w:val="single" w:sz="8" w:color="7B8FAA"/>
              <w:bottom w:val="single" w:sz="8" w:color="435F86"/>
            </w:tcBorders>
            <w:gridSpan w:val="2"/>
            <w:shd w:val="clear" w:color="auto" w:fill="CCEEFF"/>
          </w:tcPr>
          <w:p>
            <w:pPr>
              <w:ind w:left="4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26.02%</w:t>
            </w:r>
          </w:p>
        </w:tc>
        <w:tc>
          <w:tcPr>
            <w:tcW w:w="100" w:type="dxa"/>
            <w:vAlign w:val="bottom"/>
            <w:tcBorders>
              <w:top w:val="single" w:sz="8" w:color="7B8FAA"/>
              <w:bottom w:val="single" w:sz="8" w:color="435F86"/>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21"/>
                <w:szCs w:val="21"/>
                <w:color w:val="auto"/>
              </w:rPr>
            </w:pPr>
          </w:p>
        </w:tc>
      </w:tr>
      <w:tr>
        <w:trPr>
          <w:trHeight w:val="297"/>
        </w:trPr>
        <w:tc>
          <w:tcPr>
            <w:tcW w:w="780" w:type="dxa"/>
            <w:vAlign w:val="bottom"/>
          </w:tcPr>
          <w:p>
            <w:pPr>
              <w:spacing w:after="0"/>
              <w:rPr>
                <w:sz w:val="24"/>
                <w:szCs w:val="24"/>
                <w:color w:val="auto"/>
              </w:rPr>
            </w:pPr>
          </w:p>
        </w:tc>
        <w:tc>
          <w:tcPr>
            <w:tcW w:w="5040" w:type="dxa"/>
            <w:vAlign w:val="bottom"/>
            <w:tcBorders>
              <w:bottom w:val="single" w:sz="8" w:color="28B5DE"/>
            </w:tcBorders>
          </w:tcPr>
          <w:p>
            <w:pPr>
              <w:spacing w:after="0"/>
              <w:rPr>
                <w:sz w:val="24"/>
                <w:szCs w:val="24"/>
                <w:color w:val="auto"/>
              </w:rPr>
            </w:pPr>
          </w:p>
        </w:tc>
        <w:tc>
          <w:tcPr>
            <w:tcW w:w="720" w:type="dxa"/>
            <w:vAlign w:val="bottom"/>
            <w:tcBorders>
              <w:bottom w:val="single" w:sz="8" w:color="28B5DE"/>
            </w:tcBorders>
          </w:tcPr>
          <w:p>
            <w:pPr>
              <w:spacing w:after="0"/>
              <w:rPr>
                <w:sz w:val="24"/>
                <w:szCs w:val="24"/>
                <w:color w:val="auto"/>
              </w:rPr>
            </w:pPr>
          </w:p>
        </w:tc>
        <w:tc>
          <w:tcPr>
            <w:tcW w:w="220" w:type="dxa"/>
            <w:vAlign w:val="bottom"/>
            <w:tcBorders>
              <w:bottom w:val="single" w:sz="8" w:color="28B5DE"/>
            </w:tcBorders>
          </w:tcPr>
          <w:p>
            <w:pPr>
              <w:spacing w:after="0"/>
              <w:rPr>
                <w:sz w:val="24"/>
                <w:szCs w:val="24"/>
                <w:color w:val="auto"/>
              </w:rPr>
            </w:pPr>
          </w:p>
        </w:tc>
        <w:tc>
          <w:tcPr>
            <w:tcW w:w="1020" w:type="dxa"/>
            <w:vAlign w:val="bottom"/>
            <w:tcBorders>
              <w:bottom w:val="single" w:sz="8" w:color="28B5DE"/>
            </w:tcBorders>
          </w:tcPr>
          <w:p>
            <w:pPr>
              <w:spacing w:after="0"/>
              <w:rPr>
                <w:sz w:val="24"/>
                <w:szCs w:val="24"/>
                <w:color w:val="auto"/>
              </w:rPr>
            </w:pPr>
          </w:p>
        </w:tc>
        <w:tc>
          <w:tcPr>
            <w:tcW w:w="260" w:type="dxa"/>
            <w:vAlign w:val="bottom"/>
            <w:tcBorders>
              <w:bottom w:val="single" w:sz="8" w:color="28B5DE"/>
            </w:tcBorders>
          </w:tcPr>
          <w:p>
            <w:pPr>
              <w:spacing w:after="0"/>
              <w:rPr>
                <w:sz w:val="24"/>
                <w:szCs w:val="24"/>
                <w:color w:val="auto"/>
              </w:rPr>
            </w:pPr>
          </w:p>
        </w:tc>
        <w:tc>
          <w:tcPr>
            <w:tcW w:w="540" w:type="dxa"/>
            <w:vAlign w:val="bottom"/>
            <w:tcBorders>
              <w:bottom w:val="single" w:sz="8" w:color="28B5DE"/>
            </w:tcBorders>
          </w:tcPr>
          <w:p>
            <w:pPr>
              <w:spacing w:after="0"/>
              <w:rPr>
                <w:sz w:val="24"/>
                <w:szCs w:val="24"/>
                <w:color w:val="auto"/>
              </w:rPr>
            </w:pPr>
          </w:p>
        </w:tc>
        <w:tc>
          <w:tcPr>
            <w:tcW w:w="820" w:type="dxa"/>
            <w:vAlign w:val="bottom"/>
            <w:tcBorders>
              <w:bottom w:val="single" w:sz="8" w:color="28B5DE"/>
            </w:tcBorders>
          </w:tcPr>
          <w:p>
            <w:pPr>
              <w:spacing w:after="0"/>
              <w:rPr>
                <w:sz w:val="24"/>
                <w:szCs w:val="24"/>
                <w:color w:val="auto"/>
              </w:rPr>
            </w:pPr>
          </w:p>
        </w:tc>
        <w:tc>
          <w:tcPr>
            <w:tcW w:w="100" w:type="dxa"/>
            <w:vAlign w:val="bottom"/>
            <w:tcBorders>
              <w:bottom w:val="single" w:sz="8" w:color="28B5DE"/>
            </w:tcBorders>
          </w:tcPr>
          <w:p>
            <w:pPr>
              <w:spacing w:after="0"/>
              <w:rPr>
                <w:sz w:val="24"/>
                <w:szCs w:val="24"/>
                <w:color w:val="auto"/>
              </w:rPr>
            </w:pPr>
          </w:p>
        </w:tc>
        <w:tc>
          <w:tcPr>
            <w:tcW w:w="800" w:type="dxa"/>
            <w:vAlign w:val="bottom"/>
          </w:tcPr>
          <w:p>
            <w:pPr>
              <w:spacing w:after="0"/>
              <w:rPr>
                <w:sz w:val="24"/>
                <w:szCs w:val="24"/>
                <w:color w:val="auto"/>
              </w:rPr>
            </w:pPr>
          </w:p>
        </w:tc>
      </w:tr>
      <w:tr>
        <w:trPr>
          <w:trHeight w:val="562"/>
        </w:trPr>
        <w:tc>
          <w:tcPr>
            <w:tcW w:w="78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Arial" w:cs="Arial" w:eastAsia="Arial" w:hAnsi="Arial"/>
                <w:sz w:val="17"/>
                <w:szCs w:val="17"/>
                <w:color w:val="auto"/>
              </w:rPr>
              <w:t>83</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47"/>
        </w:trPr>
        <w:tc>
          <w:tcPr>
            <w:tcW w:w="7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5532755</wp:posOffset>
            </wp:positionH>
            <wp:positionV relativeFrom="paragraph">
              <wp:posOffset>-609600</wp:posOffset>
            </wp:positionV>
            <wp:extent cx="494665" cy="165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94665" cy="16510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00" w:lineRule="exact"/>
        <w:rPr>
          <w:sz w:val="20"/>
          <w:szCs w:val="20"/>
          <w:color w:val="auto"/>
        </w:rPr>
      </w:pPr>
    </w:p>
    <w:p>
      <w:pPr>
        <w:spacing w:after="0" w:line="32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435F86"/>
                <w:w w:val="96"/>
              </w:rPr>
              <w:t>Number of Shares</w:t>
            </w:r>
          </w:p>
        </w:tc>
        <w:tc>
          <w:tcPr>
            <w:tcW w:w="2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435F86"/>
                <w:w w:val="94"/>
              </w:rPr>
              <w:t>Percentage of Shares</w:t>
            </w:r>
          </w:p>
        </w:tc>
        <w:tc>
          <w:tcPr>
            <w:tcW w:w="80" w:type="dxa"/>
            <w:vAlign w:val="bottom"/>
          </w:tcPr>
          <w:p>
            <w:pPr>
              <w:spacing w:after="0"/>
              <w:rPr>
                <w:sz w:val="14"/>
                <w:szCs w:val="14"/>
                <w:color w:val="auto"/>
              </w:rPr>
            </w:pPr>
          </w:p>
        </w:tc>
      </w:tr>
      <w:tr>
        <w:trPr>
          <w:trHeight w:val="217"/>
        </w:trPr>
        <w:tc>
          <w:tcPr>
            <w:tcW w:w="5200" w:type="dxa"/>
            <w:vAlign w:val="bottom"/>
            <w:tcBorders>
              <w:bottom w:val="single" w:sz="8" w:color="435F86"/>
            </w:tcBorders>
          </w:tcPr>
          <w:p>
            <w:pPr>
              <w:ind w:left="80"/>
              <w:spacing w:after="0"/>
              <w:rPr>
                <w:sz w:val="20"/>
                <w:szCs w:val="20"/>
                <w:color w:val="auto"/>
              </w:rPr>
            </w:pPr>
            <w:r>
              <w:rPr>
                <w:rFonts w:ascii="Arial" w:cs="Arial" w:eastAsia="Arial" w:hAnsi="Arial"/>
                <w:sz w:val="14"/>
                <w:szCs w:val="14"/>
                <w:b w:val="1"/>
                <w:bCs w:val="1"/>
                <w:color w:val="435F86"/>
              </w:rPr>
              <w:t>Name of Beneficial Owner</w:t>
            </w:r>
          </w:p>
        </w:tc>
        <w:tc>
          <w:tcPr>
            <w:tcW w:w="2080" w:type="dxa"/>
            <w:vAlign w:val="bottom"/>
            <w:tcBorders>
              <w:bottom w:val="single" w:sz="8" w:color="435F86"/>
            </w:tcBorders>
            <w:gridSpan w:val="4"/>
          </w:tcPr>
          <w:p>
            <w:pPr>
              <w:ind w:left="400"/>
              <w:spacing w:after="0" w:line="217" w:lineRule="exact"/>
              <w:rPr>
                <w:sz w:val="20"/>
                <w:szCs w:val="20"/>
                <w:color w:val="auto"/>
              </w:rPr>
            </w:pPr>
            <w:r>
              <w:rPr>
                <w:rFonts w:ascii="Arial" w:cs="Arial" w:eastAsia="Arial" w:hAnsi="Arial"/>
                <w:sz w:val="25"/>
                <w:szCs w:val="25"/>
                <w:b w:val="1"/>
                <w:bCs w:val="1"/>
                <w:color w:val="435F86"/>
                <w:vertAlign w:val="subscript"/>
              </w:rPr>
              <w:t>​ ​</w:t>
            </w:r>
            <w:r>
              <w:rPr>
                <w:rFonts w:ascii="Arial" w:cs="Arial" w:eastAsia="Arial" w:hAnsi="Arial"/>
                <w:sz w:val="13"/>
                <w:szCs w:val="13"/>
                <w:b w:val="1"/>
                <w:bCs w:val="1"/>
                <w:color w:val="435F86"/>
              </w:rPr>
              <w:t xml:space="preserve">Beneficially Owned </w:t>
            </w:r>
            <w:r>
              <w:rPr>
                <w:rFonts w:ascii="Arial" w:cs="Arial" w:eastAsia="Arial" w:hAnsi="Arial"/>
                <w:sz w:val="16"/>
                <w:szCs w:val="16"/>
                <w:b w:val="1"/>
                <w:bCs w:val="1"/>
                <w:color w:val="435F86"/>
                <w:vertAlign w:val="superscript"/>
              </w:rPr>
              <w:t>(1)</w:t>
            </w:r>
            <w:r>
              <w:rPr>
                <w:rFonts w:ascii="Arial" w:cs="Arial" w:eastAsia="Arial" w:hAnsi="Arial"/>
                <w:sz w:val="13"/>
                <w:szCs w:val="13"/>
                <w:b w:val="1"/>
                <w:bCs w:val="1"/>
                <w:color w:val="435F86"/>
              </w:rPr>
              <w:t xml:space="preserve"> </w:t>
            </w:r>
            <w:r>
              <w:rPr>
                <w:rFonts w:ascii="Arial" w:cs="Arial" w:eastAsia="Arial" w:hAnsi="Arial"/>
                <w:sz w:val="25"/>
                <w:szCs w:val="25"/>
                <w:b w:val="1"/>
                <w:bCs w:val="1"/>
                <w:color w:val="435F86"/>
                <w:vertAlign w:val="subscript"/>
              </w:rPr>
              <w:t>​ ​</w:t>
            </w:r>
          </w:p>
        </w:tc>
        <w:tc>
          <w:tcPr>
            <w:tcW w:w="1360" w:type="dxa"/>
            <w:vAlign w:val="bottom"/>
            <w:tcBorders>
              <w:bottom w:val="single" w:sz="8" w:color="435F86"/>
            </w:tcBorders>
            <w:gridSpan w:val="2"/>
          </w:tcPr>
          <w:p>
            <w:pPr>
              <w:jc w:val="center"/>
              <w:spacing w:after="0"/>
              <w:rPr>
                <w:sz w:val="20"/>
                <w:szCs w:val="20"/>
                <w:color w:val="auto"/>
              </w:rPr>
            </w:pPr>
            <w:r>
              <w:rPr>
                <w:rFonts w:ascii="Arial" w:cs="Arial" w:eastAsia="Arial" w:hAnsi="Arial"/>
                <w:sz w:val="14"/>
                <w:szCs w:val="14"/>
                <w:b w:val="1"/>
                <w:bCs w:val="1"/>
                <w:color w:val="435F86"/>
                <w:w w:val="94"/>
              </w:rPr>
              <w:t>Beneficially Owned</w:t>
            </w:r>
          </w:p>
        </w:tc>
        <w:tc>
          <w:tcPr>
            <w:tcW w:w="80" w:type="dxa"/>
            <w:vAlign w:val="bottom"/>
            <w:tcBorders>
              <w:bottom w:val="single" w:sz="8" w:color="435F86"/>
            </w:tcBorders>
          </w:tcPr>
          <w:p>
            <w:pPr>
              <w:spacing w:after="0"/>
              <w:rPr>
                <w:sz w:val="18"/>
                <w:szCs w:val="18"/>
                <w:color w:val="auto"/>
              </w:rPr>
            </w:pPr>
          </w:p>
        </w:tc>
      </w:tr>
      <w:tr>
        <w:trPr>
          <w:trHeight w:val="266"/>
        </w:trPr>
        <w:tc>
          <w:tcPr>
            <w:tcW w:w="520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Ann R. Klee</w:t>
            </w:r>
            <w:r>
              <w:rPr>
                <w:rFonts w:ascii="Arial" w:cs="Arial" w:eastAsia="Arial" w:hAnsi="Arial"/>
                <w:sz w:val="22"/>
                <w:szCs w:val="22"/>
                <w:color w:val="auto"/>
                <w:vertAlign w:val="superscript"/>
              </w:rPr>
              <w:t>(12)</w:t>
            </w: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106,824</w:t>
            </w:r>
          </w:p>
        </w:tc>
        <w:tc>
          <w:tcPr>
            <w:tcW w:w="2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0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rPr>
              <w:t>Constantine S. Mihas</w:t>
            </w:r>
            <w:r>
              <w:rPr>
                <w:rFonts w:ascii="Arial" w:cs="Arial" w:eastAsia="Arial" w:hAnsi="Arial"/>
                <w:sz w:val="22"/>
                <w:szCs w:val="22"/>
                <w:color w:val="auto"/>
                <w:vertAlign w:val="superscript"/>
              </w:rPr>
              <w:t>(11)</w:t>
            </w:r>
            <w:r>
              <w:rPr>
                <w:rFonts w:ascii="Arial" w:cs="Arial" w:eastAsia="Arial" w:hAnsi="Arial"/>
                <w:sz w:val="17"/>
                <w:szCs w:val="17"/>
                <w:color w:val="auto"/>
              </w:rPr>
              <w:t>​</w:t>
            </w:r>
          </w:p>
        </w:tc>
        <w:tc>
          <w:tcPr>
            <w:tcW w:w="580" w:type="dxa"/>
            <w:vAlign w:val="bottom"/>
            <w:tcBorders>
              <w:bottom w:val="single" w:sz="8" w:color="7B8FAA"/>
            </w:tcBorders>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tcPr>
          <w:p>
            <w:pPr>
              <w:jc w:val="right"/>
              <w:ind w:right="13"/>
              <w:spacing w:after="0"/>
              <w:rPr>
                <w:sz w:val="20"/>
                <w:szCs w:val="20"/>
                <w:color w:val="auto"/>
              </w:rPr>
            </w:pPr>
            <w:r>
              <w:rPr>
                <w:rFonts w:ascii="Arial" w:cs="Arial" w:eastAsia="Arial" w:hAnsi="Arial"/>
                <w:sz w:val="17"/>
                <w:szCs w:val="17"/>
                <w:color w:val="auto"/>
              </w:rPr>
              <w:t>49,276,950</w:t>
            </w:r>
          </w:p>
        </w:tc>
        <w:tc>
          <w:tcPr>
            <w:tcW w:w="2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 ​</w:t>
            </w:r>
          </w:p>
        </w:tc>
        <w:tc>
          <w:tcPr>
            <w:tcW w:w="1360" w:type="dxa"/>
            <w:vAlign w:val="bottom"/>
            <w:tcBorders>
              <w:bottom w:val="single" w:sz="8" w:color="7B8FAA"/>
            </w:tcBorders>
            <w:gridSpan w:val="2"/>
          </w:tcPr>
          <w:p>
            <w:pPr>
              <w:ind w:left="4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17.36%</w:t>
            </w:r>
          </w:p>
        </w:tc>
        <w:tc>
          <w:tcPr>
            <w:tcW w:w="8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James C. Neary</w:t>
            </w:r>
            <w:r>
              <w:rPr>
                <w:rFonts w:ascii="Arial" w:cs="Arial" w:eastAsia="Arial" w:hAnsi="Arial"/>
                <w:sz w:val="22"/>
                <w:szCs w:val="22"/>
                <w:color w:val="auto"/>
                <w:vertAlign w:val="superscript"/>
              </w:rPr>
              <w:t>(10)</w:t>
            </w:r>
            <w:r>
              <w:rPr>
                <w:rFonts w:ascii="Arial" w:cs="Arial" w:eastAsia="Arial" w:hAnsi="Arial"/>
                <w:sz w:val="17"/>
                <w:szCs w:val="17"/>
                <w:color w:val="auto"/>
              </w:rPr>
              <w:t>​</w:t>
            </w:r>
          </w:p>
        </w:tc>
        <w:tc>
          <w:tcPr>
            <w:tcW w:w="58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73,884,601</w:t>
            </w:r>
          </w:p>
        </w:tc>
        <w:tc>
          <w:tcPr>
            <w:tcW w:w="2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360" w:type="dxa"/>
            <w:vAlign w:val="bottom"/>
            <w:tcBorders>
              <w:bottom w:val="single" w:sz="8" w:color="7B8FAA"/>
            </w:tcBorders>
            <w:gridSpan w:val="2"/>
            <w:shd w:val="clear" w:color="auto" w:fill="CCEEFF"/>
          </w:tcPr>
          <w:p>
            <w:pPr>
              <w:ind w:left="4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26.03%</w:t>
            </w: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rPr>
              <w:t>Vincent K. Petrella</w:t>
            </w:r>
            <w:r>
              <w:rPr>
                <w:rFonts w:ascii="Arial" w:cs="Arial" w:eastAsia="Arial" w:hAnsi="Arial"/>
                <w:sz w:val="22"/>
                <w:szCs w:val="22"/>
                <w:color w:val="auto"/>
                <w:vertAlign w:val="superscript"/>
              </w:rPr>
              <w:t>(13)</w:t>
            </w:r>
            <w:r>
              <w:rPr>
                <w:rFonts w:ascii="Arial" w:cs="Arial" w:eastAsia="Arial" w:hAnsi="Arial"/>
                <w:sz w:val="17"/>
                <w:szCs w:val="17"/>
                <w:color w:val="auto"/>
              </w:rPr>
              <w:t>​</w:t>
            </w:r>
          </w:p>
        </w:tc>
        <w:tc>
          <w:tcPr>
            <w:tcW w:w="580" w:type="dxa"/>
            <w:vAlign w:val="bottom"/>
            <w:tcBorders>
              <w:bottom w:val="single" w:sz="8" w:color="7B8FAA"/>
            </w:tcBorders>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tcPr>
          <w:p>
            <w:pPr>
              <w:jc w:val="right"/>
              <w:ind w:right="13"/>
              <w:spacing w:after="0"/>
              <w:rPr>
                <w:sz w:val="20"/>
                <w:szCs w:val="20"/>
                <w:color w:val="auto"/>
              </w:rPr>
            </w:pPr>
            <w:r>
              <w:rPr>
                <w:rFonts w:ascii="Arial" w:cs="Arial" w:eastAsia="Arial" w:hAnsi="Arial"/>
                <w:sz w:val="17"/>
                <w:szCs w:val="17"/>
                <w:color w:val="auto"/>
              </w:rPr>
              <w:t>61,649</w:t>
            </w:r>
          </w:p>
        </w:tc>
        <w:tc>
          <w:tcPr>
            <w:tcW w:w="2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 ​</w:t>
            </w:r>
          </w:p>
        </w:tc>
        <w:tc>
          <w:tcPr>
            <w:tcW w:w="600" w:type="dxa"/>
            <w:vAlign w:val="bottom"/>
            <w:tcBorders>
              <w:bottom w:val="single" w:sz="8" w:color="7B8FAA"/>
            </w:tcBorders>
          </w:tcPr>
          <w:p>
            <w:pPr>
              <w:ind w:left="4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ind w:right="33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Christopher Simon</w:t>
            </w:r>
          </w:p>
        </w:tc>
        <w:tc>
          <w:tcPr>
            <w:tcW w:w="58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0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7B8FAA"/>
            </w:tcBorders>
          </w:tcPr>
          <w:p>
            <w:pPr>
              <w:ind w:left="80"/>
              <w:spacing w:after="0"/>
              <w:rPr>
                <w:sz w:val="20"/>
                <w:szCs w:val="20"/>
                <w:color w:val="auto"/>
              </w:rPr>
            </w:pPr>
            <w:r>
              <w:rPr>
                <w:rFonts w:ascii="Arial" w:cs="Arial" w:eastAsia="Arial" w:hAnsi="Arial"/>
                <w:sz w:val="17"/>
                <w:szCs w:val="17"/>
                <w:color w:val="auto"/>
              </w:rPr>
              <w:t>David E. Wheadon</w:t>
            </w:r>
            <w:r>
              <w:rPr>
                <w:rFonts w:ascii="Arial" w:cs="Arial" w:eastAsia="Arial" w:hAnsi="Arial"/>
                <w:sz w:val="22"/>
                <w:szCs w:val="22"/>
                <w:color w:val="auto"/>
                <w:vertAlign w:val="superscript"/>
              </w:rPr>
              <w:t>(14)</w:t>
            </w:r>
            <w:r>
              <w:rPr>
                <w:rFonts w:ascii="Arial" w:cs="Arial" w:eastAsia="Arial" w:hAnsi="Arial"/>
                <w:sz w:val="17"/>
                <w:szCs w:val="17"/>
                <w:color w:val="auto"/>
              </w:rPr>
              <w:t>​</w:t>
            </w:r>
          </w:p>
        </w:tc>
        <w:tc>
          <w:tcPr>
            <w:tcW w:w="580" w:type="dxa"/>
            <w:vAlign w:val="bottom"/>
            <w:tcBorders>
              <w:bottom w:val="single" w:sz="8" w:color="7B8FAA"/>
            </w:tcBorders>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tcPr>
          <w:p>
            <w:pPr>
              <w:jc w:val="right"/>
              <w:ind w:right="13"/>
              <w:spacing w:after="0"/>
              <w:rPr>
                <w:sz w:val="20"/>
                <w:szCs w:val="20"/>
                <w:color w:val="auto"/>
              </w:rPr>
            </w:pPr>
            <w:r>
              <w:rPr>
                <w:rFonts w:ascii="Arial" w:cs="Arial" w:eastAsia="Arial" w:hAnsi="Arial"/>
                <w:sz w:val="17"/>
                <w:szCs w:val="17"/>
                <w:color w:val="auto"/>
              </w:rPr>
              <w:t>55,780</w:t>
            </w:r>
          </w:p>
        </w:tc>
        <w:tc>
          <w:tcPr>
            <w:tcW w:w="260" w:type="dxa"/>
            <w:vAlign w:val="bottom"/>
            <w:tcBorders>
              <w:bottom w:val="single" w:sz="8" w:color="7B8FAA"/>
            </w:tcBorders>
          </w:tcPr>
          <w:p>
            <w:pPr>
              <w:ind w:left="60"/>
              <w:spacing w:after="0"/>
              <w:rPr>
                <w:sz w:val="20"/>
                <w:szCs w:val="20"/>
                <w:color w:val="auto"/>
              </w:rPr>
            </w:pPr>
            <w:r>
              <w:rPr>
                <w:rFonts w:ascii="Arial" w:cs="Arial" w:eastAsia="Arial" w:hAnsi="Arial"/>
                <w:sz w:val="17"/>
                <w:szCs w:val="17"/>
                <w:color w:val="auto"/>
              </w:rPr>
              <w:t>​​ ​</w:t>
            </w:r>
          </w:p>
        </w:tc>
        <w:tc>
          <w:tcPr>
            <w:tcW w:w="600" w:type="dxa"/>
            <w:vAlign w:val="bottom"/>
            <w:tcBorders>
              <w:bottom w:val="single" w:sz="8" w:color="7B8FAA"/>
            </w:tcBorders>
          </w:tcPr>
          <w:p>
            <w:pPr>
              <w:ind w:left="4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tcPr>
          <w:p>
            <w:pPr>
              <w:jc w:val="right"/>
              <w:ind w:right="33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7B8FAA"/>
            </w:tcBorders>
            <w:shd w:val="clear" w:color="auto" w:fill="CCEEFF"/>
          </w:tcPr>
          <w:p>
            <w:pPr>
              <w:ind w:left="80"/>
              <w:spacing w:after="0"/>
              <w:rPr>
                <w:sz w:val="20"/>
                <w:szCs w:val="20"/>
                <w:color w:val="auto"/>
              </w:rPr>
            </w:pPr>
            <w:r>
              <w:rPr>
                <w:rFonts w:ascii="Arial" w:cs="Arial" w:eastAsia="Arial" w:hAnsi="Arial"/>
                <w:sz w:val="17"/>
                <w:szCs w:val="17"/>
                <w:color w:val="auto"/>
              </w:rPr>
              <w:t>Karen A. Flynn</w:t>
            </w:r>
            <w:r>
              <w:rPr>
                <w:rFonts w:ascii="Arial" w:cs="Arial" w:eastAsia="Arial" w:hAnsi="Arial"/>
                <w:sz w:val="22"/>
                <w:szCs w:val="22"/>
                <w:color w:val="auto"/>
                <w:vertAlign w:val="superscript"/>
              </w:rPr>
              <w:t>(15)</w:t>
            </w:r>
          </w:p>
        </w:tc>
        <w:tc>
          <w:tcPr>
            <w:tcW w:w="58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7B8FAA"/>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7B8FAA"/>
            </w:tcBorders>
            <w:shd w:val="clear" w:color="auto" w:fill="CCEEFF"/>
          </w:tcPr>
          <w:p>
            <w:pPr>
              <w:jc w:val="right"/>
              <w:ind w:right="13"/>
              <w:spacing w:after="0"/>
              <w:rPr>
                <w:sz w:val="20"/>
                <w:szCs w:val="20"/>
                <w:color w:val="auto"/>
              </w:rPr>
            </w:pPr>
            <w:r>
              <w:rPr>
                <w:rFonts w:ascii="Arial" w:cs="Arial" w:eastAsia="Arial" w:hAnsi="Arial"/>
                <w:sz w:val="17"/>
                <w:szCs w:val="17"/>
                <w:color w:val="auto"/>
              </w:rPr>
              <w:t>20,089</w:t>
            </w:r>
          </w:p>
        </w:tc>
        <w:tc>
          <w:tcPr>
            <w:tcW w:w="260" w:type="dxa"/>
            <w:vAlign w:val="bottom"/>
            <w:tcBorders>
              <w:bottom w:val="single" w:sz="8" w:color="7B8FAA"/>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00" w:type="dxa"/>
            <w:vAlign w:val="bottom"/>
            <w:tcBorders>
              <w:bottom w:val="single" w:sz="8" w:color="7B8FAA"/>
            </w:tcBorders>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7B8FAA"/>
            </w:tcBorders>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7B8FAA"/>
            </w:tcBorders>
            <w:shd w:val="clear" w:color="auto" w:fill="CCEEFF"/>
          </w:tcPr>
          <w:p>
            <w:pPr>
              <w:spacing w:after="0"/>
              <w:rPr>
                <w:sz w:val="20"/>
                <w:szCs w:val="20"/>
                <w:color w:val="auto"/>
              </w:rPr>
            </w:pPr>
            <w:r>
              <w:rPr>
                <w:rFonts w:ascii="Arial" w:cs="Arial" w:eastAsia="Arial" w:hAnsi="Arial"/>
                <w:sz w:val="17"/>
                <w:szCs w:val="17"/>
                <w:color w:val="auto"/>
              </w:rPr>
              <w:t>​</w:t>
            </w:r>
          </w:p>
        </w:tc>
      </w:tr>
      <w:tr>
        <w:trPr>
          <w:trHeight w:val="253"/>
        </w:trPr>
        <w:tc>
          <w:tcPr>
            <w:tcW w:w="5200" w:type="dxa"/>
            <w:vAlign w:val="bottom"/>
            <w:tcBorders>
              <w:bottom w:val="single" w:sz="8" w:color="435F86"/>
            </w:tcBorders>
          </w:tcPr>
          <w:p>
            <w:pPr>
              <w:ind w:left="80"/>
              <w:spacing w:after="0"/>
              <w:rPr>
                <w:sz w:val="20"/>
                <w:szCs w:val="20"/>
                <w:color w:val="auto"/>
              </w:rPr>
            </w:pPr>
            <w:r>
              <w:rPr>
                <w:rFonts w:ascii="Arial" w:cs="Arial" w:eastAsia="Arial" w:hAnsi="Arial"/>
                <w:sz w:val="17"/>
                <w:szCs w:val="17"/>
                <w:b w:val="1"/>
                <w:bCs w:val="1"/>
                <w:color w:val="435F86"/>
              </w:rPr>
              <w:t>All Executive Officers and Directors as a group (14 Persons)</w:t>
            </w:r>
          </w:p>
        </w:tc>
        <w:tc>
          <w:tcPr>
            <w:tcW w:w="580" w:type="dxa"/>
            <w:vAlign w:val="bottom"/>
            <w:tcBorders>
              <w:bottom w:val="single" w:sz="8" w:color="435F86"/>
            </w:tcBorders>
          </w:tcPr>
          <w:p>
            <w:pPr>
              <w:ind w:left="400"/>
              <w:spacing w:after="0"/>
              <w:rPr>
                <w:sz w:val="20"/>
                <w:szCs w:val="20"/>
                <w:color w:val="auto"/>
              </w:rPr>
            </w:pPr>
            <w:r>
              <w:rPr>
                <w:rFonts w:ascii="Arial" w:cs="Arial" w:eastAsia="Arial" w:hAnsi="Arial"/>
                <w:sz w:val="17"/>
                <w:szCs w:val="17"/>
                <w:color w:val="auto"/>
              </w:rPr>
              <w:t>​ ​</w:t>
            </w:r>
          </w:p>
        </w:tc>
        <w:tc>
          <w:tcPr>
            <w:tcW w:w="1240" w:type="dxa"/>
            <w:vAlign w:val="bottom"/>
            <w:tcBorders>
              <w:bottom w:val="single" w:sz="8" w:color="435F86"/>
            </w:tcBorders>
            <w:gridSpan w:val="2"/>
          </w:tcPr>
          <w:p>
            <w:pPr>
              <w:jc w:val="right"/>
              <w:ind w:right="13"/>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134,965,242</w:t>
            </w:r>
          </w:p>
        </w:tc>
        <w:tc>
          <w:tcPr>
            <w:tcW w:w="260" w:type="dxa"/>
            <w:vAlign w:val="bottom"/>
            <w:tcBorders>
              <w:bottom w:val="single" w:sz="8" w:color="435F86"/>
            </w:tcBorders>
          </w:tcPr>
          <w:p>
            <w:pPr>
              <w:ind w:left="60"/>
              <w:spacing w:after="0"/>
              <w:rPr>
                <w:sz w:val="20"/>
                <w:szCs w:val="20"/>
                <w:color w:val="auto"/>
              </w:rPr>
            </w:pPr>
            <w:r>
              <w:rPr>
                <w:rFonts w:ascii="Arial" w:cs="Arial" w:eastAsia="Arial" w:hAnsi="Arial"/>
                <w:sz w:val="17"/>
                <w:szCs w:val="17"/>
                <w:color w:val="auto"/>
              </w:rPr>
              <w:t>​​ ​</w:t>
            </w:r>
          </w:p>
        </w:tc>
        <w:tc>
          <w:tcPr>
            <w:tcW w:w="1360" w:type="dxa"/>
            <w:vAlign w:val="bottom"/>
            <w:tcBorders>
              <w:bottom w:val="single" w:sz="8" w:color="435F86"/>
            </w:tcBorders>
            <w:gridSpan w:val="2"/>
          </w:tcPr>
          <w:p>
            <w:pPr>
              <w:ind w:left="4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 xml:space="preserve"> 47.55%</w:t>
            </w:r>
          </w:p>
        </w:tc>
        <w:tc>
          <w:tcPr>
            <w:tcW w:w="80" w:type="dxa"/>
            <w:vAlign w:val="bottom"/>
            <w:tcBorders>
              <w:bottom w:val="single" w:sz="8" w:color="435F86"/>
            </w:tcBorders>
          </w:tcPr>
          <w:p>
            <w:pPr>
              <w:spacing w:after="0"/>
              <w:rPr>
                <w:sz w:val="20"/>
                <w:szCs w:val="20"/>
                <w:color w:val="auto"/>
              </w:rPr>
            </w:pPr>
            <w:r>
              <w:rPr>
                <w:rFonts w:ascii="Arial" w:cs="Arial" w:eastAsia="Arial" w:hAnsi="Arial"/>
                <w:sz w:val="17"/>
                <w:szCs w:val="17"/>
                <w:color w:val="auto"/>
              </w:rPr>
              <w:t>​</w:t>
            </w:r>
          </w:p>
        </w:tc>
      </w:tr>
    </w:tbl>
    <w:p>
      <w:pPr>
        <w:spacing w:after="0" w:line="139" w:lineRule="exact"/>
        <w:rPr>
          <w:sz w:val="20"/>
          <w:szCs w:val="20"/>
          <w:color w:val="auto"/>
        </w:rPr>
      </w:pPr>
    </w:p>
    <w:p>
      <w:pPr>
        <w:ind w:left="1120" w:hanging="337"/>
        <w:spacing w:after="0"/>
        <w:tabs>
          <w:tab w:leader="none" w:pos="11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beneficial ownership of less than 1%</w:t>
      </w:r>
    </w:p>
    <w:p>
      <w:pPr>
        <w:spacing w:after="0" w:line="77" w:lineRule="exact"/>
        <w:rPr>
          <w:sz w:val="20"/>
          <w:szCs w:val="20"/>
          <w:color w:val="auto"/>
        </w:rPr>
      </w:pPr>
    </w:p>
    <w:p>
      <w:pPr>
        <w:ind w:left="1120" w:right="940" w:hanging="337"/>
        <w:spacing w:after="0" w:line="295"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Shares shown in the table above include shares held in the beneficial owner’s name or jointly with others, or in the name of a bank, nominee or trustee for the beneficial owner’s account.</w:t>
      </w:r>
    </w:p>
    <w:p>
      <w:pPr>
        <w:spacing w:after="0" w:line="12" w:lineRule="exact"/>
        <w:rPr>
          <w:rFonts w:ascii="Arial" w:cs="Arial" w:eastAsia="Arial" w:hAnsi="Arial"/>
          <w:sz w:val="17"/>
          <w:szCs w:val="17"/>
          <w:color w:val="auto"/>
        </w:rPr>
      </w:pPr>
    </w:p>
    <w:p>
      <w:pPr>
        <w:ind w:left="1120" w:right="860" w:hanging="337"/>
        <w:spacing w:after="0" w:line="273" w:lineRule="auto"/>
        <w:tabs>
          <w:tab w:leader="none" w:pos="11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Consists of (i) 59,079,058 shares held of record by Bull Holdco L.P., a Delaware limited partnership (“Bull Holdco”) and (ii) 14,743,894 shares held of record by Bull Co-Invest L.P., a Delaware limited partnership (“WP Bull”). Effective August 5, 2021, the Warburg Pincus Sponsors (as defined below), other than WP Bull, distributed their shares of common stock (the “Contributed Shares”) to Bull Holdco, pursuant to the terms of a Contribution and Exchange Agreement among such persons and Bull Holdco. The Warburg Pincus Sponsors (as defined below and other than WP Bull)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w:t>
      </w:r>
    </w:p>
    <w:p>
      <w:pPr>
        <w:ind w:left="1120" w:right="880"/>
        <w:spacing w:after="0" w:line="253" w:lineRule="auto"/>
        <w:rPr>
          <w:rFonts w:ascii="Arial" w:cs="Arial" w:eastAsia="Arial" w:hAnsi="Arial"/>
          <w:sz w:val="16"/>
          <w:szCs w:val="16"/>
          <w:color w:val="auto"/>
        </w:rPr>
      </w:pPr>
      <w:r>
        <w:rPr>
          <w:rFonts w:ascii="Arial" w:cs="Arial" w:eastAsia="Arial" w:hAnsi="Arial"/>
          <w:sz w:val="17"/>
          <w:szCs w:val="17"/>
          <w:color w:val="auto"/>
        </w:rPr>
        <w:t>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XIP”), Warburg Pincus XI Partners, L.P., a Delaware limited partnership (“WP XI Partners”) and WP Bull.</w:t>
      </w:r>
    </w:p>
    <w:p>
      <w:pPr>
        <w:spacing w:after="0" w:line="8" w:lineRule="exact"/>
        <w:rPr>
          <w:rFonts w:ascii="Arial" w:cs="Arial" w:eastAsia="Arial" w:hAnsi="Arial"/>
          <w:sz w:val="16"/>
          <w:szCs w:val="16"/>
          <w:color w:val="auto"/>
        </w:rPr>
      </w:pPr>
    </w:p>
    <w:p>
      <w:pPr>
        <w:ind w:left="1120" w:right="1020"/>
        <w:spacing w:after="0" w:line="249" w:lineRule="auto"/>
        <w:rPr>
          <w:rFonts w:ascii="Arial" w:cs="Arial" w:eastAsia="Arial" w:hAnsi="Arial"/>
          <w:sz w:val="16"/>
          <w:szCs w:val="16"/>
          <w:color w:val="auto"/>
        </w:rPr>
      </w:pPr>
      <w:r>
        <w:rPr>
          <w:rFonts w:ascii="Arial" w:cs="Arial" w:eastAsia="Arial" w:hAnsi="Arial"/>
          <w:sz w:val="17"/>
          <w:szCs w:val="17"/>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3" w:lineRule="exact"/>
        <w:rPr>
          <w:rFonts w:ascii="Arial" w:cs="Arial" w:eastAsia="Arial" w:hAnsi="Arial"/>
          <w:sz w:val="16"/>
          <w:szCs w:val="16"/>
          <w:color w:val="auto"/>
        </w:rPr>
      </w:pPr>
    </w:p>
    <w:p>
      <w:pPr>
        <w:ind w:left="1120" w:right="860"/>
        <w:spacing w:after="0" w:line="259" w:lineRule="auto"/>
        <w:rPr>
          <w:rFonts w:ascii="Arial" w:cs="Arial" w:eastAsia="Arial" w:hAnsi="Arial"/>
          <w:sz w:val="16"/>
          <w:szCs w:val="16"/>
          <w:color w:val="auto"/>
        </w:rPr>
      </w:pPr>
      <w:r>
        <w:rPr>
          <w:rFonts w:ascii="Arial" w:cs="Arial" w:eastAsia="Arial" w:hAnsi="Arial"/>
          <w:sz w:val="17"/>
          <w:szCs w:val="17"/>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WP Bull. WP is managing member of WP Bull Manager. Warburg Pincus LLC, a New York limited liability company (“WP LLC”), is the manager of the WP XI Funds. The address of the Warburg Pincus Sponsors is 450 Lexington Avenue, New York, New York 10017.</w:t>
      </w:r>
    </w:p>
    <w:p>
      <w:pPr>
        <w:spacing w:after="0" w:line="32" w:lineRule="exact"/>
        <w:rPr>
          <w:rFonts w:ascii="Arial" w:cs="Arial" w:eastAsia="Arial" w:hAnsi="Arial"/>
          <w:sz w:val="16"/>
          <w:szCs w:val="16"/>
          <w:color w:val="auto"/>
        </w:rPr>
      </w:pPr>
    </w:p>
    <w:p>
      <w:pPr>
        <w:ind w:left="1120" w:right="820" w:hanging="337"/>
        <w:spacing w:after="0" w:line="260" w:lineRule="auto"/>
        <w:tabs>
          <w:tab w:leader="none" w:pos="11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Includes (i) 39,061,101 shares held of record by GTCR Fund XI/A LP, (ii) 9,841,141 shares held of record by GTCR Fund XI/C LP and (iii) 313,059 shares held of record by GTCR Co-Invest XI LP (collectively, the “GTCR Sponsors”), according to the Schedule 13G/A filed on November 14, 2024.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David A. Donnini, Constantine S. Mihas and Collin E. Roche, and no single person has voting or dispositive authority over the shares. Each of GTCR Partners XI/A&amp;C LP, GTCR Investment XI LLC and the GTCR Board of Managers may be deemed to share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135890</wp:posOffset>
            </wp:positionV>
            <wp:extent cx="5538470" cy="165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84</w:t>
            </w:r>
          </w:p>
        </w:tc>
      </w:tr>
      <w:tr>
        <w:trPr>
          <w:trHeight w:val="93"/>
        </w:trPr>
        <w:tc>
          <w:tcPr>
            <w:tcW w:w="4140" w:type="dxa"/>
            <w:vAlign w:val="bottom"/>
            <w:tcBorders>
              <w:bottom w:val="single" w:sz="8" w:color="9A9A9A"/>
            </w:tcBorders>
          </w:tcPr>
          <w:p>
            <w:pPr>
              <w:spacing w:after="0"/>
              <w:rPr>
                <w:sz w:val="8"/>
                <w:szCs w:val="8"/>
                <w:color w:val="auto"/>
              </w:rPr>
            </w:pPr>
          </w:p>
        </w:tc>
        <w:tc>
          <w:tcPr>
            <w:tcW w:w="6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00" w:lineRule="exact"/>
        <w:rPr>
          <w:sz w:val="20"/>
          <w:szCs w:val="20"/>
          <w:color w:val="auto"/>
        </w:rPr>
      </w:pPr>
    </w:p>
    <w:p>
      <w:pPr>
        <w:spacing w:after="0" w:line="256" w:lineRule="exact"/>
        <w:rPr>
          <w:sz w:val="20"/>
          <w:szCs w:val="20"/>
          <w:color w:val="auto"/>
        </w:rPr>
      </w:pPr>
    </w:p>
    <w:p>
      <w:pPr>
        <w:ind w:left="1120" w:right="159"/>
        <w:spacing w:after="0" w:line="290" w:lineRule="auto"/>
        <w:rPr>
          <w:sz w:val="20"/>
          <w:szCs w:val="20"/>
          <w:color w:val="auto"/>
        </w:rPr>
      </w:pPr>
      <w:r>
        <w:rPr>
          <w:rFonts w:ascii="Arial" w:cs="Arial" w:eastAsia="Arial" w:hAnsi="Arial"/>
          <w:sz w:val="16"/>
          <w:szCs w:val="16"/>
          <w:color w:val="auto"/>
        </w:rPr>
        <w:t>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19" w:lineRule="exact"/>
        <w:rPr>
          <w:sz w:val="20"/>
          <w:szCs w:val="20"/>
          <w:color w:val="auto"/>
        </w:rPr>
      </w:pPr>
    </w:p>
    <w:p>
      <w:pPr>
        <w:ind w:left="1120" w:right="239" w:hanging="337"/>
        <w:spacing w:after="0" w:line="268"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Includes shared voting power and shared dispositive power over all shares by Darsana Capital Partners LP, Darsana Capital Partners GP LLC, Darsana Master Fund LP, Darsana Capital GP LLC and Anand Desai (collectively, “Darsana”), according to a Schedule 13G filed on September 13, 2024. The address for Darsana is 40 West 57th Street, 22nd Floor, New York, New York 10019.</w:t>
      </w:r>
    </w:p>
    <w:p>
      <w:pPr>
        <w:spacing w:after="0" w:line="22" w:lineRule="exact"/>
        <w:rPr>
          <w:rFonts w:ascii="Arial" w:cs="Arial" w:eastAsia="Arial" w:hAnsi="Arial"/>
          <w:sz w:val="17"/>
          <w:szCs w:val="17"/>
          <w:color w:val="auto"/>
        </w:rPr>
      </w:pPr>
    </w:p>
    <w:p>
      <w:pPr>
        <w:ind w:left="1120" w:right="379" w:hanging="337"/>
        <w:spacing w:after="0" w:line="268"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(i) 49,447 shares of common stock subject to shared voting power, (ii) 14,536,299 shares of common stock subject to sole dispositive power and (iii) 213,906 shares of common stock subject to shares dispositive power, according to a Schedule 13G/A filed on November 12, 2024. The address of The Vanguard Group is 100 Vanguard Blvd., Malvern, PA 19355.</w:t>
      </w:r>
    </w:p>
    <w:p>
      <w:pPr>
        <w:spacing w:after="0" w:line="22" w:lineRule="exact"/>
        <w:rPr>
          <w:rFonts w:ascii="Arial" w:cs="Arial" w:eastAsia="Arial" w:hAnsi="Arial"/>
          <w:sz w:val="17"/>
          <w:szCs w:val="17"/>
          <w:color w:val="auto"/>
        </w:rPr>
      </w:pPr>
    </w:p>
    <w:p>
      <w:pPr>
        <w:ind w:left="1120" w:right="219" w:hanging="337"/>
        <w:spacing w:after="0" w:line="290" w:lineRule="auto"/>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Mr. Petras is the grantor and trustee of estate planning trusts (the “Petras Trusts”). As a result, Mr. Petras may have voting and investment control over, and may be deemed to be the beneficial owner of, an aggregate of 5,253,580 shares of common stock owned by the Petras Trusts. Includes 315,813 shares of common stock and 4,156,199 shares underlying options that are currently exercisable or exercisable within 60 days of March 28, 2025.</w:t>
      </w:r>
    </w:p>
    <w:p>
      <w:pPr>
        <w:spacing w:after="0" w:line="19" w:lineRule="exact"/>
        <w:rPr>
          <w:rFonts w:ascii="Arial" w:cs="Arial" w:eastAsia="Arial" w:hAnsi="Arial"/>
          <w:sz w:val="16"/>
          <w:szCs w:val="16"/>
          <w:color w:val="auto"/>
        </w:rPr>
      </w:pPr>
    </w:p>
    <w:p>
      <w:pPr>
        <w:ind w:left="1120" w:right="259" w:hanging="337"/>
        <w:spacing w:after="0" w:line="294"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25,223 shares of common stock and 38,438 shares underlying options that are currently exercisable or exercisable within 60 days of March 28, 2025.</w:t>
      </w:r>
    </w:p>
    <w:p>
      <w:pPr>
        <w:spacing w:after="0" w:line="1" w:lineRule="exact"/>
        <w:rPr>
          <w:rFonts w:ascii="Arial" w:cs="Arial" w:eastAsia="Arial" w:hAnsi="Arial"/>
          <w:sz w:val="17"/>
          <w:szCs w:val="17"/>
          <w:color w:val="auto"/>
        </w:rPr>
      </w:pPr>
    </w:p>
    <w:p>
      <w:pPr>
        <w:ind w:left="1120" w:right="279" w:hanging="337"/>
        <w:spacing w:after="0" w:line="275"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495,914 shares of common stock, of which 14,271 shares are restricted and remain subject to vesting, and 234,263 shares underlying options that are currently exercisable or exercisable within 60 days of March 28, 2025.</w:t>
      </w:r>
    </w:p>
    <w:p>
      <w:pPr>
        <w:spacing w:after="0" w:line="15" w:lineRule="exact"/>
        <w:rPr>
          <w:rFonts w:ascii="Arial" w:cs="Arial" w:eastAsia="Arial" w:hAnsi="Arial"/>
          <w:sz w:val="17"/>
          <w:szCs w:val="17"/>
          <w:color w:val="auto"/>
        </w:rPr>
      </w:pPr>
    </w:p>
    <w:p>
      <w:pPr>
        <w:ind w:left="1120" w:right="259" w:hanging="337"/>
        <w:spacing w:after="0" w:line="295"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244,402 shares of common stock and 636,418 shares underlying options that are currently exercisable or exercisable within 60 days of March 28, 2025.</w:t>
      </w:r>
    </w:p>
    <w:p>
      <w:pPr>
        <w:spacing w:after="0" w:line="12" w:lineRule="exact"/>
        <w:rPr>
          <w:rFonts w:ascii="Arial" w:cs="Arial" w:eastAsia="Arial" w:hAnsi="Arial"/>
          <w:sz w:val="17"/>
          <w:szCs w:val="17"/>
          <w:color w:val="auto"/>
        </w:rPr>
      </w:pPr>
    </w:p>
    <w:p>
      <w:pPr>
        <w:ind w:left="1120" w:right="279" w:hanging="337"/>
        <w:spacing w:after="0" w:line="276" w:lineRule="auto"/>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73,822,952 shares of common stock beneficially owned by the Warburg Pincus Sponsors because of the affiliations of Mr. Chen, Mr. Knauss and Mr. Neary with the Warburg Pincus Sponsors. Mr. Chen, Mr. Knauss and Mr. Neary each disclaim beneficial ownership of all shares of common stock owned by the Warburg Pincus Sponsors except to the extent of any indirect pecuniary interests therein. Also includes for Mr. Chen and Mr. Neary</w:t>
      </w:r>
    </w:p>
    <w:p>
      <w:pPr>
        <w:ind w:left="1120" w:right="179"/>
        <w:spacing w:after="0" w:line="265" w:lineRule="auto"/>
        <w:rPr>
          <w:rFonts w:ascii="Arial" w:cs="Arial" w:eastAsia="Arial" w:hAnsi="Arial"/>
          <w:sz w:val="16"/>
          <w:szCs w:val="16"/>
          <w:color w:val="auto"/>
        </w:rPr>
      </w:pPr>
      <w:r>
        <w:rPr>
          <w:rFonts w:ascii="Arial" w:cs="Arial" w:eastAsia="Arial" w:hAnsi="Arial"/>
          <w:sz w:val="17"/>
          <w:szCs w:val="17"/>
          <w:color w:val="auto"/>
        </w:rPr>
        <w:t>(i) 41,560 shares of common stock, for Mr. Knauss (ii) 15,712 shares of common stock, and for Mr. Chen, Mr. Neary and Mr. Knauss (iii) 20,089 shares of common stock issuable in connection with RSUs granted under our non-employee director compensation policy, which will vest within 60 days of March 28, 2025.</w:t>
      </w:r>
    </w:p>
    <w:p>
      <w:pPr>
        <w:spacing w:after="0" w:line="24" w:lineRule="exact"/>
        <w:rPr>
          <w:rFonts w:ascii="Arial" w:cs="Arial" w:eastAsia="Arial" w:hAnsi="Arial"/>
          <w:sz w:val="16"/>
          <w:szCs w:val="16"/>
          <w:color w:val="auto"/>
        </w:rPr>
      </w:pPr>
    </w:p>
    <w:p>
      <w:pPr>
        <w:jc w:val="both"/>
        <w:ind w:left="1120" w:right="199" w:hanging="337"/>
        <w:spacing w:after="0" w:line="275" w:lineRule="auto"/>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Includes 49,215,301 shares of common stock beneficially owned by the GTCR Sponsors because of the affiliations of Mr. Cunningham and Mr. Mihas with the GTCR entities. Mr. Cunningham and Mr. Mihas each disclaim beneficial ownership of all shares of common stock owned by the GTCR entities except to the extent of any indirect pecuniary interests therein. Also includes (i) 41,560 shares of common stock and (ii) 20,089 shares of common stock issuable in connection with RSUs granted under our non-employee director compensation policy, which will vest within</w:t>
      </w:r>
    </w:p>
    <w:p>
      <w:pPr>
        <w:ind w:left="1120"/>
        <w:spacing w:after="0"/>
        <w:rPr>
          <w:rFonts w:ascii="Arial" w:cs="Arial" w:eastAsia="Arial" w:hAnsi="Arial"/>
          <w:sz w:val="16"/>
          <w:szCs w:val="16"/>
          <w:color w:val="auto"/>
        </w:rPr>
      </w:pPr>
      <w:r>
        <w:rPr>
          <w:rFonts w:ascii="Arial" w:cs="Arial" w:eastAsia="Arial" w:hAnsi="Arial"/>
          <w:sz w:val="17"/>
          <w:szCs w:val="17"/>
          <w:color w:val="auto"/>
        </w:rPr>
        <w:t>60 days of March 28, 2025.</w:t>
      </w:r>
    </w:p>
    <w:p>
      <w:pPr>
        <w:spacing w:after="0" w:line="61" w:lineRule="exact"/>
        <w:rPr>
          <w:rFonts w:ascii="Arial" w:cs="Arial" w:eastAsia="Arial" w:hAnsi="Arial"/>
          <w:sz w:val="16"/>
          <w:szCs w:val="16"/>
          <w:color w:val="auto"/>
        </w:rPr>
      </w:pPr>
    </w:p>
    <w:p>
      <w:pPr>
        <w:ind w:left="1120" w:right="179" w:hanging="337"/>
        <w:spacing w:after="0" w:line="275"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86,735 shares of common stock, of which 1,123 shares are restricted and remain subject to vesting and 20,089 shares of common stock issuable in connection with RSUs granted under our non-employee director compensation policy, which will vest within 60 days of March 28, 2025.</w:t>
      </w:r>
    </w:p>
    <w:p>
      <w:pPr>
        <w:spacing w:after="0" w:line="28" w:lineRule="exact"/>
        <w:rPr>
          <w:rFonts w:ascii="Arial" w:cs="Arial" w:eastAsia="Arial" w:hAnsi="Arial"/>
          <w:sz w:val="17"/>
          <w:szCs w:val="17"/>
          <w:color w:val="auto"/>
        </w:rPr>
      </w:pPr>
    </w:p>
    <w:p>
      <w:pPr>
        <w:ind w:left="1120" w:right="199" w:hanging="337"/>
        <w:spacing w:after="0" w:line="313" w:lineRule="auto"/>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41,560 shares of common stock and 20,089 shares of common stock issuable in connection with RSUs granted under our non-employee director compensation policy which will vest within 60 days of March 28, 2025.</w:t>
      </w:r>
    </w:p>
    <w:p>
      <w:pPr>
        <w:ind w:left="1120" w:right="199" w:hanging="337"/>
        <w:spacing w:after="0" w:line="313" w:lineRule="auto"/>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Consists of 35,961 shares of common stock and 20,089 shares of common stock issuable in connection with RSUs granted under our non-employee director compensation policy which will vest within 60 days of March 28, 2025.</w:t>
      </w:r>
    </w:p>
    <w:p>
      <w:pPr>
        <w:ind w:left="1120" w:right="459" w:hanging="337"/>
        <w:spacing w:after="0" w:line="295" w:lineRule="auto"/>
        <w:tabs>
          <w:tab w:leader="none" w:pos="11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Consists of 20,089 shares of common stock issuable in connection with RSUs granted under our non-employee director compensation policy which will vest within 60 days of March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678180</wp:posOffset>
            </wp:positionV>
            <wp:extent cx="494665" cy="165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546100</wp:posOffset>
            </wp:positionV>
            <wp:extent cx="5538470" cy="165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Registration Rights Agreement</w:t>
      </w:r>
    </w:p>
    <w:p>
      <w:pPr>
        <w:spacing w:after="0" w:line="209" w:lineRule="exact"/>
        <w:rPr>
          <w:sz w:val="20"/>
          <w:szCs w:val="20"/>
          <w:color w:val="auto"/>
        </w:rPr>
      </w:pPr>
    </w:p>
    <w:p>
      <w:pPr>
        <w:ind w:left="780" w:right="819"/>
        <w:spacing w:after="0" w:line="263" w:lineRule="auto"/>
        <w:rPr>
          <w:sz w:val="20"/>
          <w:szCs w:val="20"/>
          <w:color w:val="auto"/>
        </w:rPr>
      </w:pPr>
      <w:r>
        <w:rPr>
          <w:rFonts w:ascii="Arial" w:cs="Arial" w:eastAsia="Arial" w:hAnsi="Arial"/>
          <w:sz w:val="42"/>
          <w:szCs w:val="42"/>
          <w:b w:val="1"/>
          <w:bCs w:val="1"/>
          <w:color w:val="28B5DE"/>
        </w:rPr>
        <w:t>CERTAIN RELATIONSHIPS AND RELATED PARTY TRANSACTIONS</w:t>
      </w:r>
    </w:p>
    <w:p>
      <w:pPr>
        <w:spacing w:after="0" w:line="47" w:lineRule="exact"/>
        <w:rPr>
          <w:sz w:val="20"/>
          <w:szCs w:val="20"/>
          <w:color w:val="auto"/>
        </w:rPr>
      </w:pPr>
    </w:p>
    <w:p>
      <w:pPr>
        <w:jc w:val="both"/>
        <w:ind w:left="780" w:right="159"/>
        <w:spacing w:after="0" w:line="248" w:lineRule="auto"/>
        <w:rPr>
          <w:sz w:val="20"/>
          <w:szCs w:val="20"/>
          <w:color w:val="auto"/>
        </w:rPr>
      </w:pPr>
      <w:r>
        <w:rPr>
          <w:rFonts w:ascii="Arial" w:cs="Arial" w:eastAsia="Arial" w:hAnsi="Arial"/>
          <w:sz w:val="21"/>
          <w:szCs w:val="21"/>
          <w:color w:val="auto"/>
        </w:rPr>
        <w:t>Under SEC rules, a related person is an executive officer, director, nominee for director or beneficial holder of more than 5% of any class of our voting securities since the beginning of the last fiscal year or an immediate family member of any of the foregoing.</w:t>
      </w:r>
    </w:p>
    <w:p>
      <w:pPr>
        <w:spacing w:after="0" w:line="108" w:lineRule="exact"/>
        <w:rPr>
          <w:sz w:val="20"/>
          <w:szCs w:val="20"/>
          <w:color w:val="auto"/>
        </w:rPr>
      </w:pPr>
    </w:p>
    <w:p>
      <w:pPr>
        <w:ind w:left="780" w:right="219"/>
        <w:spacing w:after="0" w:line="237" w:lineRule="auto"/>
        <w:rPr>
          <w:sz w:val="20"/>
          <w:szCs w:val="20"/>
          <w:color w:val="auto"/>
        </w:rPr>
      </w:pPr>
      <w:r>
        <w:rPr>
          <w:rFonts w:ascii="Arial" w:cs="Arial" w:eastAsia="Arial" w:hAnsi="Arial"/>
          <w:sz w:val="21"/>
          <w:szCs w:val="21"/>
          <w:color w:val="auto"/>
        </w:rPr>
        <w:t>Other than the transactions described below, and compensation agreements and other arrangements which are described in the sections “Compensation Discussion and Analysis” and “Employment Agreements” since January 1, 2024,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30" w:lineRule="exact"/>
        <w:rPr>
          <w:sz w:val="20"/>
          <w:szCs w:val="20"/>
          <w:color w:val="auto"/>
        </w:rPr>
      </w:pPr>
    </w:p>
    <w:p>
      <w:pPr>
        <w:ind w:left="780" w:right="159"/>
        <w:spacing w:after="0" w:line="248" w:lineRule="auto"/>
        <w:rPr>
          <w:sz w:val="20"/>
          <w:szCs w:val="20"/>
          <w:color w:val="auto"/>
        </w:rPr>
      </w:pPr>
      <w:r>
        <w:rPr>
          <w:rFonts w:ascii="Arial" w:cs="Arial" w:eastAsia="Arial" w:hAnsi="Arial"/>
          <w:sz w:val="21"/>
          <w:szCs w:val="21"/>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186"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Registration Rights Agreement</w:t>
      </w:r>
    </w:p>
    <w:p>
      <w:pPr>
        <w:spacing w:after="0" w:line="189" w:lineRule="exact"/>
        <w:rPr>
          <w:sz w:val="20"/>
          <w:szCs w:val="20"/>
          <w:color w:val="auto"/>
        </w:rPr>
      </w:pPr>
    </w:p>
    <w:p>
      <w:pPr>
        <w:jc w:val="both"/>
        <w:ind w:left="780" w:right="259"/>
        <w:spacing w:after="0" w:line="238" w:lineRule="auto"/>
        <w:rPr>
          <w:sz w:val="20"/>
          <w:szCs w:val="20"/>
          <w:color w:val="auto"/>
        </w:rPr>
      </w:pPr>
      <w:r>
        <w:rPr>
          <w:rFonts w:ascii="Arial" w:cs="Arial" w:eastAsia="Arial" w:hAnsi="Arial"/>
          <w:sz w:val="21"/>
          <w:szCs w:val="21"/>
          <w:color w:val="auto"/>
        </w:rPr>
        <w:t>We are a party to a second amended and restated registration rights agreement (the “Registration Rights Agreement”) with certain holders of our common stock. Pursuant to the Registration Rights Agreement, we have agreed to register under the Securities Act the sale of shares of our common stock under specified circumstances, including the 123,038,253 shares held by the Sponsors as of March 28, 2025. After registration pursuant to these rights, these shares will become freely tradable without restriction under the Securities Act.</w:t>
      </w:r>
    </w:p>
    <w:p>
      <w:pPr>
        <w:spacing w:after="0" w:line="13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Notwithstanding any contractual restrictions on the sale of our shares, Warburg Pincus or GTCR</w:t>
      </w:r>
    </w:p>
    <w:p>
      <w:pPr>
        <w:spacing w:after="0" w:line="16" w:lineRule="exact"/>
        <w:rPr>
          <w:sz w:val="20"/>
          <w:szCs w:val="20"/>
          <w:color w:val="auto"/>
        </w:rPr>
      </w:pPr>
    </w:p>
    <w:p>
      <w:pPr>
        <w:ind w:left="780"/>
        <w:spacing w:after="0"/>
        <w:rPr>
          <w:sz w:val="20"/>
          <w:szCs w:val="20"/>
          <w:color w:val="auto"/>
        </w:rPr>
      </w:pPr>
      <w:r>
        <w:rPr>
          <w:rFonts w:ascii="Arial" w:cs="Arial" w:eastAsia="Arial" w:hAnsi="Arial"/>
          <w:sz w:val="21"/>
          <w:szCs w:val="21"/>
          <w:color w:val="auto"/>
        </w:rPr>
        <w:t>may require us to register all or part of their shares of common stock in accordance with the</w:t>
      </w:r>
    </w:p>
    <w:p>
      <w:pPr>
        <w:ind w:left="780"/>
        <w:spacing w:after="0"/>
        <w:rPr>
          <w:sz w:val="20"/>
          <w:szCs w:val="20"/>
          <w:color w:val="auto"/>
        </w:rPr>
      </w:pPr>
      <w:r>
        <w:rPr>
          <w:rFonts w:ascii="Arial" w:cs="Arial" w:eastAsia="Arial" w:hAnsi="Arial"/>
          <w:sz w:val="20"/>
          <w:szCs w:val="20"/>
          <w:color w:val="auto"/>
        </w:rPr>
        <w:t>Securities Act and the Registration Rights Agreement. The net aggregate offering price of shares</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that either Warburg Pincus or GTCR propose to sell in any demand registration must be at least</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9"/>
          <w:szCs w:val="19"/>
          <w:color w:val="auto"/>
        </w:rPr>
        <w:t>$50 million, or such holder must propose to sell all such holder’s shares if the net aggregate offering</w:t>
      </w:r>
    </w:p>
    <w:p>
      <w:pPr>
        <w:spacing w:after="0" w:line="7" w:lineRule="exact"/>
        <w:rPr>
          <w:sz w:val="20"/>
          <w:szCs w:val="20"/>
          <w:color w:val="auto"/>
        </w:rPr>
      </w:pPr>
    </w:p>
    <w:p>
      <w:pPr>
        <w:ind w:left="780"/>
        <w:spacing w:after="0"/>
        <w:rPr>
          <w:sz w:val="20"/>
          <w:szCs w:val="20"/>
          <w:color w:val="auto"/>
        </w:rPr>
      </w:pPr>
      <w:r>
        <w:rPr>
          <w:rFonts w:ascii="Arial" w:cs="Arial" w:eastAsia="Arial" w:hAnsi="Arial"/>
          <w:sz w:val="21"/>
          <w:szCs w:val="21"/>
          <w:color w:val="auto"/>
        </w:rPr>
        <w:t>price of such shares is less than $50 million. Each of Warburg Pincus and GTCR is entitled to</w:t>
      </w:r>
    </w:p>
    <w:p>
      <w:pPr>
        <w:ind w:left="780"/>
        <w:spacing w:after="0"/>
        <w:rPr>
          <w:sz w:val="20"/>
          <w:szCs w:val="20"/>
          <w:color w:val="auto"/>
        </w:rPr>
      </w:pPr>
      <w:r>
        <w:rPr>
          <w:rFonts w:ascii="Arial" w:cs="Arial" w:eastAsia="Arial" w:hAnsi="Arial"/>
          <w:sz w:val="20"/>
          <w:szCs w:val="20"/>
          <w:color w:val="auto"/>
        </w:rPr>
        <w:t>request unlimited demand registrations, but in each case, we are not obligated to effect more than</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9"/>
          <w:szCs w:val="19"/>
          <w:color w:val="auto"/>
        </w:rPr>
        <w:t>three long-form registrations on Form S-1 or four marketed underwritten shelf take-downs each year</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at the request of Warburg Pincus or more than three long-form registrations on Form S-1 or four</w:t>
      </w:r>
    </w:p>
    <w:p>
      <w:pPr>
        <w:ind w:left="780"/>
        <w:spacing w:after="0" w:line="235" w:lineRule="auto"/>
        <w:rPr>
          <w:sz w:val="20"/>
          <w:szCs w:val="20"/>
          <w:color w:val="auto"/>
        </w:rPr>
      </w:pPr>
      <w:r>
        <w:rPr>
          <w:rFonts w:ascii="Arial" w:cs="Arial" w:eastAsia="Arial" w:hAnsi="Arial"/>
          <w:sz w:val="21"/>
          <w:szCs w:val="21"/>
          <w:color w:val="auto"/>
        </w:rPr>
        <w:t>marketed underwritten shelf take-downs each year at the request of GTCR. We also are not</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obligated to effect more than one marketed underwritten offering in any consecutive 90-day period</w:t>
      </w:r>
    </w:p>
    <w:p>
      <w:pPr>
        <w:ind w:left="780"/>
        <w:spacing w:after="0" w:line="235" w:lineRule="auto"/>
        <w:rPr>
          <w:sz w:val="20"/>
          <w:szCs w:val="20"/>
          <w:color w:val="auto"/>
        </w:rPr>
      </w:pPr>
      <w:r>
        <w:rPr>
          <w:rFonts w:ascii="Arial" w:cs="Arial" w:eastAsia="Arial" w:hAnsi="Arial"/>
          <w:sz w:val="21"/>
          <w:szCs w:val="21"/>
          <w:color w:val="auto"/>
        </w:rPr>
        <w:t>without the consent of Warburg Pincus or GTCR. There is no limitation on the number of</w:t>
      </w:r>
    </w:p>
    <w:p>
      <w:pPr>
        <w:spacing w:after="0" w:line="1" w:lineRule="exact"/>
        <w:rPr>
          <w:sz w:val="20"/>
          <w:szCs w:val="20"/>
          <w:color w:val="auto"/>
        </w:rPr>
      </w:pPr>
    </w:p>
    <w:p>
      <w:pPr>
        <w:ind w:left="780"/>
        <w:spacing w:after="0"/>
        <w:rPr>
          <w:sz w:val="20"/>
          <w:szCs w:val="20"/>
          <w:color w:val="auto"/>
        </w:rPr>
      </w:pPr>
      <w:r>
        <w:rPr>
          <w:rFonts w:ascii="Arial" w:cs="Arial" w:eastAsia="Arial" w:hAnsi="Arial"/>
          <w:sz w:val="20"/>
          <w:szCs w:val="20"/>
          <w:color w:val="auto"/>
        </w:rPr>
        <w:t>unmarketed underwritten offerings that we may be obligated to effect at the request of Warburg</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9"/>
          <w:szCs w:val="19"/>
          <w:color w:val="auto"/>
        </w:rPr>
        <w:t>Pincus or GTCR. We have specified rights to delay the filing or initial effectiveness of, or suspend the</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20"/>
          <w:szCs w:val="20"/>
          <w:color w:val="auto"/>
        </w:rPr>
        <w:t>use of, any registration statement filed or to be filed in connection with an exercise of a holder’s</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21"/>
          <w:szCs w:val="21"/>
          <w:color w:val="auto"/>
        </w:rPr>
        <w:t>demand registration rights.</w:t>
      </w:r>
    </w:p>
    <w:p>
      <w:pPr>
        <w:spacing w:after="0" w:line="128" w:lineRule="exact"/>
        <w:rPr>
          <w:sz w:val="20"/>
          <w:szCs w:val="20"/>
          <w:color w:val="auto"/>
        </w:rPr>
      </w:pPr>
    </w:p>
    <w:p>
      <w:pPr>
        <w:ind w:left="780" w:right="639"/>
        <w:spacing w:after="0" w:line="242" w:lineRule="auto"/>
        <w:rPr>
          <w:sz w:val="20"/>
          <w:szCs w:val="20"/>
          <w:color w:val="auto"/>
        </w:rPr>
      </w:pPr>
      <w:r>
        <w:rPr>
          <w:rFonts w:ascii="Arial" w:cs="Arial" w:eastAsia="Arial" w:hAnsi="Arial"/>
          <w:sz w:val="21"/>
          <w:szCs w:val="21"/>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139700</wp:posOffset>
            </wp:positionV>
            <wp:extent cx="5538470" cy="1651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53340</wp:posOffset>
            </wp:positionV>
            <wp:extent cx="6569710" cy="419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Registration Rights Agreement</w:t>
      </w:r>
    </w:p>
    <w:p>
      <w:pPr>
        <w:spacing w:after="0" w:line="238" w:lineRule="exact"/>
        <w:rPr>
          <w:sz w:val="20"/>
          <w:szCs w:val="20"/>
          <w:color w:val="auto"/>
        </w:rPr>
      </w:pPr>
    </w:p>
    <w:p>
      <w:pPr>
        <w:ind w:left="780" w:right="219"/>
        <w:spacing w:after="0" w:line="271" w:lineRule="auto"/>
        <w:rPr>
          <w:sz w:val="20"/>
          <w:szCs w:val="20"/>
          <w:color w:val="auto"/>
        </w:rPr>
      </w:pPr>
      <w:r>
        <w:rPr>
          <w:rFonts w:ascii="Arial" w:cs="Arial" w:eastAsia="Arial" w:hAnsi="Arial"/>
          <w:sz w:val="19"/>
          <w:szCs w:val="19"/>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affected.</w:t>
      </w:r>
    </w:p>
    <w:p>
      <w:pPr>
        <w:spacing w:after="0" w:line="129" w:lineRule="exact"/>
        <w:rPr>
          <w:sz w:val="20"/>
          <w:szCs w:val="20"/>
          <w:color w:val="auto"/>
        </w:rPr>
      </w:pPr>
    </w:p>
    <w:p>
      <w:pPr>
        <w:ind w:left="780" w:right="719"/>
        <w:spacing w:after="0" w:line="264" w:lineRule="auto"/>
        <w:rPr>
          <w:sz w:val="20"/>
          <w:szCs w:val="20"/>
          <w:color w:val="auto"/>
        </w:rPr>
      </w:pPr>
      <w:r>
        <w:rPr>
          <w:rFonts w:ascii="Arial" w:cs="Arial" w:eastAsia="Arial" w:hAnsi="Arial"/>
          <w:sz w:val="21"/>
          <w:szCs w:val="21"/>
          <w:color w:val="auto"/>
        </w:rPr>
        <w:t>Pursuant to the Registration Rights Agreement, the Company has conducted three secondary offerings to date:</w:t>
      </w:r>
    </w:p>
    <w:p>
      <w:pPr>
        <w:spacing w:after="0" w:line="131" w:lineRule="exact"/>
        <w:rPr>
          <w:sz w:val="20"/>
          <w:szCs w:val="20"/>
          <w:color w:val="auto"/>
        </w:rPr>
      </w:pPr>
    </w:p>
    <w:p>
      <w:pPr>
        <w:ind w:left="780" w:right="399"/>
        <w:spacing w:after="0" w:line="259" w:lineRule="auto"/>
        <w:rPr>
          <w:sz w:val="20"/>
          <w:szCs w:val="20"/>
          <w:color w:val="auto"/>
        </w:rPr>
      </w:pPr>
      <w:r>
        <w:rPr>
          <w:rFonts w:ascii="Arial" w:cs="Arial" w:eastAsia="Arial" w:hAnsi="Arial"/>
          <w:sz w:val="20"/>
          <w:szCs w:val="20"/>
          <w:color w:val="auto"/>
        </w:rPr>
        <w:t>First, on March 17, 2021, we filed a registration statement on Form S-1 registering 25,000,000 shares of our common stock for sale by certain of its holders, including 22,520,970 shares held by the Sponsors. Following this sale, Warburg Pincus and GTCR’s beneficial ownership of our outstanding common stock was reduced to 37.26% and 24.84%, respectively.</w:t>
      </w:r>
    </w:p>
    <w:p>
      <w:pPr>
        <w:spacing w:after="0" w:line="124" w:lineRule="exact"/>
        <w:rPr>
          <w:sz w:val="20"/>
          <w:szCs w:val="20"/>
          <w:color w:val="auto"/>
        </w:rPr>
      </w:pPr>
    </w:p>
    <w:p>
      <w:pPr>
        <w:ind w:left="780" w:right="299"/>
        <w:spacing w:after="0" w:line="255" w:lineRule="auto"/>
        <w:rPr>
          <w:sz w:val="20"/>
          <w:szCs w:val="20"/>
          <w:color w:val="auto"/>
        </w:rPr>
      </w:pPr>
      <w:r>
        <w:rPr>
          <w:rFonts w:ascii="Arial" w:cs="Arial" w:eastAsia="Arial" w:hAnsi="Arial"/>
          <w:sz w:val="20"/>
          <w:szCs w:val="20"/>
          <w:color w:val="auto"/>
        </w:rPr>
        <w:t>Second, on February 27, 2024, we filed a shelf registration statement on Form S-3 for the offer, issuance and sale of an indeterminate amount of our common stock by our Sponsors and certain individuals. On March 4, 2024, these shareholders sold a total of 28,750,000 shares, 27,657,271 of which were sold by our Sponsors. Following this sale, Warburg Pincus and GTCR’s beneficial ownership of our outstanding common stock was reduced to 31.40% and 20.94%, respectively.</w:t>
      </w:r>
    </w:p>
    <w:p>
      <w:pPr>
        <w:spacing w:after="0" w:line="141" w:lineRule="exact"/>
        <w:rPr>
          <w:sz w:val="20"/>
          <w:szCs w:val="20"/>
          <w:color w:val="auto"/>
        </w:rPr>
      </w:pPr>
    </w:p>
    <w:p>
      <w:pPr>
        <w:ind w:left="780" w:right="219"/>
        <w:spacing w:after="0" w:line="238" w:lineRule="auto"/>
        <w:rPr>
          <w:sz w:val="20"/>
          <w:szCs w:val="20"/>
          <w:color w:val="auto"/>
        </w:rPr>
      </w:pPr>
      <w:r>
        <w:rPr>
          <w:rFonts w:ascii="Arial" w:cs="Arial" w:eastAsia="Arial" w:hAnsi="Arial"/>
          <w:sz w:val="21"/>
          <w:szCs w:val="21"/>
          <w:color w:val="auto"/>
        </w:rPr>
        <w:t>Third, on September 4, 2024, we entered into an underwriting agreement relating to the sale of 25,000,000 shares of our common stock by our Sponsors at a price of $15.03 per share (the “September Offering”). Following this sale, Warburg Pincus and GTCR’s beneficial ownership of our outstanding common stock was reduced to 26.07% and 17.38%, respectively. As a result, the Company no longer qualifies as a “controlled company” within the meaning of the Nasdaq corporate governance standards.</w:t>
      </w:r>
    </w:p>
    <w:p>
      <w:pPr>
        <w:spacing w:after="0" w:line="263"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Stockholders Agreement</w:t>
      </w:r>
    </w:p>
    <w:p>
      <w:pPr>
        <w:spacing w:after="0" w:line="189" w:lineRule="exact"/>
        <w:rPr>
          <w:sz w:val="20"/>
          <w:szCs w:val="20"/>
          <w:color w:val="auto"/>
        </w:rPr>
      </w:pPr>
    </w:p>
    <w:p>
      <w:pPr>
        <w:ind w:left="780" w:right="479"/>
        <w:spacing w:after="0" w:line="238" w:lineRule="auto"/>
        <w:rPr>
          <w:sz w:val="20"/>
          <w:szCs w:val="20"/>
          <w:color w:val="auto"/>
        </w:rPr>
      </w:pPr>
      <w:r>
        <w:rPr>
          <w:rFonts w:ascii="Arial" w:cs="Arial" w:eastAsia="Arial" w:hAnsi="Arial"/>
          <w:sz w:val="21"/>
          <w:szCs w:val="21"/>
          <w:color w:val="auto"/>
        </w:rPr>
        <w:t>We and the Sponsors are party to a Stockholders Agreement. Our Stockholders Agreement provides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w:t>
      </w:r>
    </w:p>
    <w:p>
      <w:pPr>
        <w:spacing w:after="0" w:line="169" w:lineRule="exact"/>
        <w:rPr>
          <w:sz w:val="20"/>
          <w:szCs w:val="20"/>
          <w:color w:val="auto"/>
        </w:rPr>
      </w:pPr>
    </w:p>
    <w:p>
      <w:pPr>
        <w:ind w:left="780"/>
        <w:spacing w:after="0"/>
        <w:rPr>
          <w:sz w:val="20"/>
          <w:szCs w:val="20"/>
          <w:color w:val="auto"/>
        </w:rPr>
      </w:pPr>
      <w:r>
        <w:rPr>
          <w:rFonts w:ascii="Arial" w:cs="Arial" w:eastAsia="Arial" w:hAnsi="Arial"/>
          <w:sz w:val="28"/>
          <w:szCs w:val="28"/>
          <w:color w:val="auto"/>
        </w:rPr>
        <w:t>Director Designees; Committee Membership</w:t>
      </w:r>
    </w:p>
    <w:p>
      <w:pPr>
        <w:spacing w:after="0" w:line="149" w:lineRule="exact"/>
        <w:rPr>
          <w:sz w:val="20"/>
          <w:szCs w:val="20"/>
          <w:color w:val="auto"/>
        </w:rPr>
      </w:pPr>
    </w:p>
    <w:p>
      <w:pPr>
        <w:ind w:left="780" w:right="199"/>
        <w:spacing w:after="0" w:line="261" w:lineRule="auto"/>
        <w:rPr>
          <w:sz w:val="20"/>
          <w:szCs w:val="20"/>
          <w:color w:val="auto"/>
        </w:rPr>
      </w:pPr>
      <w:r>
        <w:rPr>
          <w:rFonts w:ascii="Arial" w:cs="Arial" w:eastAsia="Arial" w:hAnsi="Arial"/>
          <w:sz w:val="19"/>
          <w:szCs w:val="19"/>
          <w:color w:val="auto"/>
        </w:rPr>
        <w:t>Under the terms of our Stockholders Agreement, for so long as each of our Sponsors holds certain percentages of the shares of common stock that they held immediately following our IPO, each is entitled to designate a certain number of directors for election to our Board, which designees are reviewed by the NCG Committee. See “Corporate Governance — Structure and Role of the Board of Directors — Certain Sponsor Rights.” Warburg Pincus has designated Mr. Chen,</w:t>
      </w:r>
    </w:p>
    <w:p>
      <w:pPr>
        <w:ind w:left="780" w:right="339"/>
        <w:spacing w:after="0" w:line="244" w:lineRule="auto"/>
        <w:rPr>
          <w:sz w:val="20"/>
          <w:szCs w:val="20"/>
          <w:color w:val="auto"/>
        </w:rPr>
      </w:pPr>
      <w:r>
        <w:rPr>
          <w:rFonts w:ascii="Arial" w:cs="Arial" w:eastAsia="Arial" w:hAnsi="Arial"/>
          <w:sz w:val="21"/>
          <w:szCs w:val="21"/>
          <w:color w:val="auto"/>
        </w:rPr>
        <w:t>Mr. Knauss and Mr. Neary as nominees to our Board; GTCR has designated Mr. Cunningham and Mr. Mihas as nominees to our Board.</w:t>
      </w:r>
    </w:p>
    <w:p>
      <w:pPr>
        <w:spacing w:after="0" w:line="151" w:lineRule="exact"/>
        <w:rPr>
          <w:sz w:val="20"/>
          <w:szCs w:val="20"/>
          <w:color w:val="auto"/>
        </w:rPr>
      </w:pPr>
    </w:p>
    <w:p>
      <w:pPr>
        <w:ind w:left="780" w:right="219"/>
        <w:spacing w:after="0" w:line="242" w:lineRule="auto"/>
        <w:rPr>
          <w:sz w:val="20"/>
          <w:szCs w:val="20"/>
          <w:color w:val="auto"/>
        </w:rPr>
      </w:pPr>
      <w:r>
        <w:rPr>
          <w:rFonts w:ascii="Arial" w:cs="Arial" w:eastAsia="Arial" w:hAnsi="Arial"/>
          <w:sz w:val="21"/>
          <w:szCs w:val="21"/>
          <w:color w:val="auto"/>
        </w:rPr>
        <w:t>The NCG Committee reviews Board committee composition annually. Subject to any restrictions under applicable law or the Nasdaq rules, the Stockholders Agreement entitles Warburg Pincus and GTCR to representation on each Board committee proportionate to the number of directors they are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313055</wp:posOffset>
            </wp:positionV>
            <wp:extent cx="494665" cy="165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180975</wp:posOffset>
            </wp:positionV>
            <wp:extent cx="5538470"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359410</wp:posOffset>
            </wp:positionV>
            <wp:extent cx="6569710" cy="419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Stockholders Agreement</w:t>
      </w:r>
    </w:p>
    <w:p>
      <w:pPr>
        <w:spacing w:after="0" w:line="238" w:lineRule="exact"/>
        <w:rPr>
          <w:sz w:val="20"/>
          <w:szCs w:val="20"/>
          <w:color w:val="auto"/>
        </w:rPr>
      </w:pPr>
    </w:p>
    <w:p>
      <w:pPr>
        <w:ind w:left="780" w:right="259"/>
        <w:spacing w:after="0" w:line="261" w:lineRule="auto"/>
        <w:rPr>
          <w:sz w:val="20"/>
          <w:szCs w:val="20"/>
          <w:color w:val="auto"/>
        </w:rPr>
      </w:pPr>
      <w:r>
        <w:rPr>
          <w:rFonts w:ascii="Arial" w:cs="Arial" w:eastAsia="Arial" w:hAnsi="Arial"/>
          <w:sz w:val="21"/>
          <w:szCs w:val="21"/>
          <w:color w:val="auto"/>
        </w:rPr>
        <w:t>to designate on our Board. In addition, the Stockholders Agreement entitles Warburg Pincus to appoint the chair of our LDC Committee for so long as Warburg Pincus has the right to designate at least one director for election to our Board.</w:t>
      </w:r>
    </w:p>
    <w:p>
      <w:pPr>
        <w:spacing w:after="0" w:line="143" w:lineRule="exact"/>
        <w:rPr>
          <w:sz w:val="20"/>
          <w:szCs w:val="20"/>
          <w:color w:val="auto"/>
        </w:rPr>
      </w:pPr>
    </w:p>
    <w:p>
      <w:pPr>
        <w:ind w:left="780"/>
        <w:spacing w:after="0"/>
        <w:rPr>
          <w:sz w:val="20"/>
          <w:szCs w:val="20"/>
          <w:color w:val="auto"/>
        </w:rPr>
      </w:pPr>
      <w:r>
        <w:rPr>
          <w:rFonts w:ascii="Arial" w:cs="Arial" w:eastAsia="Arial" w:hAnsi="Arial"/>
          <w:sz w:val="28"/>
          <w:szCs w:val="28"/>
          <w:color w:val="auto"/>
        </w:rPr>
        <w:t>Removal of Directors</w:t>
      </w:r>
    </w:p>
    <w:p>
      <w:pPr>
        <w:spacing w:after="0" w:line="149" w:lineRule="exact"/>
        <w:rPr>
          <w:sz w:val="20"/>
          <w:szCs w:val="20"/>
          <w:color w:val="auto"/>
        </w:rPr>
      </w:pPr>
    </w:p>
    <w:p>
      <w:pPr>
        <w:ind w:left="780" w:right="219"/>
        <w:spacing w:after="0" w:line="248" w:lineRule="auto"/>
        <w:rPr>
          <w:sz w:val="20"/>
          <w:szCs w:val="20"/>
          <w:color w:val="auto"/>
        </w:rPr>
      </w:pPr>
      <w:r>
        <w:rPr>
          <w:rFonts w:ascii="Arial" w:cs="Arial" w:eastAsia="Arial" w:hAnsi="Arial"/>
          <w:sz w:val="21"/>
          <w:szCs w:val="21"/>
          <w:color w:val="auto"/>
        </w:rPr>
        <w:t>While the Company no longer qualifies as a “controlled company” as a result of the September Offering,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6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Quorum</w:t>
      </w:r>
    </w:p>
    <w:p>
      <w:pPr>
        <w:spacing w:after="0" w:line="149" w:lineRule="exact"/>
        <w:rPr>
          <w:sz w:val="20"/>
          <w:szCs w:val="20"/>
          <w:color w:val="auto"/>
        </w:rPr>
      </w:pPr>
    </w:p>
    <w:p>
      <w:pPr>
        <w:ind w:left="780" w:right="179"/>
        <w:spacing w:after="0" w:line="260" w:lineRule="auto"/>
        <w:rPr>
          <w:sz w:val="20"/>
          <w:szCs w:val="20"/>
          <w:color w:val="auto"/>
        </w:rPr>
      </w:pPr>
      <w:r>
        <w:rPr>
          <w:rFonts w:ascii="Arial" w:cs="Arial" w:eastAsia="Arial" w:hAnsi="Arial"/>
          <w:sz w:val="20"/>
          <w:szCs w:val="20"/>
          <w:color w:val="auto"/>
        </w:rPr>
        <w:t>For so long as investment funds and entities affiliated with Warburg Pincus have the right to designate at least one director for election to our Board and for so long as investment funds and entities affiliated with GTCR have the right to designate at least one director for election to our Board, in each case, a quorum of our Board will not exist without at least one director designee of each of Warburg Pincus and GTCR present at such meeting; provided that if a meeting of our Board fails to achieve a quorum due to the absence of a director designee of Warburg Pincus or GTCR, as applicable, the presence of at least one director designee of Warburg Pincus or GTCR, as applicable, will not be required for a quorum to exist at the next meeting of our Board.</w:t>
      </w:r>
    </w:p>
    <w:p>
      <w:pPr>
        <w:spacing w:after="0" w:line="145" w:lineRule="exact"/>
        <w:rPr>
          <w:sz w:val="20"/>
          <w:szCs w:val="20"/>
          <w:color w:val="auto"/>
        </w:rPr>
      </w:pPr>
    </w:p>
    <w:p>
      <w:pPr>
        <w:ind w:left="780"/>
        <w:spacing w:after="0"/>
        <w:rPr>
          <w:sz w:val="20"/>
          <w:szCs w:val="20"/>
          <w:color w:val="auto"/>
        </w:rPr>
      </w:pPr>
      <w:r>
        <w:rPr>
          <w:rFonts w:ascii="Arial" w:cs="Arial" w:eastAsia="Arial" w:hAnsi="Arial"/>
          <w:sz w:val="28"/>
          <w:szCs w:val="28"/>
          <w:color w:val="auto"/>
        </w:rPr>
        <w:t>Transfer Restrictions</w:t>
      </w:r>
    </w:p>
    <w:p>
      <w:pPr>
        <w:spacing w:after="0" w:line="149" w:lineRule="exact"/>
        <w:rPr>
          <w:sz w:val="20"/>
          <w:szCs w:val="20"/>
          <w:color w:val="auto"/>
        </w:rPr>
      </w:pPr>
    </w:p>
    <w:p>
      <w:pPr>
        <w:ind w:left="780" w:right="159"/>
        <w:spacing w:after="0" w:line="274" w:lineRule="auto"/>
        <w:rPr>
          <w:sz w:val="20"/>
          <w:szCs w:val="20"/>
          <w:color w:val="auto"/>
        </w:rPr>
      </w:pPr>
      <w:r>
        <w:rPr>
          <w:rFonts w:ascii="Arial" w:cs="Arial" w:eastAsia="Arial" w:hAnsi="Arial"/>
          <w:sz w:val="19"/>
          <w:szCs w:val="19"/>
          <w:color w:val="auto"/>
        </w:rPr>
        <w:t>Except for certain permitted transfers, management shareholders are restricted from transferring more than a number of vested shares of our common stock equal to the product of (i) the number of shares of our common stock owned by the management shareholder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apply only to shares of common stock held by management shareholders at closing of the IPO (or securities issued in respect thereof), expire upon the sixth anniversary of the completion of the IPO and may be waived prior to their expiration at the discretion of the LDC Committee.</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Corporate Opportunities</w:t>
      </w:r>
    </w:p>
    <w:p>
      <w:pPr>
        <w:spacing w:after="0" w:line="149" w:lineRule="exact"/>
        <w:rPr>
          <w:sz w:val="20"/>
          <w:szCs w:val="20"/>
          <w:color w:val="auto"/>
        </w:rPr>
      </w:pPr>
    </w:p>
    <w:p>
      <w:pPr>
        <w:ind w:left="780" w:right="219"/>
        <w:spacing w:after="0" w:line="244" w:lineRule="auto"/>
        <w:rPr>
          <w:sz w:val="20"/>
          <w:szCs w:val="20"/>
          <w:color w:val="auto"/>
        </w:rPr>
      </w:pPr>
      <w:r>
        <w:rPr>
          <w:rFonts w:ascii="Arial" w:cs="Arial" w:eastAsia="Arial" w:hAnsi="Arial"/>
          <w:sz w:val="21"/>
          <w:szCs w:val="21"/>
          <w:color w:val="auto"/>
        </w:rPr>
        <w:t>To the fullest extent permitted by law, we have, on behalf of ourselves, our subsidiaries and our and their respective shareholders, renounced any interest or expectancy in, or in being offered an opportunity to participate in, any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shareholders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147955</wp:posOffset>
            </wp:positionV>
            <wp:extent cx="5538470" cy="165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53340</wp:posOffset>
            </wp:positionV>
            <wp:extent cx="6569710" cy="419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Stockholders Agreement</w:t>
      </w:r>
    </w:p>
    <w:p>
      <w:pPr>
        <w:spacing w:after="0" w:line="238" w:lineRule="exact"/>
        <w:rPr>
          <w:sz w:val="20"/>
          <w:szCs w:val="20"/>
          <w:color w:val="auto"/>
        </w:rPr>
      </w:pPr>
    </w:p>
    <w:p>
      <w:pPr>
        <w:ind w:left="780" w:right="259"/>
        <w:spacing w:after="0" w:line="264" w:lineRule="auto"/>
        <w:rPr>
          <w:sz w:val="20"/>
          <w:szCs w:val="20"/>
          <w:color w:val="auto"/>
        </w:rPr>
      </w:pPr>
      <w:r>
        <w:rPr>
          <w:rFonts w:ascii="Arial" w:cs="Arial" w:eastAsia="Arial" w:hAnsi="Arial"/>
          <w:sz w:val="21"/>
          <w:szCs w:val="21"/>
          <w:color w:val="auto"/>
        </w:rPr>
        <w:t>director or officer of ours, such business opportunity is expressly offered to such director or officer in writing solely in his or her capacity as a director or officer of ours.</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Indemnification</w:t>
      </w:r>
    </w:p>
    <w:p>
      <w:pPr>
        <w:spacing w:after="0" w:line="149" w:lineRule="exact"/>
        <w:rPr>
          <w:sz w:val="20"/>
          <w:szCs w:val="20"/>
          <w:color w:val="auto"/>
        </w:rPr>
      </w:pPr>
    </w:p>
    <w:p>
      <w:pPr>
        <w:ind w:left="780" w:right="159"/>
        <w:spacing w:after="0" w:line="265" w:lineRule="auto"/>
        <w:rPr>
          <w:sz w:val="20"/>
          <w:szCs w:val="20"/>
          <w:color w:val="auto"/>
        </w:rPr>
      </w:pPr>
      <w:r>
        <w:rPr>
          <w:rFonts w:ascii="Arial" w:cs="Arial" w:eastAsia="Arial" w:hAnsi="Arial"/>
          <w:sz w:val="19"/>
          <w:szCs w:val="19"/>
          <w:color w:val="auto"/>
        </w:rPr>
        <w:t>Two of our subsidiaries, GTCR, and Warburg Pincus have been named co-defendants in past and present tort lawsuits related to purported emissions and releases of EO from certain facilities. The Company, certain current and former directors and officers, the Sponsors, and the financial institutions that served as underwriters in the Company’s IPO and its March 2021 Secondary Public Offering have been named co-defendants in a putative shareholder class action alleging violations of federal securities laws. Our sponsors have also received subpoenas in connection with various lawsuits against the Company. In satisfaction of our indemnity obligations, we are bearing the costs incurred by indemnitees in defending these actions and/or responding to subpoenas.</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30"/>
          <w:szCs w:val="30"/>
          <w:color w:val="28B5DE"/>
        </w:rPr>
        <w:t>Limitation of Liability and Indemnification of Officers and Directors</w:t>
      </w:r>
    </w:p>
    <w:p>
      <w:pPr>
        <w:spacing w:after="0" w:line="213" w:lineRule="exact"/>
        <w:rPr>
          <w:sz w:val="20"/>
          <w:szCs w:val="20"/>
          <w:color w:val="auto"/>
        </w:rPr>
      </w:pPr>
    </w:p>
    <w:p>
      <w:pPr>
        <w:ind w:left="780" w:right="159"/>
        <w:spacing w:after="0" w:line="246" w:lineRule="auto"/>
        <w:rPr>
          <w:sz w:val="20"/>
          <w:szCs w:val="20"/>
          <w:color w:val="auto"/>
        </w:rPr>
      </w:pPr>
      <w:r>
        <w:rPr>
          <w:rFonts w:ascii="Arial" w:cs="Arial" w:eastAsia="Arial" w:hAnsi="Arial"/>
          <w:sz w:val="20"/>
          <w:szCs w:val="20"/>
          <w:color w:val="auto"/>
        </w:rPr>
        <w:t>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shareholders for breaches of their duties as directors to the fullest extent permitted by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At the 2024 Annual Meeting of Stockholders, our shareholders approved an amendment to our amended and restated certificate of incorporation to add a provision exculpating officers of the Company from personal liability for monetary damages associated with claims of breach of the duty of care as permitted under the DGCL. Consistent with the DGCL, the amendment permits exculpation only for direct claims brought by shareholders (as opposed to derivative claims made by shareholders on behalf of the corporation or claims brought by the Company itself). Further, as with the director exculpation provision contained in our amended and restated certificate of incorporation, the amendment does not apply to breaches of the duty of loyalty, acts or omissions not in good faith or that involve intentional misconduct or a knowing violation of law, or liability arising out of any transaction in which the officer derived an improper personal benefit.</w:t>
      </w:r>
    </w:p>
    <w:p>
      <w:pPr>
        <w:spacing w:after="0" w:line="142" w:lineRule="exact"/>
        <w:rPr>
          <w:sz w:val="20"/>
          <w:szCs w:val="20"/>
          <w:color w:val="auto"/>
        </w:rPr>
      </w:pPr>
    </w:p>
    <w:p>
      <w:pPr>
        <w:ind w:left="780" w:right="199"/>
        <w:spacing w:after="0" w:line="262" w:lineRule="auto"/>
        <w:rPr>
          <w:sz w:val="20"/>
          <w:szCs w:val="20"/>
          <w:color w:val="auto"/>
        </w:rPr>
      </w:pPr>
      <w:r>
        <w:rPr>
          <w:rFonts w:ascii="Arial" w:cs="Arial" w:eastAsia="Arial" w:hAnsi="Arial"/>
          <w:sz w:val="19"/>
          <w:szCs w:val="19"/>
          <w:color w:val="auto"/>
        </w:rPr>
        <w:t>We have entered into indemnification agreements with our directors and officers that are broader than the mandatory indemnification rights required by the DGCL. Each indemnification agreement provides, among other things, for indemnification to the fullest extent permitted by law and our amended and restated certificate of incorporation and amended and restated bylaws against all expenses, judgments, fines and amounts paid in settlement of any claim. The indemnification agreements also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 and in satisfaction of our indemnity obligations, we are bearing the costs of the defense of those current and former directors and officers who have been named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304165</wp:posOffset>
            </wp:positionV>
            <wp:extent cx="494665" cy="165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180340</wp:posOffset>
            </wp:positionV>
            <wp:extent cx="5538470" cy="165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Limitation of Liability and Indemnification of Officers and Directors</w:t>
      </w:r>
    </w:p>
    <w:p>
      <w:pPr>
        <w:spacing w:after="0" w:line="238" w:lineRule="exact"/>
        <w:rPr>
          <w:sz w:val="20"/>
          <w:szCs w:val="20"/>
          <w:color w:val="auto"/>
        </w:rPr>
      </w:pPr>
    </w:p>
    <w:p>
      <w:pPr>
        <w:ind w:left="780" w:right="1340"/>
        <w:spacing w:after="0" w:line="264" w:lineRule="auto"/>
        <w:rPr>
          <w:sz w:val="20"/>
          <w:szCs w:val="20"/>
          <w:color w:val="auto"/>
        </w:rPr>
      </w:pPr>
      <w:r>
        <w:rPr>
          <w:rFonts w:ascii="Arial" w:cs="Arial" w:eastAsia="Arial" w:hAnsi="Arial"/>
          <w:sz w:val="21"/>
          <w:szCs w:val="21"/>
          <w:color w:val="auto"/>
        </w:rPr>
        <w:t>defendants or respondents to subpoenas as described in the preceding section, “Stockholders Agreement — Indemnification.”</w:t>
      </w:r>
    </w:p>
    <w:p>
      <w:pPr>
        <w:spacing w:after="0" w:line="131" w:lineRule="exact"/>
        <w:rPr>
          <w:sz w:val="20"/>
          <w:szCs w:val="20"/>
          <w:color w:val="auto"/>
        </w:rPr>
      </w:pPr>
    </w:p>
    <w:p>
      <w:pPr>
        <w:ind w:left="780" w:right="900"/>
        <w:spacing w:after="0" w:line="237" w:lineRule="auto"/>
        <w:rPr>
          <w:sz w:val="20"/>
          <w:szCs w:val="20"/>
          <w:color w:val="auto"/>
        </w:rPr>
      </w:pPr>
      <w:r>
        <w:rPr>
          <w:rFonts w:ascii="Arial" w:cs="Arial" w:eastAsia="Arial" w:hAnsi="Arial"/>
          <w:sz w:val="21"/>
          <w:szCs w:val="21"/>
          <w:color w:val="auto"/>
        </w:rPr>
        <w:t>The limitation of liability and indemnification provisions included in our amended and restated certificate of incorporation and the indemnification agreements with our directors and officers may discourage shareholders from bringing lawsuits against our directors and officers for alleged breaches of their fiduciary duties. They may also reduce the likelihood of derivative litigation against our directors and officers, even though any such action, if successful, might benefit us and other shareholders. Further, a shareholder’s investment may be adversely affected to the extent that we pay the costs of settlements and awards of damages against directors and officers as required by these indemnification provisions.</w:t>
      </w:r>
    </w:p>
    <w:p>
      <w:pPr>
        <w:spacing w:after="0" w:line="156" w:lineRule="exact"/>
        <w:rPr>
          <w:sz w:val="20"/>
          <w:szCs w:val="20"/>
          <w:color w:val="auto"/>
        </w:rPr>
      </w:pPr>
    </w:p>
    <w:p>
      <w:pPr>
        <w:ind w:left="780" w:right="880"/>
        <w:spacing w:after="0" w:line="268" w:lineRule="auto"/>
        <w:rPr>
          <w:sz w:val="20"/>
          <w:szCs w:val="20"/>
          <w:color w:val="auto"/>
        </w:rPr>
      </w:pPr>
      <w:r>
        <w:rPr>
          <w:rFonts w:ascii="Arial" w:cs="Arial" w:eastAsia="Arial" w:hAnsi="Arial"/>
          <w:sz w:val="19"/>
          <w:szCs w:val="19"/>
          <w:color w:val="auto"/>
        </w:rPr>
        <w:t>We maintain Side-A directors and officers liability insurance policies under which, subject to the terms, conditions, exclusions, and limits of the policies, defense and indemnity coverage is provided to our directors and officers for claims alleging a breach of duty or other wrongful acts as a director or officer, including claims relating to public securities matters. Our directors and officers liability insurance policies since the time of the IPO do not provide coverage to the Company for the Company’s indemnification of directors and officers or for direct claims against the Company.</w:t>
      </w:r>
    </w:p>
    <w:p>
      <w:pPr>
        <w:spacing w:after="0" w:line="120" w:lineRule="exact"/>
        <w:rPr>
          <w:sz w:val="20"/>
          <w:szCs w:val="20"/>
          <w:color w:val="auto"/>
        </w:rPr>
      </w:pPr>
    </w:p>
    <w:p>
      <w:pPr>
        <w:ind w:left="780" w:right="900"/>
        <w:spacing w:after="0" w:line="245" w:lineRule="auto"/>
        <w:rPr>
          <w:sz w:val="20"/>
          <w:szCs w:val="20"/>
          <w:color w:val="auto"/>
        </w:rPr>
      </w:pPr>
      <w:r>
        <w:rPr>
          <w:rFonts w:ascii="Arial" w:cs="Arial" w:eastAsia="Arial" w:hAnsi="Arial"/>
          <w:sz w:val="21"/>
          <w:szCs w:val="21"/>
          <w:color w:val="auto"/>
        </w:rPr>
        <w:t>Certain of our non-employee directors may, through their relationships with their employers, be insured or indemnified against certain liabilities incurred in their capacity as members of our Board. Although directors designated for election to our Board by Warburg Pincus or GTCR may have certain rights to indemnification, advancement of expenses or insurance provided or obtained by Warburg Pincus or GTCR, we have agreed in our Stockholders Agreement that we will be the indemnitor of first resort, will advance the full amount of expenses incurred by each such director and, to the extent that Warburg Pincus or GTCR or their insurers make any payment to, or advance any expenses to, any such director, we will reimburse those investment funds and entities and their insurers for such amounts.</w:t>
      </w:r>
    </w:p>
    <w:p>
      <w:pPr>
        <w:spacing w:after="0" w:line="157" w:lineRule="exact"/>
        <w:rPr>
          <w:sz w:val="20"/>
          <w:szCs w:val="20"/>
          <w:color w:val="auto"/>
        </w:rPr>
      </w:pPr>
    </w:p>
    <w:p>
      <w:pPr>
        <w:ind w:left="780" w:right="820"/>
        <w:spacing w:after="0" w:line="251" w:lineRule="auto"/>
        <w:rPr>
          <w:sz w:val="20"/>
          <w:szCs w:val="20"/>
          <w:color w:val="auto"/>
        </w:rPr>
      </w:pPr>
      <w:r>
        <w:rPr>
          <w:rFonts w:ascii="Arial" w:cs="Arial" w:eastAsia="Arial" w:hAnsi="Arial"/>
          <w:sz w:val="21"/>
          <w:szCs w:val="21"/>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49"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Policies and Procedures for Related Party Transactions</w:t>
      </w:r>
    </w:p>
    <w:p>
      <w:pPr>
        <w:spacing w:after="0" w:line="202" w:lineRule="exact"/>
        <w:rPr>
          <w:sz w:val="20"/>
          <w:szCs w:val="20"/>
          <w:color w:val="auto"/>
        </w:rPr>
      </w:pPr>
    </w:p>
    <w:p>
      <w:pPr>
        <w:ind w:left="780" w:right="880"/>
        <w:spacing w:after="0" w:line="243" w:lineRule="auto"/>
        <w:rPr>
          <w:sz w:val="20"/>
          <w:szCs w:val="20"/>
          <w:color w:val="auto"/>
        </w:rPr>
      </w:pPr>
      <w:r>
        <w:rPr>
          <w:rFonts w:ascii="Arial" w:cs="Arial" w:eastAsia="Arial" w:hAnsi="Arial"/>
          <w:sz w:val="21"/>
          <w:szCs w:val="21"/>
          <w:color w:val="auto"/>
        </w:rPr>
        <w:t>Pursuant to our written related party transactions policy, the Audit Committee of the Board is responsible for evaluating each related party transaction and determining whether the transaction at issue is fair, reasonable and within our policy and whether it should be ratified and approved. The Audit Committee, in making such determinations, considers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reviews, at least annually, a summary of our transactions with our directors and officers and with firms that employ our directors, as well as any other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147955</wp:posOffset>
            </wp:positionV>
            <wp:extent cx="5538470" cy="1651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90</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48" w:lineRule="exact"/>
        <w:rPr>
          <w:sz w:val="20"/>
          <w:szCs w:val="20"/>
          <w:color w:val="auto"/>
        </w:rPr>
      </w:pPr>
    </w:p>
    <w:p>
      <w:pPr>
        <w:jc w:val="right"/>
        <w:ind w:right="159"/>
        <w:spacing w:after="0"/>
        <w:rPr>
          <w:sz w:val="20"/>
          <w:szCs w:val="20"/>
          <w:color w:val="auto"/>
        </w:rPr>
      </w:pPr>
      <w:r>
        <w:rPr>
          <w:rFonts w:ascii="Arial" w:cs="Arial" w:eastAsia="Arial" w:hAnsi="Arial"/>
          <w:sz w:val="14"/>
          <w:szCs w:val="14"/>
          <w:b w:val="1"/>
          <w:bCs w:val="1"/>
          <w:color w:val="auto"/>
        </w:rPr>
        <w:t>Policies and Procedures for Related Party Transactions</w:t>
      </w:r>
    </w:p>
    <w:p>
      <w:pPr>
        <w:spacing w:after="0" w:line="238" w:lineRule="exact"/>
        <w:rPr>
          <w:sz w:val="20"/>
          <w:szCs w:val="20"/>
          <w:color w:val="auto"/>
        </w:rPr>
      </w:pPr>
    </w:p>
    <w:p>
      <w:pPr>
        <w:ind w:left="780" w:right="239"/>
        <w:spacing w:after="0" w:line="261" w:lineRule="auto"/>
        <w:rPr>
          <w:sz w:val="20"/>
          <w:szCs w:val="20"/>
          <w:color w:val="auto"/>
        </w:rPr>
      </w:pPr>
      <w:r>
        <w:rPr>
          <w:rFonts w:ascii="Arial" w:cs="Arial" w:eastAsia="Arial" w:hAnsi="Arial"/>
          <w:sz w:val="21"/>
          <w:szCs w:val="21"/>
          <w:color w:val="auto"/>
        </w:rPr>
        <w:t>Curia Global (“Curia”), is a contract research, development and manufacturing organization, and a customer of our Nelson Labs business segment. Curia is an affiliate of GTCR, one of our Sponsors. In fiscal year 2024, we recorded sales of $1.4 million to Curia.</w:t>
      </w:r>
    </w:p>
    <w:p>
      <w:pPr>
        <w:spacing w:after="0" w:line="134" w:lineRule="exact"/>
        <w:rPr>
          <w:sz w:val="20"/>
          <w:szCs w:val="20"/>
          <w:color w:val="auto"/>
        </w:rPr>
      </w:pPr>
    </w:p>
    <w:p>
      <w:pPr>
        <w:ind w:left="780" w:right="239"/>
        <w:spacing w:after="0" w:line="254" w:lineRule="auto"/>
        <w:rPr>
          <w:sz w:val="20"/>
          <w:szCs w:val="20"/>
          <w:color w:val="auto"/>
        </w:rPr>
      </w:pPr>
      <w:r>
        <w:rPr>
          <w:rFonts w:ascii="Arial" w:cs="Arial" w:eastAsia="Arial" w:hAnsi="Arial"/>
          <w:sz w:val="21"/>
          <w:szCs w:val="21"/>
          <w:color w:val="auto"/>
        </w:rPr>
        <w:t>Quantum Health (“Quantum”) is a consumer health care navigation company, and a vendor to us. Quantum is an affiliate of Warburg Pincus, one of our Sponsors. We paid approximately $0.4 million to Quantum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5983605</wp:posOffset>
            </wp:positionV>
            <wp:extent cx="494665" cy="165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5851525</wp:posOffset>
            </wp:positionV>
            <wp:extent cx="5538470" cy="165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Other Information</w:t>
      </w:r>
    </w:p>
    <w:p>
      <w:pPr>
        <w:spacing w:after="0" w:line="4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2026 Stockholder Proposals</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42"/>
          <w:szCs w:val="42"/>
          <w:b w:val="1"/>
          <w:bCs w:val="1"/>
          <w:color w:val="28B5DE"/>
        </w:rPr>
        <w:t>OTHER INFORMATION</w:t>
      </w:r>
    </w:p>
    <w:p>
      <w:pPr>
        <w:spacing w:after="0" w:line="142"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2026 Stockholder Proposals</w:t>
      </w:r>
    </w:p>
    <w:p>
      <w:pPr>
        <w:spacing w:after="0" w:line="215" w:lineRule="exact"/>
        <w:rPr>
          <w:sz w:val="20"/>
          <w:szCs w:val="20"/>
          <w:color w:val="auto"/>
        </w:rPr>
      </w:pPr>
    </w:p>
    <w:p>
      <w:pPr>
        <w:ind w:left="780" w:right="860"/>
        <w:spacing w:after="0" w:line="244" w:lineRule="auto"/>
        <w:rPr>
          <w:sz w:val="20"/>
          <w:szCs w:val="20"/>
          <w:color w:val="auto"/>
        </w:rPr>
      </w:pPr>
      <w:r>
        <w:rPr>
          <w:rFonts w:ascii="Arial" w:cs="Arial" w:eastAsia="Arial" w:hAnsi="Arial"/>
          <w:sz w:val="21"/>
          <w:szCs w:val="21"/>
          <w:color w:val="auto"/>
        </w:rPr>
        <w:t>Proposals by stockholders for inclusion in our proxy statement and form of proxy for the Annual Meeting to be held in 2026 pursuant to Rule 14a-8 of the Exchange Act should be addressed to the Corporate Secretary, Sotera Health Company, 9100 South Hills Blvd, Suite 300, Broadview Heights, Ohio 44147. Proposals must be received at this address no later than December 11, 2025. To be valid, the proposal must meet the requirements of Rule 14a-8. Upon receipt of a proposal, we will determine whether to include the proposal in the proxy statement and form of proxy in accordance with applicable law. We suggest that proposals be forwarded by certified mail, return receipt requested.</w:t>
      </w:r>
    </w:p>
    <w:p>
      <w:pPr>
        <w:spacing w:after="0" w:line="268" w:lineRule="exact"/>
        <w:rPr>
          <w:sz w:val="20"/>
          <w:szCs w:val="20"/>
          <w:color w:val="auto"/>
        </w:rPr>
      </w:pPr>
    </w:p>
    <w:p>
      <w:pPr>
        <w:ind w:left="780"/>
        <w:spacing w:after="0"/>
        <w:rPr>
          <w:sz w:val="20"/>
          <w:szCs w:val="20"/>
          <w:color w:val="auto"/>
        </w:rPr>
      </w:pPr>
      <w:r>
        <w:rPr>
          <w:rFonts w:ascii="Arial" w:cs="Arial" w:eastAsia="Arial" w:hAnsi="Arial"/>
          <w:sz w:val="31"/>
          <w:szCs w:val="31"/>
          <w:color w:val="28B5DE"/>
        </w:rPr>
        <w:t>Annual Meeting Advance Notice Requirements</w:t>
      </w:r>
    </w:p>
    <w:p>
      <w:pPr>
        <w:spacing w:after="0" w:line="215" w:lineRule="exact"/>
        <w:rPr>
          <w:sz w:val="20"/>
          <w:szCs w:val="20"/>
          <w:color w:val="auto"/>
        </w:rPr>
      </w:pPr>
    </w:p>
    <w:p>
      <w:pPr>
        <w:ind w:left="780" w:right="860"/>
        <w:spacing w:after="0" w:line="271" w:lineRule="auto"/>
        <w:rPr>
          <w:sz w:val="20"/>
          <w:szCs w:val="20"/>
          <w:color w:val="auto"/>
        </w:rPr>
      </w:pPr>
      <w:r>
        <w:rPr>
          <w:rFonts w:ascii="Arial" w:cs="Arial" w:eastAsia="Arial" w:hAnsi="Arial"/>
          <w:sz w:val="19"/>
          <w:szCs w:val="19"/>
          <w:color w:val="auto"/>
        </w:rPr>
        <w:t>Under Article II, Section 2.14 of our amended and restated bylaws, for a stockholder to submit a proposal or to nominate any director at next year’s annual meeting of stockholders, written notice must be addressed to the Corporate Secretary, Sotera Health Company, 9100 South Hills Blvd, Suite 300, Broadview Heights, Ohio 44147 and be received not earlier than the opening of business 120 days before, and not later than the close of business 90 days before, the first anniversary of the date of the preceding year’s annual meeting of stockholders, provided next year’s annual meeting is called for on a date that is within 30 days before or after such anniversary date. Assuming that next year’s annual meeting is held on schedule, we must receive written notice between January 21, 2026 and February 20, 2026 of an intention to introduce a nomination or other item of business at that meeting that meets all the requirements contained in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2941955</wp:posOffset>
            </wp:positionV>
            <wp:extent cx="5538470" cy="16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92</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Questions and Answers About the Proxy Statement and Our 2025 Annual Meeting of Stockholders</w:t>
      </w:r>
    </w:p>
    <w:p>
      <w:pPr>
        <w:spacing w:after="0" w:line="200" w:lineRule="exact"/>
        <w:rPr>
          <w:sz w:val="20"/>
          <w:szCs w:val="20"/>
          <w:color w:val="auto"/>
        </w:rPr>
      </w:pPr>
    </w:p>
    <w:p>
      <w:pPr>
        <w:spacing w:after="0" w:line="218" w:lineRule="exact"/>
        <w:rPr>
          <w:sz w:val="20"/>
          <w:szCs w:val="20"/>
          <w:color w:val="auto"/>
        </w:rPr>
      </w:pPr>
    </w:p>
    <w:p>
      <w:pPr>
        <w:ind w:left="780" w:right="159"/>
        <w:spacing w:after="0" w:line="241" w:lineRule="auto"/>
        <w:rPr>
          <w:sz w:val="20"/>
          <w:szCs w:val="20"/>
          <w:color w:val="auto"/>
        </w:rPr>
      </w:pPr>
      <w:r>
        <w:rPr>
          <w:rFonts w:ascii="Arial" w:cs="Arial" w:eastAsia="Arial" w:hAnsi="Arial"/>
          <w:sz w:val="42"/>
          <w:szCs w:val="42"/>
          <w:b w:val="1"/>
          <w:bCs w:val="1"/>
          <w:color w:val="28B5DE"/>
        </w:rPr>
        <w:t>QUESTIONS AND ANSWERS ABOUT THE PROXY STATEMENT AND OUR 2025 ANNUAL MEETING OF STOCKHOLDERS</w:t>
      </w:r>
    </w:p>
    <w:p>
      <w:pPr>
        <w:spacing w:after="0" w:line="101"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Why am I receiving these materials?</w:t>
      </w:r>
    </w:p>
    <w:p>
      <w:pPr>
        <w:spacing w:after="0" w:line="136" w:lineRule="exact"/>
        <w:rPr>
          <w:sz w:val="20"/>
          <w:szCs w:val="20"/>
          <w:color w:val="auto"/>
        </w:rPr>
      </w:pPr>
    </w:p>
    <w:p>
      <w:pPr>
        <w:ind w:left="1120" w:right="199" w:hanging="337"/>
        <w:spacing w:after="0" w:line="278" w:lineRule="auto"/>
        <w:tabs>
          <w:tab w:leader="none" w:pos="1120" w:val="left"/>
        </w:tabs>
        <w:numPr>
          <w:ilvl w:val="0"/>
          <w:numId w:val="68"/>
        </w:numPr>
        <w:rPr>
          <w:rFonts w:ascii="Arial" w:cs="Arial" w:eastAsia="Arial" w:hAnsi="Arial"/>
          <w:sz w:val="19"/>
          <w:szCs w:val="19"/>
          <w:b w:val="1"/>
          <w:bCs w:val="1"/>
          <w:color w:val="28B5DE"/>
        </w:rPr>
      </w:pPr>
      <w:r>
        <w:rPr>
          <w:rFonts w:ascii="Arial" w:cs="Arial" w:eastAsia="Arial" w:hAnsi="Arial"/>
          <w:sz w:val="19"/>
          <w:szCs w:val="19"/>
          <w:color w:val="auto"/>
        </w:rPr>
        <w:t>The Board is providing these materials to you in connection with its solicitation of proxies for use at the Company’s Annual Meeting. The Annual Meeting will be held on Wednesday, May 21, 2025. The Annual Meeting will be held online at www.virtualshareholdermeeting.com/SHC2025 via a live audio webcast. Stockholders are invited to attend the Annual Meeting via the live audio webcast and to vote on the proposals described in this Proxy Statement.</w:t>
      </w:r>
    </w:p>
    <w:p>
      <w:pPr>
        <w:spacing w:after="0" w:line="84" w:lineRule="exact"/>
        <w:rPr>
          <w:rFonts w:ascii="Arial" w:cs="Arial" w:eastAsia="Arial" w:hAnsi="Arial"/>
          <w:sz w:val="19"/>
          <w:szCs w:val="19"/>
          <w:b w:val="1"/>
          <w:bCs w:val="1"/>
          <w:color w:val="28B5DE"/>
        </w:rPr>
      </w:pPr>
    </w:p>
    <w:p>
      <w:pPr>
        <w:ind w:left="1120" w:right="159"/>
        <w:spacing w:after="0" w:line="264" w:lineRule="auto"/>
        <w:rPr>
          <w:rFonts w:ascii="Arial" w:cs="Arial" w:eastAsia="Arial" w:hAnsi="Arial"/>
          <w:sz w:val="19"/>
          <w:szCs w:val="19"/>
          <w:b w:val="1"/>
          <w:bCs w:val="1"/>
          <w:color w:val="28B5DE"/>
        </w:rPr>
      </w:pPr>
      <w:r>
        <w:rPr>
          <w:rFonts w:ascii="Arial" w:cs="Arial" w:eastAsia="Arial" w:hAnsi="Arial"/>
          <w:sz w:val="21"/>
          <w:szCs w:val="21"/>
          <w:color w:val="auto"/>
        </w:rPr>
        <w:t>These proxy materials are being provided on or about April 10, 2025 to all stockholders of record of Sotera Health as of March 28, 2025.</w:t>
      </w:r>
    </w:p>
    <w:p>
      <w:pPr>
        <w:spacing w:after="0" w:line="140"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What information is contained in these materials?</w:t>
      </w:r>
    </w:p>
    <w:p>
      <w:pPr>
        <w:spacing w:after="0" w:line="123" w:lineRule="exact"/>
        <w:rPr>
          <w:sz w:val="20"/>
          <w:szCs w:val="20"/>
          <w:color w:val="auto"/>
        </w:rPr>
      </w:pPr>
    </w:p>
    <w:p>
      <w:pPr>
        <w:ind w:left="1120" w:right="819" w:hanging="337"/>
        <w:spacing w:after="0" w:line="254" w:lineRule="auto"/>
        <w:tabs>
          <w:tab w:leader="none" w:pos="1120" w:val="left"/>
        </w:tabs>
        <w:numPr>
          <w:ilvl w:val="0"/>
          <w:numId w:val="69"/>
        </w:numPr>
        <w:rPr>
          <w:rFonts w:ascii="Arial" w:cs="Arial" w:eastAsia="Arial" w:hAnsi="Arial"/>
          <w:sz w:val="21"/>
          <w:szCs w:val="21"/>
          <w:b w:val="1"/>
          <w:bCs w:val="1"/>
          <w:color w:val="28B5DE"/>
        </w:rPr>
      </w:pPr>
      <w:r>
        <w:rPr>
          <w:rFonts w:ascii="Arial" w:cs="Arial" w:eastAsia="Arial" w:hAnsi="Arial"/>
          <w:sz w:val="21"/>
          <w:szCs w:val="21"/>
          <w:color w:val="auto"/>
        </w:rPr>
        <w:t>This Proxy Statement contains important information regarding the Annual Meeting, the proposals on which you are being asked to vote, the voting process and procedures, and information you may find useful in determining how to vote.</w:t>
      </w:r>
    </w:p>
    <w:p>
      <w:pPr>
        <w:spacing w:after="0" w:line="102" w:lineRule="exact"/>
        <w:rPr>
          <w:rFonts w:ascii="Arial" w:cs="Arial" w:eastAsia="Arial" w:hAnsi="Arial"/>
          <w:sz w:val="21"/>
          <w:szCs w:val="21"/>
          <w:b w:val="1"/>
          <w:bCs w:val="1"/>
          <w:color w:val="28B5DE"/>
        </w:rPr>
      </w:pPr>
    </w:p>
    <w:p>
      <w:pPr>
        <w:ind w:left="1120" w:right="259"/>
        <w:spacing w:after="0" w:line="262" w:lineRule="auto"/>
        <w:rPr>
          <w:rFonts w:ascii="Arial" w:cs="Arial" w:eastAsia="Arial" w:hAnsi="Arial"/>
          <w:sz w:val="21"/>
          <w:szCs w:val="21"/>
          <w:b w:val="1"/>
          <w:bCs w:val="1"/>
          <w:color w:val="28B5DE"/>
        </w:rPr>
      </w:pPr>
      <w:r>
        <w:rPr>
          <w:rFonts w:ascii="Arial" w:cs="Arial" w:eastAsia="Arial" w:hAnsi="Arial"/>
          <w:sz w:val="20"/>
          <w:szCs w:val="20"/>
          <w:color w:val="auto"/>
        </w:rPr>
        <w:t>If you requested to receive printed proxy materials, these materials also include an accompanying proxy card. If you received more than one proxy card, this generally means your shares are registered differently or are in more than one account. Please provide voting instructions for each proxy card or, if you vote via the internet or by telephone, vote once for each proxy card you receive to ensure all your shares are voted.</w:t>
      </w:r>
    </w:p>
    <w:p>
      <w:pPr>
        <w:spacing w:after="0" w:line="156" w:lineRule="exact"/>
        <w:rPr>
          <w:sz w:val="20"/>
          <w:szCs w:val="20"/>
          <w:color w:val="auto"/>
        </w:rPr>
      </w:pPr>
    </w:p>
    <w:p>
      <w:pPr>
        <w:ind w:left="1120" w:right="499" w:hanging="337"/>
        <w:spacing w:after="0" w:line="263" w:lineRule="auto"/>
        <w:tabs>
          <w:tab w:leader="none" w:pos="1120" w:val="left"/>
        </w:tabs>
        <w:numPr>
          <w:ilvl w:val="0"/>
          <w:numId w:val="70"/>
        </w:numPr>
        <w:rPr>
          <w:rFonts w:ascii="Arial" w:cs="Arial" w:eastAsia="Arial" w:hAnsi="Arial"/>
          <w:sz w:val="28"/>
          <w:szCs w:val="28"/>
          <w:color w:val="auto"/>
        </w:rPr>
      </w:pPr>
      <w:r>
        <w:rPr>
          <w:rFonts w:ascii="Arial" w:cs="Arial" w:eastAsia="Arial" w:hAnsi="Arial"/>
          <w:sz w:val="28"/>
          <w:szCs w:val="28"/>
          <w:color w:val="auto"/>
        </w:rPr>
        <w:t>What proposals will be voted on at the Annual Meeting? What are the Board’s recommendations?</w:t>
      </w:r>
    </w:p>
    <w:p>
      <w:pPr>
        <w:spacing w:after="0" w:line="64" w:lineRule="exact"/>
        <w:rPr>
          <w:sz w:val="20"/>
          <w:szCs w:val="20"/>
          <w:color w:val="auto"/>
        </w:rPr>
      </w:pPr>
    </w:p>
    <w:p>
      <w:pPr>
        <w:ind w:left="1120" w:right="799" w:hanging="337"/>
        <w:spacing w:after="0" w:line="264" w:lineRule="auto"/>
        <w:tabs>
          <w:tab w:leader="none" w:pos="1120" w:val="left"/>
        </w:tabs>
        <w:numPr>
          <w:ilvl w:val="0"/>
          <w:numId w:val="71"/>
        </w:numPr>
        <w:rPr>
          <w:rFonts w:ascii="Arial" w:cs="Arial" w:eastAsia="Arial" w:hAnsi="Arial"/>
          <w:sz w:val="21"/>
          <w:szCs w:val="21"/>
          <w:b w:val="1"/>
          <w:bCs w:val="1"/>
          <w:color w:val="28B5DE"/>
        </w:rPr>
      </w:pPr>
      <w:r>
        <w:rPr>
          <w:rFonts w:ascii="Arial" w:cs="Arial" w:eastAsia="Arial" w:hAnsi="Arial"/>
          <w:sz w:val="21"/>
          <w:szCs w:val="21"/>
          <w:color w:val="auto"/>
        </w:rPr>
        <w:t>The following table describes the proposals to be voted on at the Annual Meeting and the Board’s voting recommendations:</w:t>
      </w:r>
    </w:p>
    <w:p>
      <w:pPr>
        <w:spacing w:after="0" w:line="286" w:lineRule="exact"/>
        <w:rPr>
          <w:sz w:val="20"/>
          <w:szCs w:val="20"/>
          <w:color w:val="auto"/>
        </w:rPr>
      </w:pPr>
    </w:p>
    <w:tbl>
      <w:tblPr>
        <w:tblLayout w:type="fixed"/>
        <w:tblInd w:w="780" w:type="dxa"/>
        <w:tblCellMar>
          <w:top w:w="0" w:type="dxa"/>
          <w:left w:w="0" w:type="dxa"/>
          <w:bottom w:w="0" w:type="dxa"/>
          <w:right w:w="0" w:type="dxa"/>
        </w:tblCellMar>
      </w:tblPr>
      <w:tr>
        <w:trPr>
          <w:trHeight w:val="218"/>
        </w:trPr>
        <w:tc>
          <w:tcPr>
            <w:tcW w:w="6300" w:type="dxa"/>
            <w:vAlign w:val="bottom"/>
            <w:tcBorders>
              <w:bottom w:val="single" w:sz="8" w:color="435F86"/>
            </w:tcBorders>
            <w:gridSpan w:val="2"/>
          </w:tcPr>
          <w:p>
            <w:pPr>
              <w:ind w:left="100"/>
              <w:spacing w:after="0"/>
              <w:rPr>
                <w:sz w:val="20"/>
                <w:szCs w:val="20"/>
                <w:color w:val="auto"/>
              </w:rPr>
            </w:pPr>
            <w:r>
              <w:rPr>
                <w:rFonts w:ascii="Arial" w:cs="Arial" w:eastAsia="Arial" w:hAnsi="Arial"/>
                <w:sz w:val="16"/>
                <w:szCs w:val="16"/>
                <w:b w:val="1"/>
                <w:bCs w:val="1"/>
                <w:color w:val="435F86"/>
              </w:rPr>
              <w:t>Proposal</w:t>
            </w:r>
          </w:p>
        </w:tc>
        <w:tc>
          <w:tcPr>
            <w:tcW w:w="2420" w:type="dxa"/>
            <w:vAlign w:val="bottom"/>
            <w:tcBorders>
              <w:bottom w:val="single" w:sz="8" w:color="435F86"/>
            </w:tcBorders>
          </w:tcPr>
          <w:p>
            <w:pPr>
              <w:jc w:val="center"/>
              <w:spacing w:after="0"/>
              <w:rPr>
                <w:sz w:val="20"/>
                <w:szCs w:val="20"/>
                <w:color w:val="auto"/>
              </w:rPr>
            </w:pPr>
            <w:r>
              <w:rPr>
                <w:rFonts w:ascii="Arial" w:cs="Arial" w:eastAsia="Arial" w:hAnsi="Arial"/>
                <w:sz w:val="16"/>
                <w:szCs w:val="16"/>
                <w:b w:val="1"/>
                <w:bCs w:val="1"/>
                <w:color w:val="435F86"/>
                <w:w w:val="93"/>
              </w:rPr>
              <w:t>Board Voting Recommendation</w:t>
            </w:r>
          </w:p>
        </w:tc>
        <w:tc>
          <w:tcPr>
            <w:tcW w:w="0" w:type="dxa"/>
            <w:vAlign w:val="bottom"/>
          </w:tcPr>
          <w:p>
            <w:pPr>
              <w:spacing w:after="0"/>
              <w:rPr>
                <w:sz w:val="1"/>
                <w:szCs w:val="1"/>
                <w:color w:val="auto"/>
              </w:rPr>
            </w:pPr>
          </w:p>
        </w:tc>
      </w:tr>
      <w:tr>
        <w:trPr>
          <w:trHeight w:val="298"/>
        </w:trPr>
        <w:tc>
          <w:tcPr>
            <w:tcW w:w="340" w:type="dxa"/>
            <w:vAlign w:val="bottom"/>
          </w:tcPr>
          <w:p>
            <w:pPr>
              <w:ind w:left="100"/>
              <w:spacing w:after="0"/>
              <w:rPr>
                <w:sz w:val="20"/>
                <w:szCs w:val="20"/>
                <w:color w:val="auto"/>
              </w:rPr>
            </w:pPr>
            <w:r>
              <w:rPr>
                <w:rFonts w:ascii="Arial" w:cs="Arial" w:eastAsia="Arial" w:hAnsi="Arial"/>
                <w:sz w:val="17"/>
                <w:szCs w:val="17"/>
                <w:b w:val="1"/>
                <w:bCs w:val="1"/>
                <w:color w:val="435F86"/>
              </w:rPr>
              <w:t>1.</w:t>
            </w:r>
          </w:p>
        </w:tc>
        <w:tc>
          <w:tcPr>
            <w:tcW w:w="5960" w:type="dxa"/>
            <w:vAlign w:val="bottom"/>
          </w:tcPr>
          <w:p>
            <w:pPr>
              <w:ind w:left="120"/>
              <w:spacing w:after="0"/>
              <w:rPr>
                <w:sz w:val="20"/>
                <w:szCs w:val="20"/>
                <w:color w:val="auto"/>
              </w:rPr>
            </w:pPr>
            <w:r>
              <w:rPr>
                <w:rFonts w:ascii="Arial" w:cs="Arial" w:eastAsia="Arial" w:hAnsi="Arial"/>
                <w:sz w:val="17"/>
                <w:szCs w:val="17"/>
                <w:color w:val="auto"/>
                <w:w w:val="97"/>
              </w:rPr>
              <w:t>Election of Ruoxi Chen, Karen A. Flynn and Ann R. Klee as Class II directors to</w:t>
            </w:r>
          </w:p>
        </w:tc>
        <w:tc>
          <w:tcPr>
            <w:tcW w:w="2420" w:type="dxa"/>
            <w:vAlign w:val="bottom"/>
          </w:tcPr>
          <w:p>
            <w:pPr>
              <w:jc w:val="center"/>
              <w:spacing w:after="0"/>
              <w:rPr>
                <w:sz w:val="20"/>
                <w:szCs w:val="20"/>
                <w:color w:val="auto"/>
              </w:rPr>
            </w:pPr>
            <w:r>
              <w:rPr>
                <w:rFonts w:ascii="Arial" w:cs="Arial" w:eastAsia="Arial" w:hAnsi="Arial"/>
                <w:sz w:val="24"/>
                <w:szCs w:val="24"/>
                <w:b w:val="1"/>
                <w:bCs w:val="1"/>
                <w:color w:val="435F86"/>
                <w:w w:val="98"/>
              </w:rPr>
              <w:t>FOR</w:t>
            </w:r>
          </w:p>
        </w:tc>
        <w:tc>
          <w:tcPr>
            <w:tcW w:w="0" w:type="dxa"/>
            <w:vAlign w:val="bottom"/>
          </w:tcPr>
          <w:p>
            <w:pPr>
              <w:spacing w:after="0"/>
              <w:rPr>
                <w:sz w:val="1"/>
                <w:szCs w:val="1"/>
                <w:color w:val="auto"/>
              </w:rPr>
            </w:pPr>
          </w:p>
        </w:tc>
      </w:tr>
      <w:tr>
        <w:trPr>
          <w:trHeight w:val="321"/>
        </w:trPr>
        <w:tc>
          <w:tcPr>
            <w:tcW w:w="340" w:type="dxa"/>
            <w:vAlign w:val="bottom"/>
          </w:tcPr>
          <w:p>
            <w:pPr>
              <w:spacing w:after="0"/>
              <w:rPr>
                <w:sz w:val="24"/>
                <w:szCs w:val="24"/>
                <w:color w:val="auto"/>
              </w:rPr>
            </w:pPr>
          </w:p>
        </w:tc>
        <w:tc>
          <w:tcPr>
            <w:tcW w:w="5960" w:type="dxa"/>
            <w:vAlign w:val="bottom"/>
          </w:tcPr>
          <w:p>
            <w:pPr>
              <w:ind w:left="120"/>
              <w:spacing w:after="0"/>
              <w:rPr>
                <w:sz w:val="20"/>
                <w:szCs w:val="20"/>
                <w:color w:val="auto"/>
              </w:rPr>
            </w:pPr>
            <w:r>
              <w:rPr>
                <w:rFonts w:ascii="Arial" w:cs="Arial" w:eastAsia="Arial" w:hAnsi="Arial"/>
                <w:sz w:val="17"/>
                <w:szCs w:val="17"/>
                <w:color w:val="auto"/>
              </w:rPr>
              <w:t>our Board</w:t>
            </w:r>
          </w:p>
        </w:tc>
        <w:tc>
          <w:tcPr>
            <w:tcW w:w="2420" w:type="dxa"/>
            <w:vAlign w:val="bottom"/>
          </w:tcPr>
          <w:p>
            <w:pPr>
              <w:ind w:left="360"/>
              <w:spacing w:after="0"/>
              <w:rPr>
                <w:sz w:val="20"/>
                <w:szCs w:val="20"/>
                <w:color w:val="auto"/>
              </w:rPr>
            </w:pPr>
            <w:r>
              <w:rPr>
                <w:rFonts w:ascii="Arial" w:cs="Arial" w:eastAsia="Arial" w:hAnsi="Arial"/>
                <w:sz w:val="17"/>
                <w:szCs w:val="17"/>
                <w:color w:val="auto"/>
              </w:rPr>
              <w:t>these director nominees</w:t>
            </w:r>
            <w:r>
              <w:rPr>
                <w:rFonts w:ascii="Arial" w:cs="Arial" w:eastAsia="Arial" w:hAnsi="Arial"/>
                <w:sz w:val="24"/>
                <w:szCs w:val="24"/>
                <w:color w:val="auto"/>
              </w:rPr>
              <w:t>​</w:t>
            </w:r>
          </w:p>
        </w:tc>
        <w:tc>
          <w:tcPr>
            <w:tcW w:w="0" w:type="dxa"/>
            <w:vAlign w:val="bottom"/>
          </w:tcPr>
          <w:p>
            <w:pPr>
              <w:spacing w:after="0"/>
              <w:rPr>
                <w:sz w:val="1"/>
                <w:szCs w:val="1"/>
                <w:color w:val="auto"/>
              </w:rPr>
            </w:pPr>
          </w:p>
        </w:tc>
      </w:tr>
      <w:tr>
        <w:trPr>
          <w:trHeight w:val="39"/>
        </w:trPr>
        <w:tc>
          <w:tcPr>
            <w:tcW w:w="340" w:type="dxa"/>
            <w:vAlign w:val="bottom"/>
            <w:tcBorders>
              <w:bottom w:val="single" w:sz="8" w:color="A1AFC2"/>
            </w:tcBorders>
          </w:tcPr>
          <w:p>
            <w:pPr>
              <w:spacing w:after="0"/>
              <w:rPr>
                <w:sz w:val="3"/>
                <w:szCs w:val="3"/>
                <w:color w:val="auto"/>
              </w:rPr>
            </w:pPr>
          </w:p>
        </w:tc>
        <w:tc>
          <w:tcPr>
            <w:tcW w:w="5960" w:type="dxa"/>
            <w:vAlign w:val="bottom"/>
            <w:tcBorders>
              <w:bottom w:val="single" w:sz="8" w:color="A1AFC2"/>
            </w:tcBorders>
          </w:tcPr>
          <w:p>
            <w:pPr>
              <w:spacing w:after="0"/>
              <w:rPr>
                <w:sz w:val="3"/>
                <w:szCs w:val="3"/>
                <w:color w:val="auto"/>
              </w:rPr>
            </w:pPr>
          </w:p>
        </w:tc>
        <w:tc>
          <w:tcPr>
            <w:tcW w:w="2420" w:type="dxa"/>
            <w:vAlign w:val="bottom"/>
            <w:tcBorders>
              <w:bottom w:val="single" w:sz="8" w:color="A1AFC2"/>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0" w:type="dxa"/>
            <w:vAlign w:val="bottom"/>
          </w:tcPr>
          <w:p>
            <w:pPr>
              <w:ind w:left="100"/>
              <w:spacing w:after="0"/>
              <w:rPr>
                <w:sz w:val="20"/>
                <w:szCs w:val="20"/>
                <w:color w:val="auto"/>
              </w:rPr>
            </w:pPr>
            <w:r>
              <w:rPr>
                <w:rFonts w:ascii="Arial" w:cs="Arial" w:eastAsia="Arial" w:hAnsi="Arial"/>
                <w:sz w:val="17"/>
                <w:szCs w:val="17"/>
                <w:b w:val="1"/>
                <w:bCs w:val="1"/>
                <w:color w:val="435F86"/>
              </w:rPr>
              <w:t>2.</w:t>
            </w:r>
          </w:p>
        </w:tc>
        <w:tc>
          <w:tcPr>
            <w:tcW w:w="5960" w:type="dxa"/>
            <w:vAlign w:val="bottom"/>
          </w:tcPr>
          <w:p>
            <w:pPr>
              <w:ind w:left="100"/>
              <w:spacing w:after="0"/>
              <w:rPr>
                <w:sz w:val="20"/>
                <w:szCs w:val="20"/>
                <w:color w:val="auto"/>
              </w:rPr>
            </w:pPr>
            <w:r>
              <w:rPr>
                <w:rFonts w:ascii="Arial" w:cs="Arial" w:eastAsia="Arial" w:hAnsi="Arial"/>
                <w:sz w:val="17"/>
                <w:szCs w:val="17"/>
                <w:color w:val="auto"/>
              </w:rPr>
              <w:t>Approval, on an advisory basis, of the compensation of our named executive</w:t>
            </w:r>
          </w:p>
        </w:tc>
        <w:tc>
          <w:tcPr>
            <w:tcW w:w="2420" w:type="dxa"/>
            <w:vAlign w:val="bottom"/>
            <w:vMerge w:val="restart"/>
          </w:tcPr>
          <w:p>
            <w:pPr>
              <w:jc w:val="center"/>
              <w:spacing w:after="0"/>
              <w:rPr>
                <w:sz w:val="20"/>
                <w:szCs w:val="20"/>
                <w:color w:val="auto"/>
              </w:rPr>
            </w:pPr>
            <w:r>
              <w:rPr>
                <w:rFonts w:ascii="Arial" w:cs="Arial" w:eastAsia="Arial" w:hAnsi="Arial"/>
                <w:sz w:val="24"/>
                <w:szCs w:val="24"/>
                <w:b w:val="1"/>
                <w:bCs w:val="1"/>
                <w:color w:val="435F86"/>
                <w:w w:val="98"/>
              </w:rPr>
              <w:t>FOR</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60" w:type="dxa"/>
            <w:vAlign w:val="bottom"/>
          </w:tcPr>
          <w:p>
            <w:pPr>
              <w:ind w:left="100"/>
              <w:spacing w:after="0"/>
              <w:rPr>
                <w:sz w:val="20"/>
                <w:szCs w:val="20"/>
                <w:color w:val="auto"/>
              </w:rPr>
            </w:pPr>
            <w:r>
              <w:rPr>
                <w:rFonts w:ascii="Arial" w:cs="Arial" w:eastAsia="Arial" w:hAnsi="Arial"/>
                <w:sz w:val="17"/>
                <w:szCs w:val="17"/>
                <w:color w:val="auto"/>
              </w:rPr>
              <w:t>officers</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340" w:type="dxa"/>
            <w:vAlign w:val="bottom"/>
            <w:tcBorders>
              <w:bottom w:val="single" w:sz="8" w:color="A1AFC2"/>
            </w:tcBorders>
          </w:tcPr>
          <w:p>
            <w:pPr>
              <w:spacing w:after="0"/>
              <w:rPr>
                <w:sz w:val="5"/>
                <w:szCs w:val="5"/>
                <w:color w:val="auto"/>
              </w:rPr>
            </w:pPr>
          </w:p>
        </w:tc>
        <w:tc>
          <w:tcPr>
            <w:tcW w:w="5960" w:type="dxa"/>
            <w:vAlign w:val="bottom"/>
            <w:tcBorders>
              <w:bottom w:val="single" w:sz="8" w:color="A1AFC2"/>
            </w:tcBorders>
          </w:tcPr>
          <w:p>
            <w:pPr>
              <w:spacing w:after="0"/>
              <w:rPr>
                <w:sz w:val="5"/>
                <w:szCs w:val="5"/>
                <w:color w:val="auto"/>
              </w:rPr>
            </w:pPr>
          </w:p>
        </w:tc>
        <w:tc>
          <w:tcPr>
            <w:tcW w:w="2420" w:type="dxa"/>
            <w:vAlign w:val="bottom"/>
            <w:tcBorders>
              <w:bottom w:val="single" w:sz="8" w:color="A1AFC2"/>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0" w:type="dxa"/>
            <w:vAlign w:val="bottom"/>
          </w:tcPr>
          <w:p>
            <w:pPr>
              <w:ind w:left="100"/>
              <w:spacing w:after="0"/>
              <w:rPr>
                <w:sz w:val="20"/>
                <w:szCs w:val="20"/>
                <w:color w:val="auto"/>
              </w:rPr>
            </w:pPr>
            <w:r>
              <w:rPr>
                <w:rFonts w:ascii="Arial" w:cs="Arial" w:eastAsia="Arial" w:hAnsi="Arial"/>
                <w:sz w:val="17"/>
                <w:szCs w:val="17"/>
                <w:b w:val="1"/>
                <w:bCs w:val="1"/>
                <w:color w:val="435F86"/>
              </w:rPr>
              <w:t>3.</w:t>
            </w:r>
          </w:p>
        </w:tc>
        <w:tc>
          <w:tcPr>
            <w:tcW w:w="5960" w:type="dxa"/>
            <w:vAlign w:val="bottom"/>
          </w:tcPr>
          <w:p>
            <w:pPr>
              <w:ind w:left="120"/>
              <w:spacing w:after="0"/>
              <w:rPr>
                <w:sz w:val="20"/>
                <w:szCs w:val="20"/>
                <w:color w:val="auto"/>
              </w:rPr>
            </w:pPr>
            <w:r>
              <w:rPr>
                <w:rFonts w:ascii="Arial" w:cs="Arial" w:eastAsia="Arial" w:hAnsi="Arial"/>
                <w:sz w:val="17"/>
                <w:szCs w:val="17"/>
                <w:color w:val="auto"/>
              </w:rPr>
              <w:t>Ratification of the appointment of Ernst &amp; Young LLP as our independent</w:t>
            </w:r>
          </w:p>
        </w:tc>
        <w:tc>
          <w:tcPr>
            <w:tcW w:w="2420" w:type="dxa"/>
            <w:vAlign w:val="bottom"/>
            <w:vMerge w:val="restart"/>
          </w:tcPr>
          <w:p>
            <w:pPr>
              <w:jc w:val="center"/>
              <w:spacing w:after="0"/>
              <w:rPr>
                <w:sz w:val="20"/>
                <w:szCs w:val="20"/>
                <w:color w:val="auto"/>
              </w:rPr>
            </w:pPr>
            <w:r>
              <w:rPr>
                <w:rFonts w:ascii="Arial" w:cs="Arial" w:eastAsia="Arial" w:hAnsi="Arial"/>
                <w:sz w:val="24"/>
                <w:szCs w:val="24"/>
                <w:b w:val="1"/>
                <w:bCs w:val="1"/>
                <w:color w:val="435F86"/>
                <w:w w:val="98"/>
              </w:rPr>
              <w:t>FOR</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960" w:type="dxa"/>
            <w:vAlign w:val="bottom"/>
          </w:tcPr>
          <w:p>
            <w:pPr>
              <w:ind w:left="120"/>
              <w:spacing w:after="0"/>
              <w:rPr>
                <w:sz w:val="20"/>
                <w:szCs w:val="20"/>
                <w:color w:val="auto"/>
              </w:rPr>
            </w:pPr>
            <w:r>
              <w:rPr>
                <w:rFonts w:ascii="Arial" w:cs="Arial" w:eastAsia="Arial" w:hAnsi="Arial"/>
                <w:sz w:val="17"/>
                <w:szCs w:val="17"/>
                <w:color w:val="auto"/>
                <w:w w:val="98"/>
              </w:rPr>
              <w:t>registered public accounting firm for the fiscal year ending December 31, 2025</w:t>
            </w:r>
          </w:p>
        </w:tc>
        <w:tc>
          <w:tcPr>
            <w:tcW w:w="2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7"/>
        </w:trPr>
        <w:tc>
          <w:tcPr>
            <w:tcW w:w="340" w:type="dxa"/>
            <w:vAlign w:val="bottom"/>
            <w:tcBorders>
              <w:bottom w:val="single" w:sz="8" w:color="435F86"/>
            </w:tcBorders>
          </w:tcPr>
          <w:p>
            <w:pPr>
              <w:spacing w:after="0"/>
              <w:rPr>
                <w:sz w:val="7"/>
                <w:szCs w:val="7"/>
                <w:color w:val="auto"/>
              </w:rPr>
            </w:pPr>
          </w:p>
        </w:tc>
        <w:tc>
          <w:tcPr>
            <w:tcW w:w="5960" w:type="dxa"/>
            <w:vAlign w:val="bottom"/>
            <w:tcBorders>
              <w:bottom w:val="single" w:sz="8" w:color="435F86"/>
            </w:tcBorders>
          </w:tcPr>
          <w:p>
            <w:pPr>
              <w:spacing w:after="0"/>
              <w:rPr>
                <w:sz w:val="7"/>
                <w:szCs w:val="7"/>
                <w:color w:val="auto"/>
              </w:rPr>
            </w:pPr>
          </w:p>
        </w:tc>
        <w:tc>
          <w:tcPr>
            <w:tcW w:w="2420" w:type="dxa"/>
            <w:vAlign w:val="bottom"/>
            <w:tcBorders>
              <w:bottom w:val="single" w:sz="8" w:color="435F8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120" w:right="479"/>
        <w:spacing w:after="0" w:line="261" w:lineRule="auto"/>
        <w:rPr>
          <w:sz w:val="20"/>
          <w:szCs w:val="20"/>
          <w:color w:val="auto"/>
        </w:rPr>
      </w:pPr>
      <w:r>
        <w:rPr>
          <w:rFonts w:ascii="Arial" w:cs="Arial" w:eastAsia="Arial" w:hAnsi="Arial"/>
          <w:sz w:val="21"/>
          <w:szCs w:val="21"/>
          <w:color w:val="auto"/>
        </w:rPr>
        <w:t>At the time this Proxy Statement was mailed, we were not aware of any other matters to be presented at the Annual Meeting other than those set forth in this Proxy Statement and in the notice accompanying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299720</wp:posOffset>
            </wp:positionV>
            <wp:extent cx="494665" cy="165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175895</wp:posOffset>
            </wp:positionV>
            <wp:extent cx="5538470" cy="165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360045</wp:posOffset>
            </wp:positionV>
            <wp:extent cx="6569710" cy="4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Questions and Answers About the Proxy Statement and Our 2025 Annual Meeting of Stockholders</w:t>
      </w:r>
    </w:p>
    <w:p>
      <w:pPr>
        <w:spacing w:after="0" w:line="200" w:lineRule="exact"/>
        <w:rPr>
          <w:sz w:val="20"/>
          <w:szCs w:val="20"/>
          <w:color w:val="auto"/>
        </w:rPr>
      </w:pPr>
    </w:p>
    <w:p>
      <w:pPr>
        <w:spacing w:after="0" w:line="242"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What is the record date? How many shares are entitled to vote?</w:t>
      </w:r>
    </w:p>
    <w:p>
      <w:pPr>
        <w:spacing w:after="0" w:line="136" w:lineRule="exact"/>
        <w:rPr>
          <w:sz w:val="20"/>
          <w:szCs w:val="20"/>
          <w:color w:val="auto"/>
        </w:rPr>
      </w:pPr>
    </w:p>
    <w:p>
      <w:pPr>
        <w:ind w:left="1120" w:right="840" w:hanging="337"/>
        <w:spacing w:after="0" w:line="249" w:lineRule="auto"/>
        <w:tabs>
          <w:tab w:leader="none" w:pos="1120" w:val="left"/>
        </w:tabs>
        <w:numPr>
          <w:ilvl w:val="0"/>
          <w:numId w:val="72"/>
        </w:numPr>
        <w:rPr>
          <w:rFonts w:ascii="Arial" w:cs="Arial" w:eastAsia="Arial" w:hAnsi="Arial"/>
          <w:sz w:val="21"/>
          <w:szCs w:val="21"/>
          <w:b w:val="1"/>
          <w:bCs w:val="1"/>
          <w:color w:val="28B5DE"/>
        </w:rPr>
      </w:pPr>
      <w:r>
        <w:rPr>
          <w:rFonts w:ascii="Arial" w:cs="Arial" w:eastAsia="Arial" w:hAnsi="Arial"/>
          <w:sz w:val="21"/>
          <w:szCs w:val="21"/>
          <w:color w:val="auto"/>
        </w:rPr>
        <w:t>Stockholders who own Sotera Health common stock at the close of business on March 28, 2025, the record date, are entitled to vote at the Annual Meeting. On the record date, there were 283,855,074 shares of outstanding common stock of Sotera Health. Each share of Sotera Health common stock is entitled to one vote for each director nominee and one vote for each of the proposals to be voted on.</w:t>
      </w:r>
    </w:p>
    <w:p>
      <w:pPr>
        <w:spacing w:after="0" w:line="171" w:lineRule="exact"/>
        <w:rPr>
          <w:sz w:val="20"/>
          <w:szCs w:val="20"/>
          <w:color w:val="auto"/>
        </w:rPr>
      </w:pPr>
    </w:p>
    <w:p>
      <w:pPr>
        <w:ind w:left="1120" w:right="1540" w:hanging="337"/>
        <w:spacing w:after="0" w:line="263" w:lineRule="auto"/>
        <w:tabs>
          <w:tab w:leader="none" w:pos="1120" w:val="left"/>
        </w:tabs>
        <w:numPr>
          <w:ilvl w:val="0"/>
          <w:numId w:val="73"/>
        </w:numPr>
        <w:rPr>
          <w:rFonts w:ascii="Arial" w:cs="Arial" w:eastAsia="Arial" w:hAnsi="Arial"/>
          <w:sz w:val="28"/>
          <w:szCs w:val="28"/>
          <w:color w:val="auto"/>
        </w:rPr>
      </w:pPr>
      <w:r>
        <w:rPr>
          <w:rFonts w:ascii="Arial" w:cs="Arial" w:eastAsia="Arial" w:hAnsi="Arial"/>
          <w:sz w:val="28"/>
          <w:szCs w:val="28"/>
          <w:color w:val="auto"/>
        </w:rPr>
        <w:t>What is the difference between holding shares as a stockholder of record and as a beneficial owner?</w:t>
      </w:r>
    </w:p>
    <w:p>
      <w:pPr>
        <w:spacing w:after="0" w:line="51" w:lineRule="exact"/>
        <w:rPr>
          <w:sz w:val="20"/>
          <w:szCs w:val="20"/>
          <w:color w:val="auto"/>
        </w:rPr>
      </w:pPr>
    </w:p>
    <w:p>
      <w:pPr>
        <w:ind w:left="1120" w:right="860" w:hanging="337"/>
        <w:spacing w:after="0" w:line="303" w:lineRule="auto"/>
        <w:tabs>
          <w:tab w:leader="none" w:pos="1120" w:val="left"/>
        </w:tabs>
        <w:numPr>
          <w:ilvl w:val="0"/>
          <w:numId w:val="74"/>
        </w:numPr>
        <w:rPr>
          <w:rFonts w:ascii="Arial" w:cs="Arial" w:eastAsia="Arial" w:hAnsi="Arial"/>
          <w:sz w:val="20"/>
          <w:szCs w:val="20"/>
          <w:b w:val="1"/>
          <w:bCs w:val="1"/>
          <w:color w:val="28B5DE"/>
        </w:rPr>
      </w:pPr>
      <w:r>
        <w:rPr>
          <w:rFonts w:ascii="Arial" w:cs="Arial" w:eastAsia="Arial" w:hAnsi="Arial"/>
          <w:sz w:val="20"/>
          <w:szCs w:val="20"/>
          <w:color w:val="auto"/>
        </w:rPr>
        <w:t>Most Sotera Health stockholders hold their shares as beneficial owners (through a broker, bank, or other nominee) rather than as a stockholder of record (directly in their own name).</w:t>
      </w:r>
    </w:p>
    <w:p>
      <w:pPr>
        <w:spacing w:after="0" w:line="42" w:lineRule="exact"/>
        <w:rPr>
          <w:rFonts w:ascii="Arial" w:cs="Arial" w:eastAsia="Arial" w:hAnsi="Arial"/>
          <w:sz w:val="20"/>
          <w:szCs w:val="20"/>
          <w:b w:val="1"/>
          <w:bCs w:val="1"/>
          <w:color w:val="28B5DE"/>
        </w:rPr>
      </w:pPr>
    </w:p>
    <w:p>
      <w:pPr>
        <w:ind w:left="1120" w:right="900"/>
        <w:spacing w:after="0" w:line="275" w:lineRule="auto"/>
        <w:rPr>
          <w:rFonts w:ascii="Arial" w:cs="Arial" w:eastAsia="Arial" w:hAnsi="Arial"/>
          <w:sz w:val="20"/>
          <w:szCs w:val="20"/>
          <w:b w:val="1"/>
          <w:bCs w:val="1"/>
          <w:color w:val="28B5DE"/>
        </w:rPr>
      </w:pPr>
      <w:r>
        <w:rPr>
          <w:rFonts w:ascii="Arial" w:cs="Arial" w:eastAsia="Arial" w:hAnsi="Arial"/>
          <w:sz w:val="19"/>
          <w:szCs w:val="19"/>
          <w:i w:val="1"/>
          <w:iCs w:val="1"/>
          <w:color w:val="auto"/>
        </w:rPr>
        <w:t>Stockholders of Record</w:t>
      </w:r>
      <w:r>
        <w:rPr>
          <w:rFonts w:ascii="Arial" w:cs="Arial" w:eastAsia="Arial" w:hAnsi="Arial"/>
          <w:sz w:val="19"/>
          <w:szCs w:val="19"/>
          <w:color w:val="auto"/>
        </w:rPr>
        <w:t>. If your shares of Sotera Health common stock are registered directly in</w:t>
      </w:r>
      <w:r>
        <w:rPr>
          <w:rFonts w:ascii="Arial" w:cs="Arial" w:eastAsia="Arial" w:hAnsi="Arial"/>
          <w:sz w:val="19"/>
          <w:szCs w:val="19"/>
          <w:i w:val="1"/>
          <w:iCs w:val="1"/>
          <w:color w:val="auto"/>
        </w:rPr>
        <w:t xml:space="preserve"> </w:t>
      </w:r>
      <w:r>
        <w:rPr>
          <w:rFonts w:ascii="Arial" w:cs="Arial" w:eastAsia="Arial" w:hAnsi="Arial"/>
          <w:sz w:val="19"/>
          <w:szCs w:val="19"/>
          <w:color w:val="auto"/>
        </w:rPr>
        <w:t>your name with Sotera Health’s transfer agent, Computershare, you are considered the stockholder of record with respect to those shares, and these proxy materials are being sent directly to you. As a stockholder of record, you have the right to grant your voting proxy directly to Sotera Health or to vote electronically at the Annual Meeting. If you requested printed proxy materials, we have enclosed an accompanying proxy card for you to use. You may also submit voting instructions via the Internet or by telephone by following the instructions on the accompanying proxy card, as described below under “How can I vote my shares?”</w:t>
      </w:r>
    </w:p>
    <w:p>
      <w:pPr>
        <w:spacing w:after="0" w:line="73" w:lineRule="exact"/>
        <w:rPr>
          <w:rFonts w:ascii="Arial" w:cs="Arial" w:eastAsia="Arial" w:hAnsi="Arial"/>
          <w:sz w:val="20"/>
          <w:szCs w:val="20"/>
          <w:b w:val="1"/>
          <w:bCs w:val="1"/>
          <w:color w:val="28B5DE"/>
        </w:rPr>
      </w:pPr>
    </w:p>
    <w:p>
      <w:pPr>
        <w:ind w:left="1120" w:right="840"/>
        <w:spacing w:after="0" w:line="257" w:lineRule="auto"/>
        <w:rPr>
          <w:rFonts w:ascii="Arial" w:cs="Arial" w:eastAsia="Arial" w:hAnsi="Arial"/>
          <w:sz w:val="20"/>
          <w:szCs w:val="20"/>
          <w:b w:val="1"/>
          <w:bCs w:val="1"/>
          <w:color w:val="28B5DE"/>
        </w:rPr>
      </w:pPr>
      <w:r>
        <w:rPr>
          <w:rFonts w:ascii="Arial" w:cs="Arial" w:eastAsia="Arial" w:hAnsi="Arial"/>
          <w:sz w:val="20"/>
          <w:szCs w:val="20"/>
          <w:i w:val="1"/>
          <w:iCs w:val="1"/>
          <w:color w:val="auto"/>
        </w:rPr>
        <w:t>Beneficial Owners</w:t>
      </w:r>
      <w:r>
        <w:rPr>
          <w:rFonts w:ascii="Arial" w:cs="Arial" w:eastAsia="Arial" w:hAnsi="Arial"/>
          <w:sz w:val="20"/>
          <w:szCs w:val="20"/>
          <w:color w:val="auto"/>
        </w:rPr>
        <w:t>. If your shares of Sotera Health common stock are held in a brokerage</w:t>
      </w:r>
      <w:r>
        <w:rPr>
          <w:rFonts w:ascii="Arial" w:cs="Arial" w:eastAsia="Arial" w:hAnsi="Arial"/>
          <w:sz w:val="20"/>
          <w:szCs w:val="20"/>
          <w:i w:val="1"/>
          <w:iCs w:val="1"/>
          <w:color w:val="auto"/>
        </w:rPr>
        <w:t xml:space="preserve"> </w:t>
      </w:r>
      <w:r>
        <w:rPr>
          <w:rFonts w:ascii="Arial" w:cs="Arial" w:eastAsia="Arial" w:hAnsi="Arial"/>
          <w:sz w:val="20"/>
          <w:szCs w:val="20"/>
          <w:color w:val="auto"/>
        </w:rPr>
        <w:t>account or by a broker, bank, or other nominee, you are considered the beneficial owner of shares held in street name, and these proxy materials are being forwarded to you by your broker, bank, or other nominee, which is considered the stockholder of record with respect to those shares. As a beneficial owner, you have the right to direct your broker, bank, or other nominee on how to vote the shares in your account. However, because you are not the stockholder of record, you may not vote these shares electronically at the Annual Meeting unless you follow the instructions from your broker, bank or other nominee. Your broker, bank, or other nominee has included a voting instruction form for you to use to direct them how to vote your shares. Please instruct your broker, bank, or other nominee how to vote your shares using the voting instruction form you received from them.</w:t>
      </w:r>
    </w:p>
    <w:p>
      <w:pPr>
        <w:spacing w:after="0" w:line="156"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Can I attend the Annual Meeting?</w:t>
      </w:r>
    </w:p>
    <w:p>
      <w:pPr>
        <w:spacing w:after="0" w:line="136" w:lineRule="exact"/>
        <w:rPr>
          <w:sz w:val="20"/>
          <w:szCs w:val="20"/>
          <w:color w:val="auto"/>
        </w:rPr>
      </w:pPr>
    </w:p>
    <w:p>
      <w:pPr>
        <w:ind w:left="1120" w:right="940" w:hanging="337"/>
        <w:spacing w:after="0" w:line="249" w:lineRule="auto"/>
        <w:tabs>
          <w:tab w:leader="none" w:pos="1120" w:val="left"/>
        </w:tabs>
        <w:numPr>
          <w:ilvl w:val="0"/>
          <w:numId w:val="75"/>
        </w:numPr>
        <w:rPr>
          <w:rFonts w:ascii="Arial" w:cs="Arial" w:eastAsia="Arial" w:hAnsi="Arial"/>
          <w:sz w:val="21"/>
          <w:szCs w:val="21"/>
          <w:b w:val="1"/>
          <w:bCs w:val="1"/>
          <w:color w:val="28B5DE"/>
        </w:rPr>
      </w:pPr>
      <w:r>
        <w:rPr>
          <w:rFonts w:ascii="Arial" w:cs="Arial" w:eastAsia="Arial" w:hAnsi="Arial"/>
          <w:sz w:val="21"/>
          <w:szCs w:val="21"/>
          <w:color w:val="auto"/>
        </w:rPr>
        <w:t>Sotera Health stockholders on the record date or their legal proxy holders may attend the Annual Meeting online at www.virtualshareholdermeeting.com/SHC2025. To participate in the Annual Meeting, you will need the 16-digit control number included on your Notice of Internet Availability of Proxy Materials, on your proxy card, or on the instructions that accompanied your proxy materials.</w:t>
      </w:r>
    </w:p>
    <w:p>
      <w:pPr>
        <w:spacing w:after="0" w:line="158"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How can I vote my shares?</w:t>
      </w:r>
    </w:p>
    <w:p>
      <w:pPr>
        <w:spacing w:after="0" w:line="136" w:lineRule="exact"/>
        <w:rPr>
          <w:sz w:val="20"/>
          <w:szCs w:val="20"/>
          <w:color w:val="auto"/>
        </w:rPr>
      </w:pPr>
    </w:p>
    <w:p>
      <w:pPr>
        <w:ind w:left="1120" w:right="1080" w:hanging="337"/>
        <w:spacing w:after="0" w:line="254" w:lineRule="auto"/>
        <w:tabs>
          <w:tab w:leader="none" w:pos="1120" w:val="left"/>
        </w:tabs>
        <w:numPr>
          <w:ilvl w:val="0"/>
          <w:numId w:val="76"/>
        </w:numPr>
        <w:rPr>
          <w:rFonts w:ascii="Arial" w:cs="Arial" w:eastAsia="Arial" w:hAnsi="Arial"/>
          <w:sz w:val="21"/>
          <w:szCs w:val="21"/>
          <w:b w:val="1"/>
          <w:bCs w:val="1"/>
          <w:color w:val="28B5DE"/>
        </w:rPr>
      </w:pPr>
      <w:r>
        <w:rPr>
          <w:rFonts w:ascii="Arial" w:cs="Arial" w:eastAsia="Arial" w:hAnsi="Arial"/>
          <w:sz w:val="21"/>
          <w:szCs w:val="21"/>
          <w:color w:val="auto"/>
        </w:rPr>
        <w:t>You may vote over the internet, by telephone, by mail, or electronically at the Annual Meeting. Votes submitted by telephone or over the internet must be received by 11:59 p.m., Eastern Daylight Time, on Tuesday, May 20, 2025,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139700</wp:posOffset>
            </wp:positionV>
            <wp:extent cx="5538470" cy="165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94</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4" w:right="799"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Questions and Answers About the Proxy Statement and Our 2025 Annual Meeting of Stockholders</w:t>
      </w:r>
    </w:p>
    <w:p>
      <w:pPr>
        <w:spacing w:after="0" w:line="200" w:lineRule="exact"/>
        <w:rPr>
          <w:sz w:val="20"/>
          <w:szCs w:val="20"/>
          <w:color w:val="auto"/>
        </w:rPr>
      </w:pPr>
    </w:p>
    <w:p>
      <w:pPr>
        <w:spacing w:after="0" w:line="246" w:lineRule="exact"/>
        <w:rPr>
          <w:sz w:val="20"/>
          <w:szCs w:val="20"/>
          <w:color w:val="auto"/>
        </w:rPr>
      </w:pPr>
    </w:p>
    <w:p>
      <w:pPr>
        <w:ind w:left="1120" w:right="239"/>
        <w:spacing w:after="0"/>
        <w:rPr>
          <w:sz w:val="20"/>
          <w:szCs w:val="20"/>
          <w:color w:val="auto"/>
        </w:rPr>
      </w:pPr>
      <w:r>
        <w:rPr>
          <w:rFonts w:ascii="Arial" w:cs="Arial" w:eastAsia="Arial" w:hAnsi="Arial"/>
          <w:sz w:val="21"/>
          <w:szCs w:val="21"/>
          <w:i w:val="1"/>
          <w:iCs w:val="1"/>
          <w:color w:val="auto"/>
        </w:rPr>
        <w:t>Voting over the internet</w:t>
      </w:r>
      <w:r>
        <w:rPr>
          <w:rFonts w:ascii="Arial" w:cs="Arial" w:eastAsia="Arial" w:hAnsi="Arial"/>
          <w:sz w:val="21"/>
          <w:szCs w:val="21"/>
          <w:color w:val="auto"/>
        </w:rPr>
        <w:t>. To vote over the internet, please follow either the instructions included</w:t>
      </w:r>
      <w:r>
        <w:rPr>
          <w:rFonts w:ascii="Arial" w:cs="Arial" w:eastAsia="Arial" w:hAnsi="Arial"/>
          <w:sz w:val="21"/>
          <w:szCs w:val="21"/>
          <w:i w:val="1"/>
          <w:iCs w:val="1"/>
          <w:color w:val="auto"/>
        </w:rPr>
        <w:t xml:space="preserve"> </w:t>
      </w:r>
      <w:r>
        <w:rPr>
          <w:rFonts w:ascii="Arial" w:cs="Arial" w:eastAsia="Arial" w:hAnsi="Arial"/>
          <w:sz w:val="21"/>
          <w:szCs w:val="21"/>
          <w:color w:val="auto"/>
        </w:rPr>
        <w:t>on your proxy card or the voting instructions you receive by e-mail or that are being provided via the internet. You will be asked to provide the 16-digit control number on your Notice of Internet Availability or Voting Instruction Form. If you vote over the internet, you do not need to complete and mail a proxy card.</w:t>
      </w:r>
    </w:p>
    <w:p>
      <w:pPr>
        <w:spacing w:after="0" w:line="104" w:lineRule="exact"/>
        <w:rPr>
          <w:sz w:val="20"/>
          <w:szCs w:val="20"/>
          <w:color w:val="auto"/>
        </w:rPr>
      </w:pPr>
    </w:p>
    <w:p>
      <w:pPr>
        <w:ind w:left="1120" w:right="159"/>
        <w:spacing w:after="0" w:line="242" w:lineRule="auto"/>
        <w:rPr>
          <w:sz w:val="20"/>
          <w:szCs w:val="20"/>
          <w:color w:val="auto"/>
        </w:rPr>
      </w:pPr>
      <w:r>
        <w:rPr>
          <w:rFonts w:ascii="Arial" w:cs="Arial" w:eastAsia="Arial" w:hAnsi="Arial"/>
          <w:sz w:val="21"/>
          <w:szCs w:val="21"/>
          <w:i w:val="1"/>
          <w:iCs w:val="1"/>
          <w:color w:val="auto"/>
        </w:rPr>
        <w:t>Voting by Telephone</w:t>
      </w:r>
      <w:r>
        <w:rPr>
          <w:rFonts w:ascii="Arial" w:cs="Arial" w:eastAsia="Arial" w:hAnsi="Arial"/>
          <w:sz w:val="21"/>
          <w:szCs w:val="21"/>
          <w:color w:val="auto"/>
        </w:rPr>
        <w:t>. To vote by telephone, dial 1-800-690-6903 and follow the recorded</w:t>
      </w:r>
      <w:r>
        <w:rPr>
          <w:rFonts w:ascii="Arial" w:cs="Arial" w:eastAsia="Arial" w:hAnsi="Arial"/>
          <w:sz w:val="21"/>
          <w:szCs w:val="21"/>
          <w:i w:val="1"/>
          <w:iCs w:val="1"/>
          <w:color w:val="auto"/>
        </w:rPr>
        <w:t xml:space="preserve"> </w:t>
      </w:r>
      <w:r>
        <w:rPr>
          <w:rFonts w:ascii="Arial" w:cs="Arial" w:eastAsia="Arial" w:hAnsi="Arial"/>
          <w:sz w:val="21"/>
          <w:szCs w:val="21"/>
          <w:color w:val="auto"/>
        </w:rPr>
        <w:t>instructions. You will be asked to provide the 16-digit control number on your Notice of Internet Availability or Voting Instruction Form. If you vote by telephone, you do not need to complete and mail a proxy card.</w:t>
      </w:r>
    </w:p>
    <w:p>
      <w:pPr>
        <w:spacing w:after="0" w:line="103" w:lineRule="exact"/>
        <w:rPr>
          <w:sz w:val="20"/>
          <w:szCs w:val="20"/>
          <w:color w:val="auto"/>
        </w:rPr>
      </w:pPr>
    </w:p>
    <w:p>
      <w:pPr>
        <w:ind w:left="1120" w:right="219"/>
        <w:spacing w:after="0" w:line="272" w:lineRule="auto"/>
        <w:rPr>
          <w:sz w:val="20"/>
          <w:szCs w:val="20"/>
          <w:color w:val="auto"/>
        </w:rPr>
      </w:pPr>
      <w:r>
        <w:rPr>
          <w:rFonts w:ascii="Arial" w:cs="Arial" w:eastAsia="Arial" w:hAnsi="Arial"/>
          <w:sz w:val="19"/>
          <w:szCs w:val="19"/>
          <w:i w:val="1"/>
          <w:iCs w:val="1"/>
          <w:color w:val="auto"/>
        </w:rPr>
        <w:t>Voting by Mail</w:t>
      </w:r>
      <w:r>
        <w:rPr>
          <w:rFonts w:ascii="Arial" w:cs="Arial" w:eastAsia="Arial" w:hAnsi="Arial"/>
          <w:sz w:val="19"/>
          <w:szCs w:val="19"/>
          <w:color w:val="auto"/>
        </w:rPr>
        <w:t>. If you have requested printed proxy materials, you may vote by mail by signing</w:t>
      </w:r>
      <w:r>
        <w:rPr>
          <w:rFonts w:ascii="Arial" w:cs="Arial" w:eastAsia="Arial" w:hAnsi="Arial"/>
          <w:sz w:val="19"/>
          <w:szCs w:val="19"/>
          <w:i w:val="1"/>
          <w:iCs w:val="1"/>
          <w:color w:val="auto"/>
        </w:rPr>
        <w:t xml:space="preserve"> </w:t>
      </w:r>
      <w:r>
        <w:rPr>
          <w:rFonts w:ascii="Arial" w:cs="Arial" w:eastAsia="Arial" w:hAnsi="Arial"/>
          <w:sz w:val="19"/>
          <w:szCs w:val="19"/>
          <w:color w:val="auto"/>
        </w:rPr>
        <w:t>the proxy card and returning it in the prepaid and addressed envelope enclosed with the proxy materials. By signing and returning the proxy card, you are authorizing the individuals named on the proxy card to vote your shares at the Annual Meeting in the manner you indicate. We encourage you to sign and return the proxy card even if you plan to attend the Annual Meeting so that your shares of Sotera Health common stock will be voted if you are unable to attend the Annual Meeting. If you receive more than one proxy card, it is an indication that your shares are held in multiple accounts. Please sign and return all proxy cards to ensure that all your shares are voted. Your printed proxy materials may also indicate methods whereby you may vote by telephone or over the internet instead of signing, dating and returning the proxy card by mail.</w:t>
      </w:r>
    </w:p>
    <w:p>
      <w:pPr>
        <w:spacing w:after="0" w:line="81" w:lineRule="exact"/>
        <w:rPr>
          <w:sz w:val="20"/>
          <w:szCs w:val="20"/>
          <w:color w:val="auto"/>
        </w:rPr>
      </w:pPr>
    </w:p>
    <w:p>
      <w:pPr>
        <w:ind w:left="1120" w:right="299"/>
        <w:spacing w:after="0" w:line="277" w:lineRule="auto"/>
        <w:rPr>
          <w:sz w:val="20"/>
          <w:szCs w:val="20"/>
          <w:color w:val="auto"/>
        </w:rPr>
      </w:pPr>
      <w:r>
        <w:rPr>
          <w:rFonts w:ascii="Arial" w:cs="Arial" w:eastAsia="Arial" w:hAnsi="Arial"/>
          <w:sz w:val="19"/>
          <w:szCs w:val="19"/>
          <w:i w:val="1"/>
          <w:iCs w:val="1"/>
          <w:color w:val="auto"/>
        </w:rPr>
        <w:t>Voting Electronically at the Meeting</w:t>
      </w:r>
      <w:r>
        <w:rPr>
          <w:rFonts w:ascii="Arial" w:cs="Arial" w:eastAsia="Arial" w:hAnsi="Arial"/>
          <w:sz w:val="19"/>
          <w:szCs w:val="19"/>
          <w:color w:val="auto"/>
        </w:rPr>
        <w:t>. If you attend the virtual Annual Meeting and plan to vote</w:t>
      </w:r>
      <w:r>
        <w:rPr>
          <w:rFonts w:ascii="Arial" w:cs="Arial" w:eastAsia="Arial" w:hAnsi="Arial"/>
          <w:sz w:val="19"/>
          <w:szCs w:val="19"/>
          <w:i w:val="1"/>
          <w:iCs w:val="1"/>
          <w:color w:val="auto"/>
        </w:rPr>
        <w:t xml:space="preserve"> </w:t>
      </w:r>
      <w:r>
        <w:rPr>
          <w:rFonts w:ascii="Arial" w:cs="Arial" w:eastAsia="Arial" w:hAnsi="Arial"/>
          <w:sz w:val="19"/>
          <w:szCs w:val="19"/>
          <w:color w:val="auto"/>
        </w:rPr>
        <w:t>electronically at the Annual Meeting, you can vote by following the instructions provided when you log in to the online virtual Annual Meeting platform. If you are a stockholder of record, you have the right to vote electronically at the Annual Meeting. If you are the beneficial owner of shares held in street name, you may also vote electronically at the Annual Meeting if you follow the instructions from your broker, bank or other nominee to vote those shares.</w:t>
      </w:r>
    </w:p>
    <w:p>
      <w:pPr>
        <w:spacing w:after="0" w:line="145"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Can I change my vote or revoke my proxy?</w:t>
      </w:r>
    </w:p>
    <w:p>
      <w:pPr>
        <w:spacing w:after="0" w:line="123" w:lineRule="exact"/>
        <w:rPr>
          <w:sz w:val="20"/>
          <w:szCs w:val="20"/>
          <w:color w:val="auto"/>
        </w:rPr>
      </w:pPr>
    </w:p>
    <w:p>
      <w:pPr>
        <w:ind w:left="1120" w:right="399" w:hanging="337"/>
        <w:spacing w:after="0" w:line="303" w:lineRule="auto"/>
        <w:tabs>
          <w:tab w:leader="none" w:pos="1120" w:val="left"/>
        </w:tabs>
        <w:numPr>
          <w:ilvl w:val="0"/>
          <w:numId w:val="77"/>
        </w:numPr>
        <w:rPr>
          <w:rFonts w:ascii="Arial" w:cs="Arial" w:eastAsia="Arial" w:hAnsi="Arial"/>
          <w:sz w:val="20"/>
          <w:szCs w:val="20"/>
          <w:b w:val="1"/>
          <w:bCs w:val="1"/>
          <w:color w:val="28B5DE"/>
        </w:rPr>
      </w:pPr>
      <w:r>
        <w:rPr>
          <w:rFonts w:ascii="Arial" w:cs="Arial" w:eastAsia="Arial" w:hAnsi="Arial"/>
          <w:sz w:val="20"/>
          <w:szCs w:val="20"/>
          <w:color w:val="auto"/>
        </w:rPr>
        <w:t>If you are a stockholder of record, you may change your vote or revoke your proxy at any time before the Annual Meeting. To change your vote or revoke your proxy, you must:</w:t>
      </w:r>
    </w:p>
    <w:p>
      <w:pPr>
        <w:spacing w:after="0" w:line="16" w:lineRule="exact"/>
        <w:rPr>
          <w:rFonts w:ascii="Arial" w:cs="Arial" w:eastAsia="Arial" w:hAnsi="Arial"/>
          <w:sz w:val="20"/>
          <w:szCs w:val="20"/>
          <w:b w:val="1"/>
          <w:bCs w:val="1"/>
          <w:color w:val="28B5DE"/>
        </w:rPr>
      </w:pPr>
    </w:p>
    <w:p>
      <w:pPr>
        <w:ind w:left="1480" w:right="979" w:hanging="351"/>
        <w:spacing w:after="0" w:line="264" w:lineRule="auto"/>
        <w:tabs>
          <w:tab w:leader="none" w:pos="1480" w:val="left"/>
        </w:tabs>
        <w:numPr>
          <w:ilvl w:val="1"/>
          <w:numId w:val="77"/>
        </w:numPr>
        <w:rPr>
          <w:rFonts w:ascii="Arial" w:cs="Arial" w:eastAsia="Arial" w:hAnsi="Arial"/>
          <w:sz w:val="21"/>
          <w:szCs w:val="21"/>
          <w:color w:val="435F86"/>
        </w:rPr>
      </w:pPr>
      <w:r>
        <w:rPr>
          <w:rFonts w:ascii="Arial" w:cs="Arial" w:eastAsia="Arial" w:hAnsi="Arial"/>
          <w:sz w:val="21"/>
          <w:szCs w:val="21"/>
          <w:color w:val="auto"/>
        </w:rPr>
        <w:t>Sign and return a later-dated proxy card, or enter a new vote over the internet or by telephone;</w:t>
      </w:r>
    </w:p>
    <w:p>
      <w:pPr>
        <w:spacing w:after="0" w:line="52" w:lineRule="exact"/>
        <w:rPr>
          <w:rFonts w:ascii="Arial" w:cs="Arial" w:eastAsia="Arial" w:hAnsi="Arial"/>
          <w:sz w:val="21"/>
          <w:szCs w:val="21"/>
          <w:color w:val="435F86"/>
        </w:rPr>
      </w:pPr>
    </w:p>
    <w:p>
      <w:pPr>
        <w:ind w:left="1480" w:hanging="351"/>
        <w:spacing w:after="0"/>
        <w:tabs>
          <w:tab w:leader="none" w:pos="1480" w:val="left"/>
        </w:tabs>
        <w:numPr>
          <w:ilvl w:val="1"/>
          <w:numId w:val="77"/>
        </w:numPr>
        <w:rPr>
          <w:rFonts w:ascii="Arial" w:cs="Arial" w:eastAsia="Arial" w:hAnsi="Arial"/>
          <w:sz w:val="20"/>
          <w:szCs w:val="20"/>
          <w:color w:val="435F86"/>
        </w:rPr>
      </w:pPr>
      <w:r>
        <w:rPr>
          <w:rFonts w:ascii="Arial" w:cs="Arial" w:eastAsia="Arial" w:hAnsi="Arial"/>
          <w:sz w:val="20"/>
          <w:szCs w:val="20"/>
          <w:color w:val="auto"/>
        </w:rPr>
        <w:t>Provide written notice of the revocation to Sotera Health’s Corporate Secretary at: Sotera</w:t>
      </w:r>
    </w:p>
    <w:p>
      <w:pPr>
        <w:spacing w:after="0" w:line="36" w:lineRule="exact"/>
        <w:rPr>
          <w:rFonts w:ascii="Arial" w:cs="Arial" w:eastAsia="Arial" w:hAnsi="Arial"/>
          <w:sz w:val="20"/>
          <w:szCs w:val="20"/>
          <w:color w:val="435F86"/>
        </w:rPr>
      </w:pPr>
    </w:p>
    <w:p>
      <w:pPr>
        <w:ind w:left="1480" w:right="439"/>
        <w:spacing w:after="0" w:line="244" w:lineRule="auto"/>
        <w:rPr>
          <w:rFonts w:ascii="Arial" w:cs="Arial" w:eastAsia="Arial" w:hAnsi="Arial"/>
          <w:sz w:val="20"/>
          <w:szCs w:val="20"/>
          <w:color w:val="435F86"/>
        </w:rPr>
      </w:pPr>
      <w:r>
        <w:rPr>
          <w:rFonts w:ascii="Arial" w:cs="Arial" w:eastAsia="Arial" w:hAnsi="Arial"/>
          <w:sz w:val="21"/>
          <w:szCs w:val="21"/>
          <w:color w:val="auto"/>
        </w:rPr>
        <w:t>Health Company, Attention: Erika Ostrowski, Corporate Secretary, 9100 South Hills Blvd., Suite 300, Broadview Heights, Ohio 44147, before the proxies vote your shares at the Annual Meeting; or</w:t>
      </w:r>
    </w:p>
    <w:p>
      <w:pPr>
        <w:spacing w:after="0" w:line="74" w:lineRule="exact"/>
        <w:rPr>
          <w:rFonts w:ascii="Arial" w:cs="Arial" w:eastAsia="Arial" w:hAnsi="Arial"/>
          <w:sz w:val="20"/>
          <w:szCs w:val="20"/>
          <w:color w:val="435F86"/>
        </w:rPr>
      </w:pPr>
    </w:p>
    <w:p>
      <w:pPr>
        <w:ind w:left="1480" w:hanging="351"/>
        <w:spacing w:after="0"/>
        <w:tabs>
          <w:tab w:leader="none" w:pos="1480" w:val="left"/>
        </w:tabs>
        <w:numPr>
          <w:ilvl w:val="1"/>
          <w:numId w:val="77"/>
        </w:numPr>
        <w:rPr>
          <w:rFonts w:ascii="Arial" w:cs="Arial" w:eastAsia="Arial" w:hAnsi="Arial"/>
          <w:sz w:val="21"/>
          <w:szCs w:val="21"/>
          <w:color w:val="435F86"/>
        </w:rPr>
      </w:pPr>
      <w:r>
        <w:rPr>
          <w:rFonts w:ascii="Arial" w:cs="Arial" w:eastAsia="Arial" w:hAnsi="Arial"/>
          <w:sz w:val="21"/>
          <w:szCs w:val="21"/>
          <w:color w:val="auto"/>
        </w:rPr>
        <w:t>Attend the virtual Annual Meeting and vote electronically at the meeting.</w:t>
      </w:r>
    </w:p>
    <w:p>
      <w:pPr>
        <w:spacing w:after="0" w:line="135" w:lineRule="exact"/>
        <w:rPr>
          <w:sz w:val="20"/>
          <w:szCs w:val="20"/>
          <w:color w:val="auto"/>
        </w:rPr>
      </w:pPr>
    </w:p>
    <w:p>
      <w:pPr>
        <w:ind w:left="1120" w:right="699"/>
        <w:spacing w:after="0" w:line="331" w:lineRule="auto"/>
        <w:rPr>
          <w:sz w:val="20"/>
          <w:szCs w:val="20"/>
          <w:color w:val="auto"/>
        </w:rPr>
      </w:pPr>
      <w:r>
        <w:rPr>
          <w:rFonts w:ascii="Arial" w:cs="Arial" w:eastAsia="Arial" w:hAnsi="Arial"/>
          <w:sz w:val="19"/>
          <w:szCs w:val="19"/>
          <w:color w:val="auto"/>
        </w:rPr>
        <w:t>If you are a beneficial stockholder, you may revoke your proxy or change your vote only by following the separate instructions provided by your broker, trust, bank or other nominee.</w:t>
      </w:r>
    </w:p>
    <w:p>
      <w:pPr>
        <w:spacing w:after="0" w:line="20" w:lineRule="exact"/>
        <w:rPr>
          <w:sz w:val="20"/>
          <w:szCs w:val="20"/>
          <w:color w:val="auto"/>
        </w:rPr>
      </w:pPr>
    </w:p>
    <w:p>
      <w:pPr>
        <w:ind w:left="1120"/>
        <w:spacing w:after="0"/>
        <w:rPr>
          <w:sz w:val="20"/>
          <w:szCs w:val="20"/>
          <w:color w:val="auto"/>
        </w:rPr>
      </w:pPr>
      <w:r>
        <w:rPr>
          <w:rFonts w:ascii="Arial" w:cs="Arial" w:eastAsia="Arial" w:hAnsi="Arial"/>
          <w:sz w:val="21"/>
          <w:szCs w:val="21"/>
          <w:color w:val="auto"/>
        </w:rPr>
        <w:t>Only the latest validly-executed proxy that you submit will be counted.</w:t>
      </w:r>
    </w:p>
    <w:p>
      <w:pPr>
        <w:spacing w:after="0" w:line="209"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What is the quorum requirement for the Annual Meeting?</w:t>
      </w:r>
    </w:p>
    <w:p>
      <w:pPr>
        <w:spacing w:after="0" w:line="123" w:lineRule="exact"/>
        <w:rPr>
          <w:sz w:val="20"/>
          <w:szCs w:val="20"/>
          <w:color w:val="auto"/>
        </w:rPr>
      </w:pPr>
    </w:p>
    <w:p>
      <w:pPr>
        <w:ind w:left="1120" w:hanging="337"/>
        <w:spacing w:after="0"/>
        <w:tabs>
          <w:tab w:leader="none" w:pos="1120" w:val="left"/>
        </w:tabs>
        <w:numPr>
          <w:ilvl w:val="0"/>
          <w:numId w:val="78"/>
        </w:numPr>
        <w:rPr>
          <w:rFonts w:ascii="Arial" w:cs="Arial" w:eastAsia="Arial" w:hAnsi="Arial"/>
          <w:sz w:val="20"/>
          <w:szCs w:val="20"/>
          <w:b w:val="1"/>
          <w:bCs w:val="1"/>
          <w:color w:val="28B5DE"/>
        </w:rPr>
      </w:pPr>
      <w:r>
        <w:rPr>
          <w:rFonts w:ascii="Arial" w:cs="Arial" w:eastAsia="Arial" w:hAnsi="Arial"/>
          <w:sz w:val="20"/>
          <w:szCs w:val="20"/>
          <w:color w:val="auto"/>
        </w:rPr>
        <w:t>A majority of the voting power of the outstanding shares of common stock entitled to vote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348615</wp:posOffset>
            </wp:positionV>
            <wp:extent cx="494665" cy="165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216535</wp:posOffset>
            </wp:positionV>
            <wp:extent cx="5538470" cy="165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Questions and Answers About the Proxy Statement and Our 2025 Annual Meeting of Stockholders</w:t>
      </w:r>
    </w:p>
    <w:p>
      <w:pPr>
        <w:spacing w:after="0" w:line="200" w:lineRule="exact"/>
        <w:rPr>
          <w:sz w:val="20"/>
          <w:szCs w:val="20"/>
          <w:color w:val="auto"/>
        </w:rPr>
      </w:pPr>
    </w:p>
    <w:p>
      <w:pPr>
        <w:spacing w:after="0" w:line="246" w:lineRule="exact"/>
        <w:rPr>
          <w:sz w:val="20"/>
          <w:szCs w:val="20"/>
          <w:color w:val="auto"/>
        </w:rPr>
      </w:pPr>
    </w:p>
    <w:p>
      <w:pPr>
        <w:ind w:left="1120" w:right="259"/>
        <w:spacing w:after="0" w:line="242" w:lineRule="auto"/>
        <w:rPr>
          <w:sz w:val="20"/>
          <w:szCs w:val="20"/>
          <w:color w:val="auto"/>
        </w:rPr>
      </w:pPr>
      <w:r>
        <w:rPr>
          <w:rFonts w:ascii="Arial" w:cs="Arial" w:eastAsia="Arial" w:hAnsi="Arial"/>
          <w:sz w:val="21"/>
          <w:szCs w:val="21"/>
          <w:color w:val="auto"/>
        </w:rPr>
        <w:t>be present at the Annual Meeting to constitute a quorum and to conduct business at the Annual Meeting. Your shares of Sotera Health common stock are counted as present if you vote in person at the Annual Meeting, over the internet, by telephone, or by submitting a properly executed proxy card by mail.</w:t>
      </w:r>
    </w:p>
    <w:p>
      <w:pPr>
        <w:spacing w:after="0" w:line="103" w:lineRule="exact"/>
        <w:rPr>
          <w:sz w:val="20"/>
          <w:szCs w:val="20"/>
          <w:color w:val="auto"/>
        </w:rPr>
      </w:pPr>
    </w:p>
    <w:p>
      <w:pPr>
        <w:ind w:left="1120" w:right="699"/>
        <w:spacing w:after="0" w:line="264" w:lineRule="auto"/>
        <w:rPr>
          <w:sz w:val="20"/>
          <w:szCs w:val="20"/>
          <w:color w:val="auto"/>
        </w:rPr>
      </w:pPr>
      <w:r>
        <w:rPr>
          <w:rFonts w:ascii="Arial" w:cs="Arial" w:eastAsia="Arial" w:hAnsi="Arial"/>
          <w:sz w:val="21"/>
          <w:szCs w:val="21"/>
          <w:color w:val="auto"/>
        </w:rPr>
        <w:t>Abstentions and broker non-votes are counted as present for the purpose of determining a quorum.</w:t>
      </w:r>
    </w:p>
    <w:p>
      <w:pPr>
        <w:spacing w:after="0" w:line="88"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How are votes counted?</w:t>
      </w:r>
    </w:p>
    <w:p>
      <w:pPr>
        <w:spacing w:after="0" w:line="71" w:lineRule="exact"/>
        <w:rPr>
          <w:sz w:val="20"/>
          <w:szCs w:val="20"/>
          <w:color w:val="auto"/>
        </w:rPr>
      </w:pPr>
    </w:p>
    <w:p>
      <w:pPr>
        <w:ind w:left="1120" w:hanging="337"/>
        <w:spacing w:after="0"/>
        <w:tabs>
          <w:tab w:leader="none" w:pos="1120" w:val="left"/>
        </w:tabs>
        <w:numPr>
          <w:ilvl w:val="0"/>
          <w:numId w:val="79"/>
        </w:numPr>
        <w:rPr>
          <w:rFonts w:ascii="Arial" w:cs="Arial" w:eastAsia="Arial" w:hAnsi="Arial"/>
          <w:sz w:val="21"/>
          <w:szCs w:val="21"/>
          <w:b w:val="1"/>
          <w:bCs w:val="1"/>
          <w:color w:val="28B5DE"/>
        </w:rPr>
      </w:pPr>
      <w:r>
        <w:rPr>
          <w:rFonts w:ascii="Arial" w:cs="Arial" w:eastAsia="Arial" w:hAnsi="Arial"/>
          <w:sz w:val="21"/>
          <w:szCs w:val="21"/>
          <w:color w:val="auto"/>
        </w:rPr>
        <w:t>The following table describes how voting results will be tabulated.</w:t>
      </w:r>
    </w:p>
    <w:p>
      <w:pPr>
        <w:spacing w:after="0" w:line="31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435F86"/>
                <w:w w:val="97"/>
              </w:rPr>
              <w:t>Broker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vMerge w:val="restart"/>
          </w:tcPr>
          <w:p>
            <w:pPr>
              <w:ind w:left="100"/>
              <w:spacing w:after="0"/>
              <w:rPr>
                <w:sz w:val="20"/>
                <w:szCs w:val="20"/>
                <w:color w:val="auto"/>
              </w:rPr>
            </w:pPr>
            <w:r>
              <w:rPr>
                <w:rFonts w:ascii="Arial" w:cs="Arial" w:eastAsia="Arial" w:hAnsi="Arial"/>
                <w:sz w:val="14"/>
                <w:szCs w:val="14"/>
                <w:b w:val="1"/>
                <w:bCs w:val="1"/>
                <w:color w:val="435F86"/>
                <w:w w:val="97"/>
              </w:rPr>
              <w:t>Effect of Abstentions and</w:t>
            </w:r>
          </w:p>
        </w:tc>
        <w:tc>
          <w:tcPr>
            <w:tcW w:w="1000" w:type="dxa"/>
            <w:vAlign w:val="bottom"/>
          </w:tcPr>
          <w:p>
            <w:pPr>
              <w:jc w:val="center"/>
              <w:spacing w:after="0" w:line="156" w:lineRule="exact"/>
              <w:rPr>
                <w:sz w:val="20"/>
                <w:szCs w:val="20"/>
                <w:color w:val="auto"/>
              </w:rPr>
            </w:pPr>
            <w:r>
              <w:rPr>
                <w:rFonts w:ascii="Arial" w:cs="Arial" w:eastAsia="Arial" w:hAnsi="Arial"/>
                <w:sz w:val="14"/>
                <w:szCs w:val="14"/>
                <w:b w:val="1"/>
                <w:bCs w:val="1"/>
                <w:color w:val="435F86"/>
                <w:w w:val="93"/>
              </w:rPr>
              <w:t>Discretionary</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435F86"/>
                <w:w w:val="93"/>
              </w:rPr>
              <w:t>Advisory</w:t>
            </w:r>
          </w:p>
        </w:tc>
        <w:tc>
          <w:tcPr>
            <w:tcW w:w="0" w:type="dxa"/>
            <w:vAlign w:val="bottom"/>
          </w:tcPr>
          <w:p>
            <w:pPr>
              <w:spacing w:after="0"/>
              <w:rPr>
                <w:sz w:val="1"/>
                <w:szCs w:val="1"/>
                <w:color w:val="auto"/>
              </w:rPr>
            </w:pPr>
          </w:p>
        </w:tc>
      </w:tr>
      <w:tr>
        <w:trPr>
          <w:trHeight w:val="143"/>
        </w:trPr>
        <w:tc>
          <w:tcPr>
            <w:tcW w:w="2360" w:type="dxa"/>
            <w:vAlign w:val="bottom"/>
            <w:vMerge w:val="restart"/>
          </w:tcPr>
          <w:p>
            <w:pPr>
              <w:ind w:left="40"/>
              <w:spacing w:after="0"/>
              <w:rPr>
                <w:sz w:val="20"/>
                <w:szCs w:val="20"/>
                <w:color w:val="auto"/>
              </w:rPr>
            </w:pPr>
            <w:r>
              <w:rPr>
                <w:rFonts w:ascii="Arial" w:cs="Arial" w:eastAsia="Arial" w:hAnsi="Arial"/>
                <w:sz w:val="27"/>
                <w:szCs w:val="27"/>
                <w:b w:val="1"/>
                <w:bCs w:val="1"/>
                <w:color w:val="435F86"/>
                <w:vertAlign w:val="subscript"/>
              </w:rPr>
              <w:t>​</w:t>
            </w:r>
            <w:r>
              <w:rPr>
                <w:rFonts w:ascii="Arial" w:cs="Arial" w:eastAsia="Arial" w:hAnsi="Arial"/>
                <w:sz w:val="14"/>
                <w:szCs w:val="14"/>
                <w:b w:val="1"/>
                <w:bCs w:val="1"/>
                <w:color w:val="435F86"/>
              </w:rPr>
              <w:t>Proposal</w:t>
            </w:r>
          </w:p>
        </w:tc>
        <w:tc>
          <w:tcPr>
            <w:tcW w:w="1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435F86"/>
                <w:w w:val="91"/>
              </w:rPr>
              <w:t>Voting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360" w:type="dxa"/>
            <w:vAlign w:val="bottom"/>
            <w:tcBorders>
              <w:bottom w:val="single" w:sz="8" w:color="435F86"/>
            </w:tcBorders>
            <w:vMerge w:val="continue"/>
          </w:tcPr>
          <w:p>
            <w:pPr>
              <w:spacing w:after="0"/>
              <w:rPr>
                <w:sz w:val="18"/>
                <w:szCs w:val="18"/>
                <w:color w:val="auto"/>
              </w:rPr>
            </w:pPr>
          </w:p>
        </w:tc>
        <w:tc>
          <w:tcPr>
            <w:tcW w:w="1680" w:type="dxa"/>
            <w:vAlign w:val="bottom"/>
            <w:tcBorders>
              <w:bottom w:val="single" w:sz="8" w:color="435F86"/>
            </w:tcBorders>
          </w:tcPr>
          <w:p>
            <w:pPr>
              <w:ind w:left="420"/>
              <w:spacing w:after="0"/>
              <w:rPr>
                <w:sz w:val="20"/>
                <w:szCs w:val="20"/>
                <w:color w:val="auto"/>
              </w:rPr>
            </w:pPr>
            <w:r>
              <w:rPr>
                <w:rFonts w:ascii="Arial" w:cs="Arial" w:eastAsia="Arial" w:hAnsi="Arial"/>
                <w:sz w:val="14"/>
                <w:szCs w:val="14"/>
                <w:b w:val="1"/>
                <w:bCs w:val="1"/>
                <w:color w:val="435F86"/>
              </w:rPr>
              <w:t>Voting Options</w:t>
            </w:r>
          </w:p>
        </w:tc>
        <w:tc>
          <w:tcPr>
            <w:tcW w:w="1100" w:type="dxa"/>
            <w:vAlign w:val="bottom"/>
            <w:tcBorders>
              <w:bottom w:val="single" w:sz="8" w:color="435F86"/>
            </w:tcBorders>
          </w:tcPr>
          <w:p>
            <w:pPr>
              <w:ind w:left="140"/>
              <w:spacing w:after="0"/>
              <w:rPr>
                <w:sz w:val="20"/>
                <w:szCs w:val="20"/>
                <w:color w:val="auto"/>
              </w:rPr>
            </w:pPr>
            <w:r>
              <w:rPr>
                <w:rFonts w:ascii="Arial" w:cs="Arial" w:eastAsia="Arial" w:hAnsi="Arial"/>
                <w:sz w:val="14"/>
                <w:szCs w:val="14"/>
                <w:b w:val="1"/>
                <w:bCs w:val="1"/>
                <w:color w:val="435F86"/>
                <w:w w:val="98"/>
              </w:rPr>
              <w:t>Required Vote</w:t>
            </w:r>
          </w:p>
        </w:tc>
        <w:tc>
          <w:tcPr>
            <w:tcW w:w="1780" w:type="dxa"/>
            <w:vAlign w:val="bottom"/>
            <w:tcBorders>
              <w:bottom w:val="single" w:sz="8" w:color="435F86"/>
            </w:tcBorders>
          </w:tcPr>
          <w:p>
            <w:pPr>
              <w:ind w:left="360"/>
              <w:spacing w:after="0"/>
              <w:rPr>
                <w:sz w:val="20"/>
                <w:szCs w:val="20"/>
                <w:color w:val="auto"/>
              </w:rPr>
            </w:pPr>
            <w:r>
              <w:rPr>
                <w:rFonts w:ascii="Arial" w:cs="Arial" w:eastAsia="Arial" w:hAnsi="Arial"/>
                <w:sz w:val="14"/>
                <w:szCs w:val="14"/>
                <w:b w:val="1"/>
                <w:bCs w:val="1"/>
                <w:color w:val="435F86"/>
              </w:rPr>
              <w:t>Broker Non-Votes</w:t>
            </w:r>
          </w:p>
        </w:tc>
        <w:tc>
          <w:tcPr>
            <w:tcW w:w="1000" w:type="dxa"/>
            <w:vAlign w:val="bottom"/>
            <w:tcBorders>
              <w:bottom w:val="single" w:sz="8" w:color="435F86"/>
            </w:tcBorders>
          </w:tcPr>
          <w:p>
            <w:pPr>
              <w:jc w:val="center"/>
              <w:spacing w:after="0"/>
              <w:rPr>
                <w:sz w:val="20"/>
                <w:szCs w:val="20"/>
                <w:color w:val="auto"/>
              </w:rPr>
            </w:pPr>
            <w:r>
              <w:rPr>
                <w:rFonts w:ascii="Arial" w:cs="Arial" w:eastAsia="Arial" w:hAnsi="Arial"/>
                <w:sz w:val="14"/>
                <w:szCs w:val="14"/>
                <w:b w:val="1"/>
                <w:bCs w:val="1"/>
                <w:color w:val="435F86"/>
                <w:w w:val="96"/>
              </w:rPr>
              <w:t>Allowed?</w:t>
            </w:r>
          </w:p>
        </w:tc>
        <w:tc>
          <w:tcPr>
            <w:tcW w:w="800" w:type="dxa"/>
            <w:vAlign w:val="bottom"/>
            <w:tcBorders>
              <w:bottom w:val="single" w:sz="8" w:color="435F86"/>
            </w:tcBorders>
          </w:tcPr>
          <w:p>
            <w:pPr>
              <w:jc w:val="center"/>
              <w:spacing w:after="0"/>
              <w:rPr>
                <w:sz w:val="20"/>
                <w:szCs w:val="20"/>
                <w:color w:val="auto"/>
              </w:rPr>
            </w:pPr>
            <w:r>
              <w:rPr>
                <w:rFonts w:ascii="Arial" w:cs="Arial" w:eastAsia="Arial" w:hAnsi="Arial"/>
                <w:sz w:val="14"/>
                <w:szCs w:val="14"/>
                <w:b w:val="1"/>
                <w:bCs w:val="1"/>
                <w:color w:val="435F86"/>
                <w:w w:val="93"/>
              </w:rPr>
              <w:t>Proposal?</w:t>
            </w:r>
          </w:p>
        </w:tc>
        <w:tc>
          <w:tcPr>
            <w:tcW w:w="0" w:type="dxa"/>
            <w:vAlign w:val="bottom"/>
          </w:tcPr>
          <w:p>
            <w:pPr>
              <w:spacing w:after="0"/>
              <w:rPr>
                <w:sz w:val="1"/>
                <w:szCs w:val="1"/>
                <w:color w:val="auto"/>
              </w:rPr>
            </w:pPr>
          </w:p>
        </w:tc>
      </w:tr>
      <w:tr>
        <w:trPr>
          <w:trHeight w:val="262"/>
        </w:trPr>
        <w:tc>
          <w:tcPr>
            <w:tcW w:w="2360" w:type="dxa"/>
            <w:vAlign w:val="bottom"/>
          </w:tcPr>
          <w:p>
            <w:pPr>
              <w:ind w:left="100"/>
              <w:spacing w:after="0"/>
              <w:rPr>
                <w:sz w:val="20"/>
                <w:szCs w:val="20"/>
                <w:color w:val="auto"/>
              </w:rPr>
            </w:pPr>
            <w:r>
              <w:rPr>
                <w:rFonts w:ascii="Arial" w:cs="Arial" w:eastAsia="Arial" w:hAnsi="Arial"/>
                <w:sz w:val="17"/>
                <w:szCs w:val="17"/>
                <w:b w:val="1"/>
                <w:bCs w:val="1"/>
                <w:color w:val="435F86"/>
              </w:rPr>
              <w:t xml:space="preserve">1.  </w:t>
            </w:r>
            <w:r>
              <w:rPr>
                <w:rFonts w:ascii="Arial" w:cs="Arial" w:eastAsia="Arial" w:hAnsi="Arial"/>
                <w:sz w:val="17"/>
                <w:szCs w:val="17"/>
                <w:color w:val="000000"/>
              </w:rPr>
              <w:t>Election of three director</w:t>
            </w:r>
          </w:p>
        </w:tc>
        <w:tc>
          <w:tcPr>
            <w:tcW w:w="1680" w:type="dxa"/>
            <w:vAlign w:val="bottom"/>
          </w:tcPr>
          <w:p>
            <w:pPr>
              <w:ind w:left="140"/>
              <w:spacing w:after="0"/>
              <w:rPr>
                <w:sz w:val="20"/>
                <w:szCs w:val="20"/>
                <w:color w:val="auto"/>
              </w:rPr>
            </w:pPr>
            <w:r>
              <w:rPr>
                <w:rFonts w:ascii="Arial" w:cs="Arial" w:eastAsia="Arial" w:hAnsi="Arial"/>
                <w:sz w:val="17"/>
                <w:szCs w:val="17"/>
                <w:color w:val="auto"/>
              </w:rPr>
              <w:t>FOR or WITHHELD</w:t>
            </w:r>
          </w:p>
        </w:tc>
        <w:tc>
          <w:tcPr>
            <w:tcW w:w="1100" w:type="dxa"/>
            <w:vAlign w:val="bottom"/>
          </w:tcPr>
          <w:p>
            <w:pPr>
              <w:ind w:left="60"/>
              <w:spacing w:after="0"/>
              <w:rPr>
                <w:sz w:val="20"/>
                <w:szCs w:val="20"/>
                <w:color w:val="auto"/>
              </w:rPr>
            </w:pPr>
            <w:r>
              <w:rPr>
                <w:rFonts w:ascii="Arial" w:cs="Arial" w:eastAsia="Arial" w:hAnsi="Arial"/>
                <w:sz w:val="17"/>
                <w:szCs w:val="17"/>
                <w:color w:val="auto"/>
              </w:rPr>
              <w:t>Plurality vote</w:t>
            </w:r>
          </w:p>
        </w:tc>
        <w:tc>
          <w:tcPr>
            <w:tcW w:w="1780" w:type="dxa"/>
            <w:vAlign w:val="bottom"/>
          </w:tcPr>
          <w:p>
            <w:pPr>
              <w:ind w:left="100"/>
              <w:spacing w:after="0"/>
              <w:rPr>
                <w:sz w:val="20"/>
                <w:szCs w:val="20"/>
                <w:color w:val="auto"/>
              </w:rPr>
            </w:pPr>
            <w:r>
              <w:rPr>
                <w:rFonts w:ascii="Arial" w:cs="Arial" w:eastAsia="Arial" w:hAnsi="Arial"/>
                <w:sz w:val="17"/>
                <w:szCs w:val="17"/>
                <w:color w:val="auto"/>
              </w:rPr>
              <w:t>No effect — not</w:t>
            </w:r>
          </w:p>
        </w:tc>
        <w:tc>
          <w:tcPr>
            <w:tcW w:w="1000" w:type="dxa"/>
            <w:vAlign w:val="bottom"/>
          </w:tcPr>
          <w:p>
            <w:pPr>
              <w:jc w:val="center"/>
              <w:spacing w:after="0"/>
              <w:rPr>
                <w:sz w:val="20"/>
                <w:szCs w:val="20"/>
                <w:color w:val="auto"/>
              </w:rPr>
            </w:pPr>
            <w:r>
              <w:rPr>
                <w:rFonts w:ascii="Arial" w:cs="Arial" w:eastAsia="Arial" w:hAnsi="Arial"/>
                <w:sz w:val="17"/>
                <w:szCs w:val="17"/>
                <w:color w:val="auto"/>
              </w:rPr>
              <w:t>No</w:t>
            </w:r>
          </w:p>
        </w:tc>
        <w:tc>
          <w:tcPr>
            <w:tcW w:w="800" w:type="dxa"/>
            <w:vAlign w:val="bottom"/>
          </w:tcPr>
          <w:p>
            <w:pPr>
              <w:jc w:val="center"/>
              <w:spacing w:after="0"/>
              <w:rPr>
                <w:sz w:val="20"/>
                <w:szCs w:val="20"/>
                <w:color w:val="auto"/>
              </w:rPr>
            </w:pPr>
            <w:r>
              <w:rPr>
                <w:rFonts w:ascii="Arial" w:cs="Arial" w:eastAsia="Arial" w:hAnsi="Arial"/>
                <w:sz w:val="17"/>
                <w:szCs w:val="17"/>
                <w:color w:val="auto"/>
                <w:w w:val="91"/>
              </w:rPr>
              <w:t>No</w:t>
            </w:r>
          </w:p>
        </w:tc>
        <w:tc>
          <w:tcPr>
            <w:tcW w:w="0" w:type="dxa"/>
            <w:vAlign w:val="bottom"/>
          </w:tcPr>
          <w:p>
            <w:pPr>
              <w:spacing w:after="0"/>
              <w:rPr>
                <w:sz w:val="1"/>
                <w:szCs w:val="1"/>
                <w:color w:val="auto"/>
              </w:rPr>
            </w:pPr>
          </w:p>
        </w:tc>
      </w:tr>
      <w:tr>
        <w:trPr>
          <w:trHeight w:val="208"/>
        </w:trPr>
        <w:tc>
          <w:tcPr>
            <w:tcW w:w="2360" w:type="dxa"/>
            <w:vAlign w:val="bottom"/>
          </w:tcPr>
          <w:p>
            <w:pPr>
              <w:ind w:left="440"/>
              <w:spacing w:after="0"/>
              <w:rPr>
                <w:sz w:val="20"/>
                <w:szCs w:val="20"/>
                <w:color w:val="auto"/>
              </w:rPr>
            </w:pPr>
            <w:r>
              <w:rPr>
                <w:rFonts w:ascii="Arial" w:cs="Arial" w:eastAsia="Arial" w:hAnsi="Arial"/>
                <w:sz w:val="17"/>
                <w:szCs w:val="17"/>
                <w:color w:val="auto"/>
              </w:rPr>
              <w:t>nominees</w:t>
            </w:r>
          </w:p>
        </w:tc>
        <w:tc>
          <w:tcPr>
            <w:tcW w:w="1680" w:type="dxa"/>
            <w:vAlign w:val="bottom"/>
          </w:tcPr>
          <w:p>
            <w:pPr>
              <w:ind w:left="140"/>
              <w:spacing w:after="0"/>
              <w:rPr>
                <w:sz w:val="20"/>
                <w:szCs w:val="20"/>
                <w:color w:val="auto"/>
              </w:rPr>
            </w:pPr>
            <w:r>
              <w:rPr>
                <w:rFonts w:ascii="Arial" w:cs="Arial" w:eastAsia="Arial" w:hAnsi="Arial"/>
                <w:sz w:val="17"/>
                <w:szCs w:val="17"/>
                <w:color w:val="auto"/>
              </w:rPr>
              <w:t>with respect to each</w:t>
            </w:r>
          </w:p>
        </w:tc>
        <w:tc>
          <w:tcPr>
            <w:tcW w:w="1100" w:type="dxa"/>
            <w:vAlign w:val="bottom"/>
          </w:tcPr>
          <w:p>
            <w:pPr>
              <w:ind w:left="60"/>
              <w:spacing w:after="0"/>
              <w:rPr>
                <w:sz w:val="20"/>
                <w:szCs w:val="20"/>
                <w:color w:val="auto"/>
              </w:rPr>
            </w:pPr>
            <w:r>
              <w:rPr>
                <w:rFonts w:ascii="Arial" w:cs="Arial" w:eastAsia="Arial" w:hAnsi="Arial"/>
                <w:sz w:val="17"/>
                <w:szCs w:val="17"/>
                <w:color w:val="auto"/>
              </w:rPr>
              <w:t>of shares</w:t>
            </w:r>
          </w:p>
        </w:tc>
        <w:tc>
          <w:tcPr>
            <w:tcW w:w="1780" w:type="dxa"/>
            <w:vAlign w:val="bottom"/>
          </w:tcPr>
          <w:p>
            <w:pPr>
              <w:ind w:left="100"/>
              <w:spacing w:after="0"/>
              <w:rPr>
                <w:sz w:val="20"/>
                <w:szCs w:val="20"/>
                <w:color w:val="auto"/>
              </w:rPr>
            </w:pPr>
            <w:r>
              <w:rPr>
                <w:rFonts w:ascii="Arial" w:cs="Arial" w:eastAsia="Arial" w:hAnsi="Arial"/>
                <w:sz w:val="17"/>
                <w:szCs w:val="17"/>
                <w:color w:val="auto"/>
              </w:rPr>
              <w:t>counted as a “vote</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60" w:type="dxa"/>
            <w:vAlign w:val="bottom"/>
          </w:tcPr>
          <w:p>
            <w:pPr>
              <w:spacing w:after="0"/>
              <w:rPr>
                <w:sz w:val="18"/>
                <w:szCs w:val="18"/>
                <w:color w:val="auto"/>
              </w:rPr>
            </w:pPr>
          </w:p>
        </w:tc>
        <w:tc>
          <w:tcPr>
            <w:tcW w:w="1680" w:type="dxa"/>
            <w:vAlign w:val="bottom"/>
          </w:tcPr>
          <w:p>
            <w:pPr>
              <w:ind w:left="140"/>
              <w:spacing w:after="0"/>
              <w:rPr>
                <w:sz w:val="20"/>
                <w:szCs w:val="20"/>
                <w:color w:val="auto"/>
              </w:rPr>
            </w:pPr>
            <w:r>
              <w:rPr>
                <w:rFonts w:ascii="Arial" w:cs="Arial" w:eastAsia="Arial" w:hAnsi="Arial"/>
                <w:sz w:val="17"/>
                <w:szCs w:val="17"/>
                <w:color w:val="auto"/>
              </w:rPr>
              <w:t>of the director</w:t>
            </w:r>
          </w:p>
        </w:tc>
        <w:tc>
          <w:tcPr>
            <w:tcW w:w="1100" w:type="dxa"/>
            <w:vAlign w:val="bottom"/>
          </w:tcPr>
          <w:p>
            <w:pPr>
              <w:ind w:left="60"/>
              <w:spacing w:after="0"/>
              <w:rPr>
                <w:sz w:val="20"/>
                <w:szCs w:val="20"/>
                <w:color w:val="auto"/>
              </w:rPr>
            </w:pPr>
            <w:r>
              <w:rPr>
                <w:rFonts w:ascii="Arial" w:cs="Arial" w:eastAsia="Arial" w:hAnsi="Arial"/>
                <w:sz w:val="17"/>
                <w:szCs w:val="17"/>
                <w:color w:val="auto"/>
              </w:rPr>
              <w:t>present or</w:t>
            </w:r>
          </w:p>
        </w:tc>
        <w:tc>
          <w:tcPr>
            <w:tcW w:w="1780" w:type="dxa"/>
            <w:vAlign w:val="bottom"/>
          </w:tcPr>
          <w:p>
            <w:pPr>
              <w:ind w:left="100"/>
              <w:spacing w:after="0"/>
              <w:rPr>
                <w:sz w:val="20"/>
                <w:szCs w:val="20"/>
                <w:color w:val="auto"/>
              </w:rPr>
            </w:pPr>
            <w:r>
              <w:rPr>
                <w:rFonts w:ascii="Arial" w:cs="Arial" w:eastAsia="Arial" w:hAnsi="Arial"/>
                <w:sz w:val="17"/>
                <w:szCs w:val="17"/>
                <w:color w:val="auto"/>
              </w:rPr>
              <w:t>cast”</w:t>
            </w: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680" w:type="dxa"/>
            <w:vAlign w:val="bottom"/>
          </w:tcPr>
          <w:p>
            <w:pPr>
              <w:ind w:left="140"/>
              <w:spacing w:after="0" w:line="191" w:lineRule="exact"/>
              <w:rPr>
                <w:sz w:val="20"/>
                <w:szCs w:val="20"/>
                <w:color w:val="auto"/>
              </w:rPr>
            </w:pPr>
            <w:r>
              <w:rPr>
                <w:rFonts w:ascii="Arial" w:cs="Arial" w:eastAsia="Arial" w:hAnsi="Arial"/>
                <w:sz w:val="17"/>
                <w:szCs w:val="17"/>
                <w:color w:val="auto"/>
              </w:rPr>
              <w:t>nominees</w:t>
            </w:r>
          </w:p>
        </w:tc>
        <w:tc>
          <w:tcPr>
            <w:tcW w:w="1100" w:type="dxa"/>
            <w:vAlign w:val="bottom"/>
          </w:tcPr>
          <w:p>
            <w:pPr>
              <w:ind w:left="60"/>
              <w:spacing w:after="0" w:line="191" w:lineRule="exact"/>
              <w:rPr>
                <w:sz w:val="20"/>
                <w:szCs w:val="20"/>
                <w:color w:val="auto"/>
              </w:rPr>
            </w:pPr>
            <w:r>
              <w:rPr>
                <w:rFonts w:ascii="Arial" w:cs="Arial" w:eastAsia="Arial" w:hAnsi="Arial"/>
                <w:sz w:val="17"/>
                <w:szCs w:val="17"/>
                <w:color w:val="auto"/>
              </w:rPr>
              <w:t>represented</w:t>
            </w:r>
          </w:p>
        </w:tc>
        <w:tc>
          <w:tcPr>
            <w:tcW w:w="1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2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7"/>
                <w:szCs w:val="17"/>
                <w:color w:val="auto"/>
              </w:rPr>
              <w:t>by proxy</w:t>
            </w:r>
            <w:r>
              <w:rPr>
                <w:rFonts w:ascii="Arial" w:cs="Arial" w:eastAsia="Arial" w:hAnsi="Arial"/>
                <w:sz w:val="22"/>
                <w:szCs w:val="22"/>
                <w:color w:val="auto"/>
                <w:vertAlign w:val="superscript"/>
              </w:rPr>
              <w:t>(1)</w:t>
            </w: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20320</wp:posOffset>
            </wp:positionV>
            <wp:extent cx="55384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p>
      <w:pPr>
        <w:spacing w:after="0" w:line="104" w:lineRule="exact"/>
        <w:rPr>
          <w:sz w:val="20"/>
          <w:szCs w:val="20"/>
          <w:color w:val="auto"/>
        </w:rPr>
      </w:pPr>
    </w:p>
    <w:p>
      <w:pPr>
        <w:ind w:left="880"/>
        <w:spacing w:after="0"/>
        <w:tabs>
          <w:tab w:leader="none" w:pos="1200" w:val="left"/>
          <w:tab w:leader="none" w:pos="3260" w:val="left"/>
          <w:tab w:leader="none" w:pos="4860" w:val="left"/>
        </w:tabs>
        <w:rPr>
          <w:sz w:val="20"/>
          <w:szCs w:val="20"/>
          <w:color w:val="auto"/>
        </w:rPr>
      </w:pPr>
      <w:r>
        <w:rPr>
          <w:rFonts w:ascii="Arial" w:cs="Arial" w:eastAsia="Arial" w:hAnsi="Arial"/>
          <w:sz w:val="17"/>
          <w:szCs w:val="17"/>
          <w:b w:val="1"/>
          <w:bCs w:val="1"/>
          <w:color w:val="435F86"/>
        </w:rPr>
        <w:t>2.</w:t>
      </w:r>
      <w:r>
        <w:rPr>
          <w:sz w:val="20"/>
          <w:szCs w:val="20"/>
          <w:color w:val="auto"/>
        </w:rPr>
        <w:tab/>
      </w:r>
      <w:r>
        <w:rPr>
          <w:rFonts w:ascii="Arial" w:cs="Arial" w:eastAsia="Arial" w:hAnsi="Arial"/>
          <w:sz w:val="17"/>
          <w:szCs w:val="17"/>
          <w:color w:val="auto"/>
        </w:rPr>
        <w:t>Approval, on an advisory</w:t>
        <w:tab/>
        <w:t>FOR, AGAINST or</w:t>
      </w:r>
      <w:r>
        <w:rPr>
          <w:sz w:val="20"/>
          <w:szCs w:val="20"/>
          <w:color w:val="auto"/>
        </w:rPr>
        <w:tab/>
      </w:r>
      <w:r>
        <w:rPr>
          <w:rFonts w:ascii="Arial" w:cs="Arial" w:eastAsia="Arial" w:hAnsi="Arial"/>
          <w:sz w:val="16"/>
          <w:szCs w:val="16"/>
          <w:color w:val="auto"/>
        </w:rPr>
        <w:t>Majority of the</w:t>
      </w:r>
    </w:p>
    <w:p>
      <w:pPr>
        <w:spacing w:after="0" w:line="30" w:lineRule="exact"/>
        <w:rPr>
          <w:sz w:val="20"/>
          <w:szCs w:val="20"/>
          <w:color w:val="auto"/>
        </w:rPr>
      </w:pPr>
    </w:p>
    <w:p>
      <w:pPr>
        <w:ind w:left="1220"/>
        <w:spacing w:after="0"/>
        <w:tabs>
          <w:tab w:leader="none" w:pos="4860" w:val="left"/>
        </w:tabs>
        <w:rPr>
          <w:sz w:val="20"/>
          <w:szCs w:val="20"/>
          <w:color w:val="auto"/>
        </w:rPr>
      </w:pPr>
      <w:r>
        <w:rPr>
          <w:rFonts w:ascii="Arial" w:cs="Arial" w:eastAsia="Arial" w:hAnsi="Arial"/>
          <w:sz w:val="17"/>
          <w:szCs w:val="17"/>
          <w:color w:val="auto"/>
        </w:rPr>
        <w:t>basis, of the compensation ABSTAIN</w:t>
      </w:r>
      <w:r>
        <w:rPr>
          <w:sz w:val="20"/>
          <w:szCs w:val="20"/>
          <w:color w:val="auto"/>
        </w:rPr>
        <w:tab/>
      </w:r>
      <w:r>
        <w:rPr>
          <w:rFonts w:ascii="Arial" w:cs="Arial" w:eastAsia="Arial" w:hAnsi="Arial"/>
          <w:sz w:val="16"/>
          <w:szCs w:val="16"/>
          <w:color w:val="auto"/>
        </w:rPr>
        <w:t>shares</w:t>
      </w:r>
    </w:p>
    <w:p>
      <w:pPr>
        <w:spacing w:after="0" w:line="12" w:lineRule="exact"/>
        <w:rPr>
          <w:sz w:val="20"/>
          <w:szCs w:val="20"/>
          <w:color w:val="auto"/>
        </w:rPr>
      </w:pPr>
    </w:p>
    <w:p>
      <w:pPr>
        <w:ind w:left="1220"/>
        <w:spacing w:after="0"/>
        <w:tabs>
          <w:tab w:leader="none" w:pos="4860" w:val="left"/>
        </w:tabs>
        <w:rPr>
          <w:sz w:val="20"/>
          <w:szCs w:val="20"/>
          <w:color w:val="auto"/>
        </w:rPr>
      </w:pPr>
      <w:r>
        <w:rPr>
          <w:rFonts w:ascii="Arial" w:cs="Arial" w:eastAsia="Arial" w:hAnsi="Arial"/>
          <w:sz w:val="17"/>
          <w:szCs w:val="17"/>
          <w:color w:val="auto"/>
        </w:rPr>
        <w:t>of our named executive</w:t>
      </w:r>
      <w:r>
        <w:rPr>
          <w:sz w:val="20"/>
          <w:szCs w:val="20"/>
          <w:color w:val="auto"/>
        </w:rPr>
        <w:tab/>
      </w:r>
      <w:r>
        <w:rPr>
          <w:rFonts w:ascii="Arial" w:cs="Arial" w:eastAsia="Arial" w:hAnsi="Arial"/>
          <w:sz w:val="16"/>
          <w:szCs w:val="16"/>
          <w:color w:val="auto"/>
        </w:rPr>
        <w:t>present or</w:t>
      </w:r>
    </w:p>
    <w:p>
      <w:pPr>
        <w:spacing w:after="0" w:line="12" w:lineRule="exact"/>
        <w:rPr>
          <w:sz w:val="20"/>
          <w:szCs w:val="20"/>
          <w:color w:val="auto"/>
        </w:rPr>
      </w:pPr>
    </w:p>
    <w:p>
      <w:pPr>
        <w:ind w:left="1220"/>
        <w:spacing w:after="0"/>
        <w:tabs>
          <w:tab w:leader="none" w:pos="4860" w:val="left"/>
        </w:tabs>
        <w:rPr>
          <w:sz w:val="20"/>
          <w:szCs w:val="20"/>
          <w:color w:val="auto"/>
        </w:rPr>
      </w:pPr>
      <w:r>
        <w:rPr>
          <w:rFonts w:ascii="Arial" w:cs="Arial" w:eastAsia="Arial" w:hAnsi="Arial"/>
          <w:sz w:val="17"/>
          <w:szCs w:val="17"/>
          <w:color w:val="auto"/>
        </w:rPr>
        <w:t>officers</w:t>
      </w:r>
      <w:r>
        <w:rPr>
          <w:sz w:val="20"/>
          <w:szCs w:val="20"/>
          <w:color w:val="auto"/>
        </w:rPr>
        <w:tab/>
      </w:r>
      <w:r>
        <w:rPr>
          <w:rFonts w:ascii="Arial" w:cs="Arial" w:eastAsia="Arial" w:hAnsi="Arial"/>
          <w:sz w:val="17"/>
          <w:szCs w:val="17"/>
          <w:color w:val="auto"/>
        </w:rPr>
        <w:t>represented</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by proxy and</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entitled to</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vote on the</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subject</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74295</wp:posOffset>
            </wp:positionV>
            <wp:extent cx="5538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tabs>
          <w:tab w:leader="none" w:pos="2060" w:val="left"/>
          <w:tab w:leader="none" w:pos="2920" w:val="left"/>
        </w:tabs>
        <w:rPr>
          <w:sz w:val="20"/>
          <w:szCs w:val="20"/>
          <w:color w:val="auto"/>
        </w:rPr>
      </w:pPr>
      <w:r>
        <w:rPr>
          <w:rFonts w:ascii="Arial" w:cs="Arial" w:eastAsia="Arial" w:hAnsi="Arial"/>
          <w:sz w:val="17"/>
          <w:szCs w:val="17"/>
          <w:color w:val="auto"/>
        </w:rPr>
        <w:t>Broker non-votes will</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6"/>
          <w:szCs w:val="16"/>
          <w:color w:val="auto"/>
        </w:rPr>
        <w:t>Yes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have no effect — not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counted as a “vote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cast”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Abstentions will have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a “vote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against”</w:t>
      </w:r>
    </w:p>
    <w:p>
      <w:pPr>
        <w:spacing w:after="0" w:line="500" w:lineRule="exact"/>
        <w:rPr>
          <w:sz w:val="20"/>
          <w:szCs w:val="20"/>
          <w:color w:val="auto"/>
        </w:rPr>
      </w:pPr>
    </w:p>
    <w:p>
      <w:pPr>
        <w:sectPr>
          <w:pgSz w:w="11900" w:h="16838" w:orient="portrait"/>
          <w:cols w:equalWidth="0" w:num="2">
            <w:col w:w="5920" w:space="100"/>
            <w:col w:w="3639"/>
          </w:cols>
          <w:pgMar w:left="800" w:top="93" w:right="1440" w:bottom="1440" w:gutter="0" w:footer="0" w:header="0"/>
          <w:type w:val="continuous"/>
        </w:sectPr>
      </w:pPr>
    </w:p>
    <w:p>
      <w:pPr>
        <w:ind w:left="880"/>
        <w:spacing w:after="0"/>
        <w:tabs>
          <w:tab w:leader="none" w:pos="1200" w:val="left"/>
          <w:tab w:leader="none" w:pos="3260" w:val="left"/>
          <w:tab w:leader="none" w:pos="4860" w:val="left"/>
        </w:tabs>
        <w:rPr>
          <w:sz w:val="20"/>
          <w:szCs w:val="20"/>
          <w:color w:val="auto"/>
        </w:rPr>
      </w:pPr>
      <w:r>
        <w:rPr>
          <w:rFonts w:ascii="Arial" w:cs="Arial" w:eastAsia="Arial" w:hAnsi="Arial"/>
          <w:sz w:val="17"/>
          <w:szCs w:val="17"/>
          <w:b w:val="1"/>
          <w:bCs w:val="1"/>
          <w:color w:val="435F86"/>
        </w:rPr>
        <w:t>3.</w:t>
      </w:r>
      <w:r>
        <w:rPr>
          <w:sz w:val="20"/>
          <w:szCs w:val="20"/>
          <w:color w:val="auto"/>
        </w:rPr>
        <w:tab/>
      </w:r>
      <w:r>
        <w:rPr>
          <w:rFonts w:ascii="Arial" w:cs="Arial" w:eastAsia="Arial" w:hAnsi="Arial"/>
          <w:sz w:val="17"/>
          <w:szCs w:val="17"/>
          <w:color w:val="auto"/>
        </w:rPr>
        <w:t>Ratification of the</w:t>
      </w:r>
      <w:r>
        <w:rPr>
          <w:sz w:val="20"/>
          <w:szCs w:val="20"/>
          <w:color w:val="auto"/>
        </w:rPr>
        <w:tab/>
      </w:r>
      <w:r>
        <w:rPr>
          <w:rFonts w:ascii="Arial" w:cs="Arial" w:eastAsia="Arial" w:hAnsi="Arial"/>
          <w:sz w:val="17"/>
          <w:szCs w:val="17"/>
          <w:color w:val="auto"/>
        </w:rPr>
        <w:t>FOR, AGAINST or</w:t>
      </w:r>
      <w:r>
        <w:rPr>
          <w:sz w:val="20"/>
          <w:szCs w:val="20"/>
          <w:color w:val="auto"/>
        </w:rPr>
        <w:tab/>
      </w:r>
      <w:r>
        <w:rPr>
          <w:rFonts w:ascii="Arial" w:cs="Arial" w:eastAsia="Arial" w:hAnsi="Arial"/>
          <w:sz w:val="16"/>
          <w:szCs w:val="16"/>
          <w:color w:val="auto"/>
        </w:rPr>
        <w:t>Majority of the</w:t>
      </w:r>
    </w:p>
    <w:p>
      <w:pPr>
        <w:spacing w:after="0" w:line="30" w:lineRule="exact"/>
        <w:rPr>
          <w:sz w:val="20"/>
          <w:szCs w:val="20"/>
          <w:color w:val="auto"/>
        </w:rPr>
      </w:pPr>
    </w:p>
    <w:p>
      <w:pPr>
        <w:ind w:left="1220"/>
        <w:spacing w:after="0"/>
        <w:tabs>
          <w:tab w:leader="none" w:pos="3260" w:val="left"/>
          <w:tab w:leader="none" w:pos="4860" w:val="left"/>
        </w:tabs>
        <w:rPr>
          <w:sz w:val="20"/>
          <w:szCs w:val="20"/>
          <w:color w:val="auto"/>
        </w:rPr>
      </w:pPr>
      <w:r>
        <w:rPr>
          <w:rFonts w:ascii="Arial" w:cs="Arial" w:eastAsia="Arial" w:hAnsi="Arial"/>
          <w:sz w:val="17"/>
          <w:szCs w:val="17"/>
          <w:color w:val="auto"/>
        </w:rPr>
        <w:t>appointment of</w:t>
      </w:r>
      <w:r>
        <w:rPr>
          <w:sz w:val="20"/>
          <w:szCs w:val="20"/>
          <w:color w:val="auto"/>
        </w:rPr>
        <w:tab/>
      </w:r>
      <w:r>
        <w:rPr>
          <w:rFonts w:ascii="Arial" w:cs="Arial" w:eastAsia="Arial" w:hAnsi="Arial"/>
          <w:sz w:val="17"/>
          <w:szCs w:val="17"/>
          <w:color w:val="auto"/>
        </w:rPr>
        <w:t>ABSTAIN</w:t>
      </w:r>
      <w:r>
        <w:rPr>
          <w:sz w:val="20"/>
          <w:szCs w:val="20"/>
          <w:color w:val="auto"/>
        </w:rPr>
        <w:tab/>
      </w:r>
      <w:r>
        <w:rPr>
          <w:rFonts w:ascii="Arial" w:cs="Arial" w:eastAsia="Arial" w:hAnsi="Arial"/>
          <w:sz w:val="16"/>
          <w:szCs w:val="16"/>
          <w:color w:val="auto"/>
        </w:rPr>
        <w:t>shares</w:t>
      </w:r>
    </w:p>
    <w:p>
      <w:pPr>
        <w:spacing w:after="0" w:line="12" w:lineRule="exact"/>
        <w:rPr>
          <w:sz w:val="20"/>
          <w:szCs w:val="20"/>
          <w:color w:val="auto"/>
        </w:rPr>
      </w:pPr>
    </w:p>
    <w:p>
      <w:pPr>
        <w:ind w:left="1220"/>
        <w:spacing w:after="0"/>
        <w:tabs>
          <w:tab w:leader="none" w:pos="4860" w:val="left"/>
        </w:tabs>
        <w:rPr>
          <w:sz w:val="20"/>
          <w:szCs w:val="20"/>
          <w:color w:val="auto"/>
        </w:rPr>
      </w:pPr>
      <w:r>
        <w:rPr>
          <w:rFonts w:ascii="Arial" w:cs="Arial" w:eastAsia="Arial" w:hAnsi="Arial"/>
          <w:sz w:val="17"/>
          <w:szCs w:val="17"/>
          <w:color w:val="auto"/>
        </w:rPr>
        <w:t>independent auditors</w:t>
      </w:r>
      <w:r>
        <w:rPr>
          <w:sz w:val="20"/>
          <w:szCs w:val="20"/>
          <w:color w:val="auto"/>
        </w:rPr>
        <w:tab/>
      </w:r>
      <w:r>
        <w:rPr>
          <w:rFonts w:ascii="Arial" w:cs="Arial" w:eastAsia="Arial" w:hAnsi="Arial"/>
          <w:sz w:val="16"/>
          <w:szCs w:val="16"/>
          <w:color w:val="auto"/>
        </w:rPr>
        <w:t>present or</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represented</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by proxy and</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entitled to</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vote on the</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subject</w:t>
      </w:r>
    </w:p>
    <w:p>
      <w:pPr>
        <w:spacing w:after="0" w:line="1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74295</wp:posOffset>
            </wp:positionV>
            <wp:extent cx="553847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538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040" w:val="left"/>
          <w:tab w:leader="none" w:pos="2920" w:val="left"/>
        </w:tabs>
        <w:rPr>
          <w:sz w:val="20"/>
          <w:szCs w:val="20"/>
          <w:color w:val="auto"/>
        </w:rPr>
      </w:pPr>
      <w:r>
        <w:rPr>
          <w:rFonts w:ascii="Arial" w:cs="Arial" w:eastAsia="Arial" w:hAnsi="Arial"/>
          <w:sz w:val="17"/>
          <w:szCs w:val="17"/>
          <w:color w:val="auto"/>
        </w:rPr>
        <w:t>Broker non-votes will</w:t>
      </w:r>
      <w:r>
        <w:rPr>
          <w:sz w:val="20"/>
          <w:szCs w:val="20"/>
          <w:color w:val="auto"/>
        </w:rPr>
        <w:tab/>
      </w:r>
      <w:r>
        <w:rPr>
          <w:rFonts w:ascii="Arial" w:cs="Arial" w:eastAsia="Arial" w:hAnsi="Arial"/>
          <w:sz w:val="17"/>
          <w:szCs w:val="17"/>
          <w:color w:val="auto"/>
        </w:rPr>
        <w:t>Yes</w:t>
      </w:r>
      <w:r>
        <w:rPr>
          <w:sz w:val="20"/>
          <w:szCs w:val="20"/>
          <w:color w:val="auto"/>
        </w:rPr>
        <w:tab/>
      </w:r>
      <w:r>
        <w:rPr>
          <w:rFonts w:ascii="Arial" w:cs="Arial" w:eastAsia="Arial" w:hAnsi="Arial"/>
          <w:sz w:val="16"/>
          <w:szCs w:val="16"/>
          <w:color w:val="auto"/>
        </w:rPr>
        <w:t>Yes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have no effect — not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counted as a “vote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cast”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Abstentions will have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effect of a “vote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against”</w:t>
      </w:r>
    </w:p>
    <w:p>
      <w:pPr>
        <w:spacing w:after="0" w:line="511" w:lineRule="exact"/>
        <w:rPr>
          <w:sz w:val="20"/>
          <w:szCs w:val="20"/>
          <w:color w:val="auto"/>
        </w:rPr>
      </w:pPr>
    </w:p>
    <w:p>
      <w:pPr>
        <w:sectPr>
          <w:pgSz w:w="11900" w:h="16838" w:orient="portrait"/>
          <w:cols w:equalWidth="0" w:num="2">
            <w:col w:w="5920" w:space="100"/>
            <w:col w:w="3639"/>
          </w:cols>
          <w:pgMar w:left="800" w:top="93" w:right="1440" w:bottom="1440" w:gutter="0" w:footer="0" w:header="0"/>
          <w:type w:val="continuous"/>
        </w:sectPr>
      </w:pPr>
    </w:p>
    <w:p>
      <w:pPr>
        <w:spacing w:after="0" w:line="4" w:lineRule="exact"/>
        <w:rPr>
          <w:sz w:val="20"/>
          <w:szCs w:val="20"/>
          <w:color w:val="auto"/>
        </w:rPr>
      </w:pPr>
    </w:p>
    <w:p>
      <w:pPr>
        <w:ind w:left="1120" w:right="259" w:hanging="337"/>
        <w:spacing w:after="0" w:line="261" w:lineRule="auto"/>
        <w:tabs>
          <w:tab w:leader="none" w:pos="11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While our directors are elected by a plurality voting standard, we have adopted a majority voting policy for the election of directors in our Corporate Governance Guidelines. Pursuant to the majority voting policy, in an uncontested election, a director nominee must receive more votes cast “FOR” his or her election than votes “WITHHELD” to be elected. If any nominee for director receives a greater number of votes “withheld” than votes “for” such election, our Corporate Governance Guidelines require that such person must promptly tender his or her resignation to the NCG Committee following certification of the vote and the NCG Committee shall recommend such action(s) to be taken to the Board for their review and consideration.</w:t>
      </w:r>
    </w:p>
    <w:p>
      <w:pPr>
        <w:spacing w:after="0" w:line="73" w:lineRule="exact"/>
        <w:rPr>
          <w:sz w:val="20"/>
          <w:szCs w:val="20"/>
          <w:color w:val="auto"/>
        </w:rPr>
      </w:pPr>
    </w:p>
    <w:p>
      <w:pPr>
        <w:ind w:left="1120" w:right="199"/>
        <w:spacing w:after="0" w:line="259" w:lineRule="auto"/>
        <w:rPr>
          <w:sz w:val="20"/>
          <w:szCs w:val="20"/>
          <w:color w:val="auto"/>
        </w:rPr>
      </w:pPr>
      <w:r>
        <w:rPr>
          <w:rFonts w:ascii="Arial" w:cs="Arial" w:eastAsia="Arial" w:hAnsi="Arial"/>
          <w:sz w:val="20"/>
          <w:szCs w:val="20"/>
          <w:color w:val="auto"/>
        </w:rPr>
        <w:t>If you are a stockholder of record and you sign and return your proxy card without giving specific voting instructions, your shares will be voted on the proposals as recommended by our Board and in accordance with the discretion of the persons named on the proxy card with respect to any other matters that may properly come before the Annual Meeting.</w:t>
      </w:r>
    </w:p>
    <w:p>
      <w:pPr>
        <w:spacing w:after="0" w:line="85" w:lineRule="exact"/>
        <w:rPr>
          <w:sz w:val="20"/>
          <w:szCs w:val="20"/>
          <w:color w:val="auto"/>
        </w:rPr>
      </w:pPr>
    </w:p>
    <w:p>
      <w:pPr>
        <w:ind w:left="1120" w:right="419"/>
        <w:spacing w:after="0" w:line="248" w:lineRule="auto"/>
        <w:rPr>
          <w:sz w:val="20"/>
          <w:szCs w:val="20"/>
          <w:color w:val="auto"/>
        </w:rPr>
      </w:pPr>
      <w:r>
        <w:rPr>
          <w:rFonts w:ascii="Arial" w:cs="Arial" w:eastAsia="Arial" w:hAnsi="Arial"/>
          <w:sz w:val="21"/>
          <w:szCs w:val="21"/>
          <w:color w:val="auto"/>
        </w:rPr>
        <w:t>If your shares are held in street name and you do not instruct your broker on a timely basis on how to vote your shares, your brokerage firm, in its discretion, may either leave your shares unvoted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134620</wp:posOffset>
            </wp:positionV>
            <wp:extent cx="5538470" cy="16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ind w:left="780"/>
        <w:spacing w:after="0"/>
        <w:tabs>
          <w:tab w:leader="none" w:pos="5040" w:val="left"/>
        </w:tabs>
        <w:rPr>
          <w:sz w:val="20"/>
          <w:szCs w:val="20"/>
          <w:color w:val="auto"/>
        </w:rPr>
      </w:pPr>
      <w:r>
        <w:rPr>
          <w:rFonts w:ascii="Arial" w:cs="Arial" w:eastAsia="Arial" w:hAnsi="Arial"/>
          <w:sz w:val="17"/>
          <w:szCs w:val="17"/>
          <w:color w:val="auto"/>
        </w:rPr>
        <w:t>2025 Notice and Proxy Statement</w:t>
      </w:r>
      <w:r>
        <w:rPr>
          <w:sz w:val="20"/>
          <w:szCs w:val="20"/>
          <w:color w:val="auto"/>
        </w:rPr>
        <w:tab/>
      </w:r>
      <w:r>
        <w:rPr>
          <w:rFonts w:ascii="Arial" w:cs="Arial" w:eastAsia="Arial" w:hAnsi="Arial"/>
          <w:sz w:val="24"/>
          <w:szCs w:val="24"/>
          <w:color w:val="auto"/>
          <w:vertAlign w:val="superscript"/>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36830</wp:posOffset>
            </wp:positionV>
            <wp:extent cx="6569710" cy="419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jc w:val="right"/>
        <w:ind w:right="159"/>
        <w:spacing w:after="0"/>
        <w:rPr>
          <w:sz w:val="20"/>
          <w:szCs w:val="20"/>
          <w:color w:val="auto"/>
        </w:rPr>
      </w:pPr>
      <w:r>
        <w:rPr>
          <w:rFonts w:ascii="Arial" w:cs="Arial" w:eastAsia="Arial" w:hAnsi="Arial"/>
          <w:sz w:val="17"/>
          <w:szCs w:val="17"/>
          <w:b w:val="1"/>
          <w:bCs w:val="1"/>
          <w:color w:val="auto"/>
        </w:rPr>
        <w:t>Questions and Answers About the Proxy Statement and Our 2025 Annual Meeting of Stockholders</w:t>
      </w:r>
    </w:p>
    <w:p>
      <w:pPr>
        <w:spacing w:after="0" w:line="200" w:lineRule="exact"/>
        <w:rPr>
          <w:sz w:val="20"/>
          <w:szCs w:val="20"/>
          <w:color w:val="auto"/>
        </w:rPr>
      </w:pPr>
    </w:p>
    <w:p>
      <w:pPr>
        <w:spacing w:after="0" w:line="246" w:lineRule="exact"/>
        <w:rPr>
          <w:sz w:val="20"/>
          <w:szCs w:val="20"/>
          <w:color w:val="auto"/>
        </w:rPr>
      </w:pPr>
    </w:p>
    <w:p>
      <w:pPr>
        <w:ind w:left="1120" w:right="199"/>
        <w:spacing w:after="0" w:line="260" w:lineRule="auto"/>
        <w:rPr>
          <w:sz w:val="20"/>
          <w:szCs w:val="20"/>
          <w:color w:val="auto"/>
        </w:rPr>
      </w:pPr>
      <w:r>
        <w:rPr>
          <w:rFonts w:ascii="Arial" w:cs="Arial" w:eastAsia="Arial" w:hAnsi="Arial"/>
          <w:sz w:val="20"/>
          <w:szCs w:val="20"/>
          <w:color w:val="auto"/>
        </w:rPr>
        <w:t>or vote your shares on routine matters. Only the ratification of Ernst &amp; Young LLP as our independent registered public accounting firm is a routine matter. Without your voting instructions, your brokerage firm cannot vote your shares on Proposal 1 or Proposal 2. These unvoted shares, called “broker non-votes,” refer to shares held by brokers who have not received voting instructions from their clients and who do not have discretionary authority to vote on non-routine matters. Broker non-votes are not considered entitled to vote on non-routine proposals. Broker non-votes will have no effect on the outcome of the election of any director nominee or of the advisory vote on named executive officer compensation.</w:t>
      </w:r>
    </w:p>
    <w:p>
      <w:pPr>
        <w:spacing w:after="0" w:line="158" w:lineRule="exact"/>
        <w:rPr>
          <w:sz w:val="20"/>
          <w:szCs w:val="20"/>
          <w:color w:val="auto"/>
        </w:rPr>
      </w:pPr>
    </w:p>
    <w:p>
      <w:pPr>
        <w:ind w:left="1120" w:right="819" w:hanging="337"/>
        <w:spacing w:after="0" w:line="263" w:lineRule="auto"/>
        <w:tabs>
          <w:tab w:leader="none" w:pos="1120" w:val="left"/>
        </w:tabs>
        <w:numPr>
          <w:ilvl w:val="0"/>
          <w:numId w:val="81"/>
        </w:numPr>
        <w:rPr>
          <w:rFonts w:ascii="Arial" w:cs="Arial" w:eastAsia="Arial" w:hAnsi="Arial"/>
          <w:sz w:val="28"/>
          <w:szCs w:val="28"/>
          <w:color w:val="auto"/>
        </w:rPr>
      </w:pPr>
      <w:r>
        <w:rPr>
          <w:rFonts w:ascii="Arial" w:cs="Arial" w:eastAsia="Arial" w:hAnsi="Arial"/>
          <w:sz w:val="28"/>
          <w:szCs w:val="28"/>
          <w:color w:val="auto"/>
        </w:rPr>
        <w:t>Who will count the votes? Where can I find the voting results of the Annual Meeting?</w:t>
      </w:r>
    </w:p>
    <w:p>
      <w:pPr>
        <w:spacing w:after="0" w:line="64" w:lineRule="exact"/>
        <w:rPr>
          <w:sz w:val="20"/>
          <w:szCs w:val="20"/>
          <w:color w:val="auto"/>
        </w:rPr>
      </w:pPr>
    </w:p>
    <w:p>
      <w:pPr>
        <w:ind w:left="1120" w:right="219" w:hanging="337"/>
        <w:spacing w:after="0" w:line="251" w:lineRule="auto"/>
        <w:tabs>
          <w:tab w:leader="none" w:pos="1120" w:val="left"/>
        </w:tabs>
        <w:numPr>
          <w:ilvl w:val="0"/>
          <w:numId w:val="82"/>
        </w:numPr>
        <w:rPr>
          <w:rFonts w:ascii="Arial" w:cs="Arial" w:eastAsia="Arial" w:hAnsi="Arial"/>
          <w:sz w:val="21"/>
          <w:szCs w:val="21"/>
          <w:b w:val="1"/>
          <w:bCs w:val="1"/>
          <w:color w:val="28B5DE"/>
        </w:rPr>
      </w:pPr>
      <w:r>
        <w:rPr>
          <w:rFonts w:ascii="Arial" w:cs="Arial" w:eastAsia="Arial" w:hAnsi="Arial"/>
          <w:sz w:val="21"/>
          <w:szCs w:val="21"/>
          <w:color w:val="auto"/>
        </w:rPr>
        <w:t>An inspector of elections appointed for the Annual Meeting will tabulate the votes. Preliminary voting results will be announced at the Annual Meeting. Final voting results will be reported in a Current Report on Form 8-K, which will be filed with the SEC within four business days following the Annual Meeting.</w:t>
      </w:r>
    </w:p>
    <w:p>
      <w:pPr>
        <w:spacing w:after="0" w:line="167" w:lineRule="exact"/>
        <w:rPr>
          <w:sz w:val="20"/>
          <w:szCs w:val="20"/>
          <w:color w:val="auto"/>
        </w:rPr>
      </w:pPr>
    </w:p>
    <w:p>
      <w:pPr>
        <w:ind w:left="780"/>
        <w:spacing w:after="0"/>
        <w:rPr>
          <w:sz w:val="20"/>
          <w:szCs w:val="20"/>
          <w:color w:val="auto"/>
        </w:rPr>
      </w:pPr>
      <w:r>
        <w:rPr>
          <w:rFonts w:ascii="Arial" w:cs="Arial" w:eastAsia="Arial" w:hAnsi="Arial"/>
          <w:sz w:val="28"/>
          <w:szCs w:val="28"/>
          <w:color w:val="auto"/>
        </w:rPr>
        <w:t>Q: Who will bear the cost of soliciting votes for the Annual Meeting?</w:t>
      </w:r>
    </w:p>
    <w:p>
      <w:pPr>
        <w:spacing w:after="0" w:line="136" w:lineRule="exact"/>
        <w:rPr>
          <w:sz w:val="20"/>
          <w:szCs w:val="20"/>
          <w:color w:val="auto"/>
        </w:rPr>
      </w:pPr>
    </w:p>
    <w:p>
      <w:pPr>
        <w:ind w:left="1120" w:right="339" w:hanging="337"/>
        <w:spacing w:after="0" w:line="277" w:lineRule="auto"/>
        <w:tabs>
          <w:tab w:leader="none" w:pos="1120" w:val="left"/>
        </w:tabs>
        <w:numPr>
          <w:ilvl w:val="0"/>
          <w:numId w:val="83"/>
        </w:numPr>
        <w:rPr>
          <w:rFonts w:ascii="Arial" w:cs="Arial" w:eastAsia="Arial" w:hAnsi="Arial"/>
          <w:sz w:val="21"/>
          <w:szCs w:val="21"/>
          <w:b w:val="1"/>
          <w:bCs w:val="1"/>
          <w:color w:val="28B5DE"/>
        </w:rPr>
      </w:pPr>
      <w:r>
        <w:rPr>
          <w:rFonts w:ascii="Arial" w:cs="Arial" w:eastAsia="Arial" w:hAnsi="Arial"/>
          <w:sz w:val="21"/>
          <w:szCs w:val="21"/>
          <w:color w:val="auto"/>
        </w:rPr>
        <w:t>Sotera Health will bear the entire cost of proxy solicitation, including the preparation, assembly, printing, mailing and distribution of the proxy materials.</w:t>
      </w:r>
    </w:p>
    <w:p>
      <w:pPr>
        <w:spacing w:after="0" w:line="140" w:lineRule="exact"/>
        <w:rPr>
          <w:sz w:val="20"/>
          <w:szCs w:val="20"/>
          <w:color w:val="auto"/>
        </w:rPr>
      </w:pPr>
    </w:p>
    <w:p>
      <w:pPr>
        <w:ind w:left="1120" w:right="179" w:hanging="337"/>
        <w:spacing w:after="0" w:line="282" w:lineRule="auto"/>
        <w:tabs>
          <w:tab w:leader="none" w:pos="1120" w:val="left"/>
        </w:tabs>
        <w:numPr>
          <w:ilvl w:val="0"/>
          <w:numId w:val="84"/>
        </w:numPr>
        <w:rPr>
          <w:rFonts w:ascii="Arial" w:cs="Arial" w:eastAsia="Arial" w:hAnsi="Arial"/>
          <w:sz w:val="27"/>
          <w:szCs w:val="27"/>
          <w:color w:val="auto"/>
        </w:rPr>
      </w:pPr>
      <w:r>
        <w:rPr>
          <w:rFonts w:ascii="Arial" w:cs="Arial" w:eastAsia="Arial" w:hAnsi="Arial"/>
          <w:sz w:val="27"/>
          <w:szCs w:val="27"/>
          <w:color w:val="auto"/>
        </w:rPr>
        <w:t>Why did I receive a notice in the mail regarding the internet availability of proxy materials instead of a full set of proxy materials in the mail?</w:t>
      </w:r>
    </w:p>
    <w:p>
      <w:pPr>
        <w:spacing w:after="0" w:line="40" w:lineRule="exact"/>
        <w:rPr>
          <w:sz w:val="20"/>
          <w:szCs w:val="20"/>
          <w:color w:val="auto"/>
        </w:rPr>
      </w:pPr>
    </w:p>
    <w:p>
      <w:pPr>
        <w:ind w:left="1120" w:right="159" w:hanging="337"/>
        <w:spacing w:after="0" w:line="277" w:lineRule="auto"/>
        <w:tabs>
          <w:tab w:leader="none" w:pos="1120" w:val="left"/>
        </w:tabs>
        <w:numPr>
          <w:ilvl w:val="0"/>
          <w:numId w:val="85"/>
        </w:numPr>
        <w:rPr>
          <w:rFonts w:ascii="Arial" w:cs="Arial" w:eastAsia="Arial" w:hAnsi="Arial"/>
          <w:sz w:val="19"/>
          <w:szCs w:val="19"/>
          <w:b w:val="1"/>
          <w:bCs w:val="1"/>
          <w:color w:val="28B5DE"/>
        </w:rPr>
      </w:pPr>
      <w:r>
        <w:rPr>
          <w:rFonts w:ascii="Arial" w:cs="Arial" w:eastAsia="Arial" w:hAnsi="Arial"/>
          <w:sz w:val="19"/>
          <w:szCs w:val="19"/>
          <w:color w:val="auto"/>
        </w:rPr>
        <w:t>In accordance with SEC rules, we are furnishing proxy materials to our stockholders primarily via the internet, instead of mailing printed copies of those materials to each stockholder. On April 10, 2025, we commenced mailing a Notice of Internet Availability to our stockholders (other than those who had previously requested electronic or paper delivery) containing instructions on how to access our proxy materials, including this Proxy Statement and our Annual Report. The Notice of Internet Availability also instructs you on how to vote over the internet.</w:t>
      </w:r>
    </w:p>
    <w:p>
      <w:pPr>
        <w:spacing w:after="0" w:line="70" w:lineRule="exact"/>
        <w:rPr>
          <w:rFonts w:ascii="Arial" w:cs="Arial" w:eastAsia="Arial" w:hAnsi="Arial"/>
          <w:sz w:val="19"/>
          <w:szCs w:val="19"/>
          <w:b w:val="1"/>
          <w:bCs w:val="1"/>
          <w:color w:val="28B5DE"/>
        </w:rPr>
      </w:pPr>
    </w:p>
    <w:p>
      <w:pPr>
        <w:ind w:left="1120" w:right="259"/>
        <w:spacing w:after="0" w:line="282" w:lineRule="auto"/>
        <w:rPr>
          <w:rFonts w:ascii="Arial" w:cs="Arial" w:eastAsia="Arial" w:hAnsi="Arial"/>
          <w:sz w:val="19"/>
          <w:szCs w:val="19"/>
          <w:b w:val="1"/>
          <w:bCs w:val="1"/>
          <w:color w:val="28B5DE"/>
        </w:rPr>
      </w:pPr>
      <w:r>
        <w:rPr>
          <w:rFonts w:ascii="Arial" w:cs="Arial" w:eastAsia="Arial" w:hAnsi="Arial"/>
          <w:sz w:val="19"/>
          <w:szCs w:val="19"/>
          <w:color w:val="auto"/>
        </w:rPr>
        <w:t>This process is designed to expedite stockholders’ receipt of proxy materials, reduce the cost of the Annual Meeting and help conserve natural resources. However, if you would prefer to receive printed proxy materials, please follow the instructions included in the Notice of Internet Availability. If you have previously elected to receive our proxy materials electronically, you will continue to receive these materials via e-mail unless you elect otherwise.</w:t>
      </w:r>
    </w:p>
    <w:p>
      <w:pPr>
        <w:spacing w:after="0" w:line="140" w:lineRule="exact"/>
        <w:rPr>
          <w:sz w:val="20"/>
          <w:szCs w:val="20"/>
          <w:color w:val="auto"/>
        </w:rPr>
      </w:pPr>
    </w:p>
    <w:p>
      <w:pPr>
        <w:ind w:left="1120" w:right="279" w:hanging="337"/>
        <w:spacing w:after="0" w:line="242" w:lineRule="auto"/>
        <w:tabs>
          <w:tab w:leader="none" w:pos="1120" w:val="left"/>
        </w:tabs>
        <w:numPr>
          <w:ilvl w:val="0"/>
          <w:numId w:val="86"/>
        </w:numPr>
        <w:rPr>
          <w:rFonts w:ascii="Arial" w:cs="Arial" w:eastAsia="Arial" w:hAnsi="Arial"/>
          <w:sz w:val="28"/>
          <w:szCs w:val="28"/>
          <w:color w:val="auto"/>
        </w:rPr>
      </w:pPr>
      <w:r>
        <w:rPr>
          <w:rFonts w:ascii="Arial" w:cs="Arial" w:eastAsia="Arial" w:hAnsi="Arial"/>
          <w:sz w:val="28"/>
          <w:szCs w:val="28"/>
          <w:color w:val="auto"/>
        </w:rPr>
        <w:t>I share an address with another stockholder, and we received only one paper copy or we received multiple paper copies of the proxy materials. How can I obtain an additional copy, or a single copy, as applicable, of the proxy materials?</w:t>
      </w:r>
    </w:p>
    <w:p>
      <w:pPr>
        <w:spacing w:after="0" w:line="94" w:lineRule="exact"/>
        <w:rPr>
          <w:sz w:val="20"/>
          <w:szCs w:val="20"/>
          <w:color w:val="auto"/>
        </w:rPr>
      </w:pPr>
    </w:p>
    <w:p>
      <w:pPr>
        <w:ind w:left="1120" w:right="259" w:hanging="337"/>
        <w:spacing w:after="0" w:line="294" w:lineRule="auto"/>
        <w:tabs>
          <w:tab w:leader="none" w:pos="1120" w:val="left"/>
        </w:tabs>
        <w:numPr>
          <w:ilvl w:val="0"/>
          <w:numId w:val="87"/>
        </w:numPr>
        <w:rPr>
          <w:rFonts w:ascii="Arial" w:cs="Arial" w:eastAsia="Arial" w:hAnsi="Arial"/>
          <w:sz w:val="19"/>
          <w:szCs w:val="19"/>
          <w:b w:val="1"/>
          <w:bCs w:val="1"/>
          <w:color w:val="28B5DE"/>
        </w:rPr>
      </w:pPr>
      <w:r>
        <w:rPr>
          <w:rFonts w:ascii="Arial" w:cs="Arial" w:eastAsia="Arial" w:hAnsi="Arial"/>
          <w:sz w:val="19"/>
          <w:szCs w:val="19"/>
          <w:color w:val="auto"/>
        </w:rPr>
        <w:t>Under a practice approved by the SEC called “householding,” stockholders who have the same address and last name and who do not participate in electronic delivery of proxy materials will receive only one mailed copy of our proxy materials, unless one or more of these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281305</wp:posOffset>
            </wp:positionV>
            <wp:extent cx="494665" cy="165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94665" cy="165100"/>
                    </a:xfrm>
                    <a:prstGeom prst="rect">
                      <a:avLst/>
                    </a:prstGeom>
                    <a:noFill/>
                  </pic:spPr>
                </pic:pic>
              </a:graphicData>
            </a:graphic>
          </wp:anchor>
        </w:drawing>
        <w:drawing>
          <wp:anchor simplePos="0" relativeHeight="251657728" behindDoc="1" locked="0" layoutInCell="0" allowOverlap="1">
            <wp:simplePos x="0" y="0"/>
            <wp:positionH relativeFrom="column">
              <wp:posOffset>497205</wp:posOffset>
            </wp:positionH>
            <wp:positionV relativeFrom="paragraph">
              <wp:posOffset>158115</wp:posOffset>
            </wp:positionV>
            <wp:extent cx="5538470" cy="165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351790</wp:posOffset>
            </wp:positionV>
            <wp:extent cx="6569710" cy="419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569710" cy="41910"/>
                    </a:xfrm>
                    <a:prstGeom prst="rect">
                      <a:avLst/>
                    </a:prstGeom>
                    <a:noFill/>
                  </pic:spPr>
                </pic:pic>
              </a:graphicData>
            </a:graphic>
          </wp:anchor>
        </w:drawing>
      </w:r>
    </w:p>
    <w:p>
      <w:pPr>
        <w:sectPr>
          <w:pgSz w:w="11900" w:h="16838" w:orient="portrait"/>
          <w:cols w:equalWidth="0" w:num="1">
            <w:col w:w="9659"/>
          </w:cols>
          <w:pgMar w:left="800" w:top="93"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7"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Questions and Answers About the Proxy Statement and Our 2025 Annual Meeting of Stockholders</w:t>
      </w:r>
    </w:p>
    <w:p>
      <w:pPr>
        <w:spacing w:after="0" w:line="200" w:lineRule="exact"/>
        <w:rPr>
          <w:sz w:val="20"/>
          <w:szCs w:val="20"/>
          <w:color w:val="auto"/>
        </w:rPr>
      </w:pPr>
    </w:p>
    <w:p>
      <w:pPr>
        <w:spacing w:after="0" w:line="246" w:lineRule="exact"/>
        <w:rPr>
          <w:sz w:val="20"/>
          <w:szCs w:val="20"/>
          <w:color w:val="auto"/>
        </w:rPr>
      </w:pPr>
    </w:p>
    <w:p>
      <w:pPr>
        <w:ind w:left="1120" w:right="1180"/>
        <w:spacing w:after="0" w:line="277" w:lineRule="auto"/>
        <w:rPr>
          <w:sz w:val="20"/>
          <w:szCs w:val="20"/>
          <w:color w:val="auto"/>
        </w:rPr>
      </w:pPr>
      <w:r>
        <w:rPr>
          <w:rFonts w:ascii="Arial" w:cs="Arial" w:eastAsia="Arial" w:hAnsi="Arial"/>
          <w:sz w:val="21"/>
          <w:szCs w:val="21"/>
          <w:color w:val="auto"/>
        </w:rPr>
        <w:t>notifies us that he or she wishes to receive individual copies. Stockholders who participate in householding will continue to receive separate proxy cards.</w:t>
      </w:r>
    </w:p>
    <w:p>
      <w:pPr>
        <w:spacing w:after="0" w:line="66" w:lineRule="exact"/>
        <w:rPr>
          <w:sz w:val="20"/>
          <w:szCs w:val="20"/>
          <w:color w:val="auto"/>
        </w:rPr>
      </w:pPr>
    </w:p>
    <w:p>
      <w:pPr>
        <w:ind w:left="1120" w:right="1040"/>
        <w:spacing w:after="0" w:line="268" w:lineRule="auto"/>
        <w:rPr>
          <w:sz w:val="20"/>
          <w:szCs w:val="20"/>
          <w:color w:val="auto"/>
        </w:rPr>
      </w:pPr>
      <w:r>
        <w:rPr>
          <w:rFonts w:ascii="Arial" w:cs="Arial" w:eastAsia="Arial" w:hAnsi="Arial"/>
          <w:sz w:val="20"/>
          <w:szCs w:val="20"/>
          <w:color w:val="auto"/>
        </w:rPr>
        <w:t>If you share an address with another stockholder and received only one set of proxy materials and would like to request a separate paper copy of these materials, please contact the Broadridge Householding Department by phone at 1-866-540-7095 or by mail to Broadridge Householding Department, 51 Mercedes Way, Edgewood, NY 11717.</w:t>
      </w:r>
    </w:p>
    <w:p>
      <w:pPr>
        <w:spacing w:after="0" w:line="89" w:lineRule="exact"/>
        <w:rPr>
          <w:sz w:val="20"/>
          <w:szCs w:val="20"/>
          <w:color w:val="auto"/>
        </w:rPr>
      </w:pPr>
    </w:p>
    <w:p>
      <w:pPr>
        <w:ind w:left="1120" w:right="940"/>
        <w:spacing w:after="0" w:line="246" w:lineRule="auto"/>
        <w:rPr>
          <w:sz w:val="20"/>
          <w:szCs w:val="20"/>
          <w:color w:val="auto"/>
        </w:rPr>
      </w:pPr>
      <w:r>
        <w:rPr>
          <w:rFonts w:ascii="Arial" w:cs="Arial" w:eastAsia="Arial" w:hAnsi="Arial"/>
          <w:sz w:val="21"/>
          <w:szCs w:val="21"/>
          <w:color w:val="auto"/>
        </w:rPr>
        <w:t>If you are eligible for householding, but you and other stockholders of record with whom you share an address currently receive multiple copies of the proxy materials, or if you hold stock in more than one account, and in either case you wish to receive only a single copy of the proxy materials for your household, please contact the Broadridge Householding Department at the aforementioned phone number or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4991735</wp:posOffset>
            </wp:positionV>
            <wp:extent cx="5538470" cy="165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5384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140" w:type="dxa"/>
            <w:vAlign w:val="bottom"/>
          </w:tcPr>
          <w:p>
            <w:pPr>
              <w:ind w:left="780"/>
              <w:spacing w:after="0"/>
              <w:rPr>
                <w:sz w:val="20"/>
                <w:szCs w:val="20"/>
                <w:color w:val="auto"/>
              </w:rPr>
            </w:pPr>
            <w:r>
              <w:rPr>
                <w:rFonts w:ascii="Arial" w:cs="Arial" w:eastAsia="Arial" w:hAnsi="Arial"/>
                <w:sz w:val="17"/>
                <w:szCs w:val="17"/>
                <w:color w:val="auto"/>
              </w:rPr>
              <w:t>2025 Notice and Proxy Statement</w:t>
            </w:r>
          </w:p>
        </w:tc>
        <w:tc>
          <w:tcPr>
            <w:tcW w:w="6160" w:type="dxa"/>
            <w:vAlign w:val="bottom"/>
          </w:tcPr>
          <w:p>
            <w:pPr>
              <w:jc w:val="right"/>
              <w:ind w:right="4973"/>
              <w:spacing w:after="0"/>
              <w:rPr>
                <w:sz w:val="20"/>
                <w:szCs w:val="20"/>
                <w:color w:val="auto"/>
              </w:rPr>
            </w:pPr>
            <w:r>
              <w:rPr>
                <w:rFonts w:ascii="Arial" w:cs="Arial" w:eastAsia="Arial" w:hAnsi="Arial"/>
                <w:sz w:val="17"/>
                <w:szCs w:val="17"/>
                <w:color w:val="auto"/>
              </w:rPr>
              <w:t>98</w:t>
            </w:r>
          </w:p>
        </w:tc>
      </w:tr>
      <w:tr>
        <w:trPr>
          <w:trHeight w:val="106"/>
        </w:trPr>
        <w:tc>
          <w:tcPr>
            <w:tcW w:w="4140" w:type="dxa"/>
            <w:vAlign w:val="bottom"/>
            <w:tcBorders>
              <w:bottom w:val="single" w:sz="8" w:color="9A9A9A"/>
            </w:tcBorders>
          </w:tcPr>
          <w:p>
            <w:pPr>
              <w:spacing w:after="0"/>
              <w:rPr>
                <w:sz w:val="9"/>
                <w:szCs w:val="9"/>
                <w:color w:val="auto"/>
              </w:rPr>
            </w:pPr>
          </w:p>
        </w:tc>
        <w:tc>
          <w:tcPr>
            <w:tcW w:w="6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6517640</wp:posOffset>
            </wp:positionH>
            <wp:positionV relativeFrom="paragraph">
              <wp:posOffset>-28575</wp:posOffset>
            </wp:positionV>
            <wp:extent cx="33655" cy="419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-28575</wp:posOffset>
            </wp:positionV>
            <wp:extent cx="33655" cy="419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0300"/>
          </w:cols>
          <w:pgMar w:left="800" w:top="93" w:right="799" w:bottom="1440" w:gutter="0" w:footer="0" w:header="0"/>
        </w:sectPr>
      </w:pPr>
    </w:p>
    <w:bookmarkStart w:id="108" w:name="page109"/>
    <w:bookmarkEnd w:id="108"/>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6754495" cy="86912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54495" cy="8691245"/>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109" w:name="page110"/>
    <w:bookmarkEnd w:id="109"/>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-74930</wp:posOffset>
            </wp:positionV>
            <wp:extent cx="6754495" cy="86912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54495" cy="8691245"/>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-74930</wp:posOffset>
            </wp:positionV>
            <wp:extent cx="6569710" cy="8551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569710" cy="8551545"/>
                    </a:xfrm>
                    <a:prstGeom prst="rect">
                      <a:avLst/>
                    </a:prstGeom>
                    <a:noFill/>
                  </pic:spPr>
                </pic:pic>
              </a:graphicData>
            </a:graphic>
          </wp:anchor>
        </w:drawing>
      </w:r>
    </w:p>
    <w:p>
      <w:pPr>
        <w:sectPr>
          <w:pgSz w:w="11900" w:h="16838" w:orient="portrait"/>
          <w:cols w:equalWidth="0" w:num="1">
            <w:col w:w="9659"/>
          </w:cols>
          <w:pgMar w:left="800" w:top="100"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56515</wp:posOffset>
            </wp:positionV>
            <wp:extent cx="6569710" cy="85928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569710" cy="8592820"/>
                    </a:xfrm>
                    <a:prstGeom prst="rect">
                      <a:avLst/>
                    </a:prstGeom>
                    <a:noFill/>
                  </pic:spPr>
                </pic:pic>
              </a:graphicData>
            </a:graphic>
          </wp:anchor>
        </w:drawing>
      </w:r>
    </w:p>
    <w:sectPr>
      <w:pgSz w:w="11900" w:h="16838" w:orient="portrait"/>
      <w:cols w:equalWidth="0" w:num="1">
        <w:col w:w="9659"/>
      </w:cols>
      <w:pgMar w:left="800" w:top="1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1"/>
      <w:numFmt w:val="bullet"/>
      <w:start w:val="1"/>
    </w:lvl>
  </w:abstractNum>
  <w:abstractNum w:abstractNumId="9">
    <w:nsid w:val="32FFF902"/>
    <w:multiLevelType w:val="hybridMultilevel"/>
    <w:lvl w:ilvl="0">
      <w:lvlJc w:val="left"/>
      <w:lvlText w:val="(%1)"/>
      <w:numFmt w:val="decimal"/>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amp;"/>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lowerRoman"/>
      <w:start w:val="2"/>
    </w:lvl>
  </w:abstractNum>
  <w:abstractNum w:abstractNumId="27">
    <w:nsid w:val="180115BE"/>
    <w:multiLevelType w:val="hybridMultilevel"/>
    <w:lvl w:ilvl="0">
      <w:lvlJc w:val="left"/>
      <w:lvlText w:val="(%1)"/>
      <w:numFmt w:val="lowerRoman"/>
      <w:start w:val="2"/>
    </w:lvl>
  </w:abstractNum>
  <w:abstractNum w:abstractNumId="28">
    <w:nsid w:val="235BA861"/>
    <w:multiLevelType w:val="hybridMultilevel"/>
    <w:lvl w:ilvl="0">
      <w:lvlJc w:val="left"/>
      <w:lvlText w:val="%1."/>
      <w:numFmt w:val="decimal"/>
      <w:start w:val="54"/>
    </w:lvl>
  </w:abstractNum>
  <w:abstractNum w:abstractNumId="29">
    <w:nsid w:val="47398C89"/>
    <w:multiLevelType w:val="hybridMultilevel"/>
    <w:lvl w:ilvl="0">
      <w:lvlJc w:val="left"/>
      <w:lvlText w:val="%1."/>
      <w:numFmt w:val="decimal"/>
      <w:start w:val="49"/>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1)"/>
      <w:numFmt w:val="decimal"/>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1)"/>
      <w:numFmt w:val="decimal"/>
      <w:start w:val="5"/>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1)"/>
      <w:numFmt w:val="decimal"/>
      <w:start w:val="2"/>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lowerRoman"/>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lowerRoman"/>
      <w:start w:val="4"/>
    </w:lvl>
  </w:abstractNum>
  <w:abstractNum w:abstractNumId="47">
    <w:nsid w:val="1381823A"/>
    <w:multiLevelType w:val="hybridMultilevel"/>
    <w:lvl w:ilvl="0">
      <w:lvlJc w:val="left"/>
      <w:lvlText w:val="(%1)"/>
      <w:numFmt w:val="lowerLetter"/>
      <w:start w:val="9"/>
    </w:lvl>
  </w:abstractNum>
  <w:abstractNum w:abstractNumId="48">
    <w:nsid w:val="5DB70AE5"/>
    <w:multiLevelType w:val="hybridMultilevel"/>
    <w:lvl w:ilvl="0">
      <w:lvlJc w:val="left"/>
      <w:lvlText w:val="(%1)"/>
      <w:numFmt w:val="lowerLetter"/>
      <w:start w:val="25"/>
    </w:lvl>
  </w:abstractNum>
  <w:abstractNum w:abstractNumId="49">
    <w:nsid w:val="100F8FCA"/>
    <w:multiLevelType w:val="hybridMultilevel"/>
    <w:lvl w:ilvl="0">
      <w:lvlJc w:val="left"/>
      <w:lvlText w:val="(%1)"/>
      <w:numFmt w:val="lowerRoman"/>
      <w:start w:val="2"/>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5"/>
    </w:lvl>
  </w:abstractNum>
  <w:abstractNum w:abstractNumId="52">
    <w:nsid w:val="5F5E7FD0"/>
    <w:multiLevelType w:val="hybridMultilevel"/>
    <w:lvl w:ilvl="0">
      <w:lvlJc w:val="left"/>
      <w:lvlText w:val="(%1)"/>
      <w:numFmt w:val="decimal"/>
      <w:start w:val="10"/>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
      <w:numFmt w:val="bullet"/>
      <w:start w:val="1"/>
    </w:lvl>
  </w:abstractNum>
  <w:abstractNum w:abstractNumId="55">
    <w:nsid w:val="6B94764"/>
    <w:multiLevelType w:val="hybridMultilevel"/>
    <w:lvl w:ilvl="0">
      <w:lvlJc w:val="left"/>
      <w:lvlText w:val="(%1)"/>
      <w:numFmt w:val="decimal"/>
      <w:start w:val="1"/>
    </w:lvl>
    <w:lvl w:ilvl="1">
      <w:lvlJc w:val="left"/>
      <w:lvlText w:val="●"/>
      <w:numFmt w:val="bullet"/>
      <w:start w:val="1"/>
    </w:lvl>
  </w:abstractNum>
  <w:abstractNum w:abstractNumId="56">
    <w:nsid w:val="42C296BD"/>
    <w:multiLevelType w:val="hybridMultilevel"/>
    <w:lvl w:ilvl="0">
      <w:lvlJc w:val="left"/>
      <w:lvlText w:val="(%1)"/>
      <w:numFmt w:val="decimal"/>
      <w:start w:val="4"/>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2"/>
    </w:lvl>
  </w:abstractNum>
  <w:abstractNum w:abstractNumId="61">
    <w:nsid w:val="540A471C"/>
    <w:multiLevelType w:val="hybridMultilevel"/>
    <w:lvl w:ilvl="0">
      <w:lvlJc w:val="left"/>
      <w:lvlText w:val="(%1)"/>
      <w:numFmt w:val="lowerLetter"/>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
      <w:numFmt w:val="bullet"/>
      <w:start w:val="1"/>
    </w:lvl>
  </w:abstractNum>
  <w:abstractNum w:abstractNumId="64">
    <w:nsid w:val="613EFDC5"/>
    <w:multiLevelType w:val="hybridMultilevel"/>
    <w:lvl w:ilvl="0">
      <w:lvlJc w:val="left"/>
      <w:lvlText w:val="*"/>
      <w:numFmt w:val="bullet"/>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4"/>
    </w:lvl>
  </w:abstractNum>
  <w:abstractNum w:abstractNumId="67">
    <w:nsid w:val="42963E5A"/>
    <w:multiLevelType w:val="hybridMultilevel"/>
    <w:lvl w:ilvl="0">
      <w:lvlJc w:val="left"/>
      <w:lvlText w:val="%1:"/>
      <w:numFmt w:val="upperLetter"/>
      <w:start w:val="1"/>
    </w:lvl>
  </w:abstractNum>
  <w:abstractNum w:abstractNumId="68">
    <w:nsid w:val="A0382C5"/>
    <w:multiLevelType w:val="hybridMultilevel"/>
    <w:lvl w:ilvl="0">
      <w:lvlJc w:val="left"/>
      <w:lvlText w:val="%1:"/>
      <w:numFmt w:val="upperLetter"/>
      <w:start w:val="1"/>
    </w:lvl>
  </w:abstractNum>
  <w:abstractNum w:abstractNumId="69">
    <w:nsid w:val="8F2B15E"/>
    <w:multiLevelType w:val="hybridMultilevel"/>
    <w:lvl w:ilvl="0">
      <w:lvlJc w:val="left"/>
      <w:lvlText w:val="%1:"/>
      <w:numFmt w:val="upperLetter"/>
      <w:start w:val="17"/>
    </w:lvl>
  </w:abstractNum>
  <w:abstractNum w:abstractNumId="70">
    <w:nsid w:val="1A32234B"/>
    <w:multiLevelType w:val="hybridMultilevel"/>
    <w:lvl w:ilvl="0">
      <w:lvlJc w:val="left"/>
      <w:lvlText w:val="%1:"/>
      <w:numFmt w:val="upperLetter"/>
      <w:start w:val="1"/>
    </w:lvl>
  </w:abstractNum>
  <w:abstractNum w:abstractNumId="71">
    <w:nsid w:val="3B0FD379"/>
    <w:multiLevelType w:val="hybridMultilevel"/>
    <w:lvl w:ilvl="0">
      <w:lvlJc w:val="left"/>
      <w:lvlText w:val="%1:"/>
      <w:numFmt w:val="upperLetter"/>
      <w:start w:val="1"/>
    </w:lvl>
  </w:abstractNum>
  <w:abstractNum w:abstractNumId="72">
    <w:nsid w:val="68EB2F63"/>
    <w:multiLevelType w:val="hybridMultilevel"/>
    <w:lvl w:ilvl="0">
      <w:lvlJc w:val="left"/>
      <w:lvlText w:val="%1:"/>
      <w:numFmt w:val="upperLetter"/>
      <w:start w:val="17"/>
    </w:lvl>
  </w:abstractNum>
  <w:abstractNum w:abstractNumId="73">
    <w:nsid w:val="4962813B"/>
    <w:multiLevelType w:val="hybridMultilevel"/>
    <w:lvl w:ilvl="0">
      <w:lvlJc w:val="left"/>
      <w:lvlText w:val="%1:"/>
      <w:numFmt w:val="upperLetter"/>
      <w:start w:val="1"/>
    </w:lvl>
  </w:abstractNum>
  <w:abstractNum w:abstractNumId="74">
    <w:nsid w:val="60B6DF70"/>
    <w:multiLevelType w:val="hybridMultilevel"/>
    <w:lvl w:ilvl="0">
      <w:lvlJc w:val="left"/>
      <w:lvlText w:val="%1:"/>
      <w:numFmt w:val="upperLetter"/>
      <w:start w:val="1"/>
    </w:lvl>
  </w:abstractNum>
  <w:abstractNum w:abstractNumId="75">
    <w:nsid w:val="6A5EE64"/>
    <w:multiLevelType w:val="hybridMultilevel"/>
    <w:lvl w:ilvl="0">
      <w:lvlJc w:val="left"/>
      <w:lvlText w:val="%1:"/>
      <w:numFmt w:val="upperLetter"/>
      <w:start w:val="1"/>
    </w:lvl>
  </w:abstractNum>
  <w:abstractNum w:abstractNumId="76">
    <w:nsid w:val="14330624"/>
    <w:multiLevelType w:val="hybridMultilevel"/>
    <w:lvl w:ilvl="0">
      <w:lvlJc w:val="left"/>
      <w:lvlText w:val="%1:"/>
      <w:numFmt w:val="upperLetter"/>
      <w:start w:val="1"/>
    </w:lvl>
    <w:lvl w:ilvl="1">
      <w:lvlJc w:val="left"/>
      <w:lvlText w:val="●"/>
      <w:numFmt w:val="bullet"/>
      <w:start w:val="1"/>
    </w:lvl>
  </w:abstractNum>
  <w:abstractNum w:abstractNumId="77">
    <w:nsid w:val="7FFFCA11"/>
    <w:multiLevelType w:val="hybridMultilevel"/>
    <w:lvl w:ilvl="0">
      <w:lvlJc w:val="left"/>
      <w:lvlText w:val="%1:"/>
      <w:numFmt w:val="upperLetter"/>
      <w:start w:val="1"/>
    </w:lvl>
  </w:abstractNum>
  <w:abstractNum w:abstractNumId="78">
    <w:nsid w:val="1A27709E"/>
    <w:multiLevelType w:val="hybridMultilevel"/>
    <w:lvl w:ilvl="0">
      <w:lvlJc w:val="left"/>
      <w:lvlText w:val="%1:"/>
      <w:numFmt w:val="upperLetter"/>
      <w:start w:val="1"/>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1:"/>
      <w:numFmt w:val="upperLetter"/>
      <w:start w:val="17"/>
    </w:lvl>
  </w:abstractNum>
  <w:abstractNum w:abstractNumId="81">
    <w:nsid w:val="7FB7E0AA"/>
    <w:multiLevelType w:val="hybridMultilevel"/>
    <w:lvl w:ilvl="0">
      <w:lvlJc w:val="left"/>
      <w:lvlText w:val="%1:"/>
      <w:numFmt w:val="upperLetter"/>
      <w:start w:val="1"/>
    </w:lvl>
  </w:abstractNum>
  <w:abstractNum w:abstractNumId="82">
    <w:nsid w:val="6EB5BD4"/>
    <w:multiLevelType w:val="hybridMultilevel"/>
    <w:lvl w:ilvl="0">
      <w:lvlJc w:val="left"/>
      <w:lvlText w:val="%1:"/>
      <w:numFmt w:val="upperLetter"/>
      <w:start w:val="1"/>
    </w:lvl>
  </w:abstractNum>
  <w:abstractNum w:abstractNumId="83">
    <w:nsid w:val="6F6DD9AC"/>
    <w:multiLevelType w:val="hybridMultilevel"/>
    <w:lvl w:ilvl="0">
      <w:lvlJc w:val="left"/>
      <w:lvlText w:val="%1:"/>
      <w:numFmt w:val="upperLetter"/>
      <w:start w:val="17"/>
    </w:lvl>
  </w:abstractNum>
  <w:abstractNum w:abstractNumId="84">
    <w:nsid w:val="94211F2"/>
    <w:multiLevelType w:val="hybridMultilevel"/>
    <w:lvl w:ilvl="0">
      <w:lvlJc w:val="left"/>
      <w:lvlText w:val="%1:"/>
      <w:numFmt w:val="upperLetter"/>
      <w:start w:val="1"/>
    </w:lvl>
  </w:abstractNum>
  <w:abstractNum w:abstractNumId="85">
    <w:nsid w:val="885E1B"/>
    <w:multiLevelType w:val="hybridMultilevel"/>
    <w:lvl w:ilvl="0">
      <w:lvlJc w:val="left"/>
      <w:lvlText w:val="%1:"/>
      <w:numFmt w:val="upperLetter"/>
      <w:start w:val="17"/>
    </w:lvl>
  </w:abstractNum>
  <w:abstractNum w:abstractNumId="86">
    <w:nsid w:val="76272110"/>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2025-04-10T06:44:34Z</dcterms:created>
  <dcterms:modified xsi:type="dcterms:W3CDTF">2025-04-10T06:44:34Z</dcterms:modified>
</cp:coreProperties>
</file>