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27, 2021</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1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3"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800" w:firstLine="26"/>
        <w:spacing w:after="0" w:line="512"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00"/>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On August 27, 2021 (the “Redemption Date”), Sotera Health Holdings, LLC (“SHH”), a wholly-owned subsidiary of Sotera Health Company (the “Company”), redeemed in full all of the $100 million aggregate principal amount of its outstanding Senior Secured First Lien Floating Rate Notes due</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2026 (the “Notes”) at a redemption price equal to 103.000% of the principal amount of the Notes, plus accrued and unpaid interest to, but not including, the Redemption Date of $1,127,778 (the “Redemption Payment”). The total Redemption Payment for the Notes was $104,127,778.</w:t>
      </w:r>
    </w:p>
    <w:p>
      <w:pPr>
        <w:spacing w:after="0" w:line="20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Notes were issued pursuant to an indenture, dated July 31, 2020, among SHH, the Company, the intermediate parents and subsidiary note parties party thereto (the “Notes Guarantors”) and Wilmington Trust, National Association, as trustee (as amended, the “Indenture”). Following the deposit of the Redemption Payment, the Indenture and the related security documents were satisfied and discharged in accordance with the terms of the Indenture. As a result of the satisfaction and discharge of the Indenture and the release of all of the liens on the collateral securing the Notes, SHH, the Company, and the Notes Guarantors have been released from their obligations with respect to the Indenture, the related security documents and the Notes, except with respect to those provisions of the Indenture that, by their terms, survive the satisfaction and discharge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August 27,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0720"/>
      </w:cols>
      <w:pgMar w:left="320" w:top="10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2021-08-27T21:40:18Z</dcterms:created>
  <dcterms:modified xsi:type="dcterms:W3CDTF">2021-08-27T21:40:18Z</dcterms:modified>
</cp:coreProperties>
</file>