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21, 2025</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 (the “Company”) held its 2025 annual meeting of stockholders on May 21, 2025 (the “Annual Meeting”). At the Annual Meeting, the stockholders (1) elected all three director nominees as Class II directors to serve a three-year term until the 2028 annual meeting of stockholders and until their successors are duly elected and qualified, (2) approved the compensation of the Company’s named executive officers on a non-binding advisory basis, and (3) ratified the appointment of Ernst &amp; Young LLP as the Company’s independent registered public accounting firm for the fiscal year ending December 31, 2025.</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final results on each of the matters submitted to a vote are as follows:</w:t>
      </w:r>
    </w:p>
    <w:p>
      <w:pPr>
        <w:pStyle w:val="TextBody"/>
        <w:bidi w:val="0"/>
        <w:spacing w:lineRule="auto" w:line="288" w:before="200" w:after="20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Election of Directors</w:t>
      </w:r>
    </w:p>
    <w:tbl>
      <w:tblPr>
        <w:tblW w:w="5861" w:type="dxa"/>
        <w:jc w:val="left"/>
        <w:tblInd w:w="0" w:type="dxa"/>
        <w:tblLayout w:type="fixed"/>
        <w:tblCellMar>
          <w:top w:w="28" w:type="dxa"/>
          <w:left w:w="28" w:type="dxa"/>
          <w:bottom w:w="28" w:type="dxa"/>
          <w:right w:w="28" w:type="dxa"/>
        </w:tblCellMar>
      </w:tblPr>
      <w:tblGrid>
        <w:gridCol w:w="488"/>
        <w:gridCol w:w="428"/>
        <w:gridCol w:w="434"/>
        <w:gridCol w:w="379"/>
        <w:gridCol w:w="379"/>
        <w:gridCol w:w="383"/>
        <w:gridCol w:w="109"/>
        <w:gridCol w:w="109"/>
        <w:gridCol w:w="109"/>
        <w:gridCol w:w="344"/>
        <w:gridCol w:w="344"/>
        <w:gridCol w:w="348"/>
        <w:gridCol w:w="109"/>
        <w:gridCol w:w="109"/>
        <w:gridCol w:w="109"/>
        <w:gridCol w:w="492"/>
        <w:gridCol w:w="492"/>
        <w:gridCol w:w="696"/>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Ruoxi Chen</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250,529,768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24,438,535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911,848</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 Flynn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268,380,572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6,587,731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911,848</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 R. Klee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245,999,274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28,969,029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911,848</w:t>
            </w:r>
          </w:p>
        </w:tc>
      </w:tr>
    </w:tbl>
    <w:p>
      <w:pPr>
        <w:pStyle w:val="TextBody"/>
        <w:bidi w:val="0"/>
        <w:spacing w:lineRule="auto" w:line="288" w:before="200" w:after="20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Advisory Approval of Named Executive Officer Compensation</w:t>
      </w:r>
    </w:p>
    <w:tbl>
      <w:tblPr>
        <w:tblW w:w="5529"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272,812,479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1,865,802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911,848</w:t>
            </w:r>
          </w:p>
        </w:tc>
      </w:tr>
    </w:tbl>
    <w:p>
      <w:pPr>
        <w:pStyle w:val="TextBody"/>
        <w:bidi w:val="0"/>
        <w:spacing w:lineRule="auto" w:line="288" w:before="200" w:after="20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Ratification of Appointment of Independent Registered Public Accounting Firm</w:t>
      </w:r>
    </w:p>
    <w:tbl>
      <w:tblPr>
        <w:tblW w:w="531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250"/>
        <w:gridCol w:w="250"/>
        <w:gridCol w:w="251"/>
        <w:gridCol w:w="109"/>
        <w:gridCol w:w="109"/>
        <w:gridCol w:w="109"/>
        <w:gridCol w:w="250"/>
        <w:gridCol w:w="250"/>
        <w:gridCol w:w="25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275,831,763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tbl>
      <w:tblPr>
        <w:tblW w:w="6809" w:type="dxa"/>
        <w:jc w:val="left"/>
        <w:tblInd w:w="0" w:type="dxa"/>
        <w:tblLayout w:type="fixed"/>
        <w:tblCellMar>
          <w:top w:w="28" w:type="dxa"/>
          <w:left w:w="28" w:type="dxa"/>
          <w:bottom w:w="28" w:type="dxa"/>
          <w:right w:w="28" w:type="dxa"/>
        </w:tblCellMar>
      </w:tblPr>
      <w:tblGrid>
        <w:gridCol w:w="629"/>
        <w:gridCol w:w="554"/>
        <w:gridCol w:w="556"/>
        <w:gridCol w:w="220"/>
        <w:gridCol w:w="220"/>
        <w:gridCol w:w="220"/>
        <w:gridCol w:w="220"/>
        <w:gridCol w:w="220"/>
        <w:gridCol w:w="220"/>
        <w:gridCol w:w="1085"/>
        <w:gridCol w:w="1085"/>
        <w:gridCol w:w="158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bidi w:val="0"/>
              <w:spacing w:lineRule="auto" w:line="288" w:before="0" w:after="2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23, 2025</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Erika Ostrowski</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Erika Ostrowski</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Deputy General Counsel and</w:t>
              <w:br/>
              <w:t>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548</Words>
  <Characters>3160</Characters>
  <CharactersWithSpaces>3642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