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arburg_ownership.xml.htm"/>
      <w:bookmarkStart w:id="1" w:name="kswarburg_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WARBURG PINCUS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2"/>
        <w:gridCol w:w="900"/>
        <w:gridCol w:w="775"/>
        <w:gridCol w:w="597"/>
        <w:gridCol w:w="323"/>
        <w:gridCol w:w="1281"/>
        <w:gridCol w:w="382"/>
        <w:gridCol w:w="822"/>
        <w:gridCol w:w="1343"/>
        <w:gridCol w:w="909"/>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18,000,000</w:t>
            </w:r>
            <w:r>
              <w:rPr>
                <w:rFonts w:ascii="Times;serif" w:hAnsi="Times;serif"/>
                <w:color w:val="008000"/>
                <w:position w:val="7"/>
                <w:sz w:val="16"/>
                <w:sz w:val="20"/>
                <w:shd w:fill="FFFFFF" w:val="clear"/>
              </w:rPr>
              <w:t>(1)</w:t>
            </w:r>
            <w:r>
              <w:rPr/>
              <w:t xml:space="preserve"> </w:t>
            </w:r>
          </w:p>
        </w:tc>
        <w:tc>
          <w:tcPr>
            <w:tcW w:w="3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15.651</w:t>
            </w:r>
            <w:r>
              <w:rPr/>
              <w:t xml:space="preserve"> </w:t>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43,822,952</w:t>
            </w:r>
            <w:r>
              <w:rPr>
                <w:rFonts w:ascii="Times;serif" w:hAnsi="Times;serif"/>
                <w:color w:val="008000"/>
                <w:position w:val="7"/>
                <w:sz w:val="16"/>
                <w:sz w:val="20"/>
                <w:shd w:fill="FFFFFF" w:val="clear"/>
              </w:rPr>
              <w:t>(2)</w:t>
            </w:r>
            <w:r>
              <w:rPr/>
              <w:t xml:space="preserve"> </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(3)(4)(5)(6)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WARBURG PINCUS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Warburg Pincus Private Equity XI-C,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Warburg Pincus (Cayman)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Warburg Pincus XI-C,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Warburg Pincus Partners II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Warburg Pincus (Bermuda) Private Equity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WARBURG PINCUS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Warburg Pincus Partners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10, 2025, certain of the Warburg Pincus Entities (as defined below) sold a total of 18,000,000 shares of Common Stock of Sotera Health Company (the "Issuer") in an underwritten public secondary offering (the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Offering, consists of (i) 14,405,046 shares of Common Stock of the Issuer held by Bull Holdco L.P. ("Bull Holdco") and (ii) 3,594,954 shares of Common Stock of the Issuer held by Bull Co-Invest L.P., a Delaware limited partnership ("Bull Co-Invest").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LLC.Warburg Pincus (Cayman) XI, L.P. ("WP XI Cayman GP"), is the general partner of Warburg Pincus Private Equity XI-C, L.P. ("WP XI-C" and, together with WP XI,WP XI-B, WP XI Partners and Warburg Pincus XI Partners, the "WP XI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WP XI Funds, Bull Co-Invest, Bull Holdco, WP Global, WPP II, WPP GP LLC, WP XI Cayman GP, WP XI-C LLC, WPP II Cayman, WP Bermuda GP, WP Bull Manager, WP LLC and WP are collectively referred to herein as the "Warburg Pincus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Form 2 of 2. Two reports are filed that relate to the same transactions. See Form 1 of 2 for additional reporting entities.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99-1.htm"/>
      <w:bookmarkStart w:id="3" w:name="ksex991"/>
      <w:bookmarkEnd w:id="2"/>
      <w:bookmarkEnd w:id="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Reporting Owners and Signature Page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designated filer: </w:t>
      </w:r>
      <w:r>
        <w:rPr>
          <w:rFonts w:ascii="Times New Roman;Times;Serif" w:hAnsi="Times New Roman;Times;Serif"/>
          <w:b w:val="false"/>
          <w:i w:val="false"/>
          <w:caps/>
          <w:sz w:val="20"/>
        </w:rPr>
        <w:t>Warburg Pincus &amp; Co.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joint filers: Warburg Pincus Private Equity XI-C, L.P., Warburg Pincus (Cayman) XI, L.P., Warburg Pincus XI-C, LLC, Warburg Pincus Partners II (Cayman), L.P., Warburg Pincus (Bermuda) Private Equity GP Ltd., Warburg Pincus LLC, Warburg Pincus Partners GP LLC.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each joint filer is: c/o Warburg Pincus &amp; Co., 450 Lexington Avenue, New York, New York 10017</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 Sotera Health Co [SHC]</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560"/>
        <w:gridCol w:w="5630"/>
        <w:gridCol w:w="995"/>
      </w:tblGrid>
      <w:tr>
        <w:trPr/>
        <w:tc>
          <w:tcPr>
            <w:tcW w:w="6190" w:type="dxa"/>
            <w:gridSpan w:val="2"/>
            <w:tcBorders/>
            <w:vAlign w:val="center"/>
          </w:tcPr>
          <w:p>
            <w:pPr>
              <w:pStyle w:val="TableContents"/>
              <w:bidi w:val="0"/>
              <w:spacing w:before="0" w:after="283"/>
              <w:jc w:val="left"/>
              <w:rPr/>
            </w:pPr>
            <w:r>
              <w:rPr/>
              <w:t> </w:t>
            </w:r>
            <w:r>
              <w:rPr>
                <w:b/>
                <w:sz w:val="20"/>
              </w:rPr>
              <w:t>WARBURG PINCUS &amp; CO.</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sz w:val="20"/>
              </w:rPr>
            </w:pPr>
            <w:r>
              <w:rPr>
                <w:sz w:val="20"/>
              </w:rPr>
              <w:t>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6190" w:type="dxa"/>
            <w:gridSpan w:val="2"/>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WARBURG PINCUS PRIVATE EQUITY XI-C, L.P.</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(Cayman) XI, L.P., its general 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XI-C, LLC, its general 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Partners II (Cayman), L.P., its managing member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(Bermuda) Private Equity GP Ltd., its general 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sz w:val="20"/>
              </w:rPr>
            </w:pPr>
            <w:r>
              <w:rPr>
                <w:sz w:val="20"/>
              </w:rPr>
              <w:t>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6190" w:type="dxa"/>
            <w:gridSpan w:val="2"/>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WARBURG PINCUS (CAYMAN) XI, L.P.</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XI-C, LLC, its general 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Partners II (Cayman), L.P., its managing member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(Bermuda) Private Equity GP Ltd., its general 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sz w:val="20"/>
              </w:rPr>
            </w:pPr>
            <w:r>
              <w:rPr>
                <w:sz w:val="20"/>
              </w:rPr>
              <w:t>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6190" w:type="dxa"/>
            <w:gridSpan w:val="2"/>
            <w:tcBorders/>
            <w:vAlign w:val="center"/>
          </w:tcPr>
          <w:p>
            <w:pPr>
              <w:pStyle w:val="TableContents"/>
              <w:bidi w:val="0"/>
              <w:spacing w:before="0" w:after="283"/>
              <w:jc w:val="left"/>
              <w:rPr>
                <w:b/>
                <w:sz w:val="20"/>
              </w:rPr>
            </w:pPr>
            <w:r>
              <w:rPr>
                <w:b/>
                <w:sz w:val="20"/>
              </w:rPr>
              <w:t>WARBURG PINCUS XI-C, LLC</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Partners II (Cayman), L.P., its managing member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(Bermuda) Private Equity GP Ltd., its general 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sz w:val="20"/>
              </w:rPr>
            </w:pPr>
            <w:r>
              <w:rPr>
                <w:sz w:val="20"/>
              </w:rPr>
              <w:t>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6190" w:type="dxa"/>
            <w:gridSpan w:val="2"/>
            <w:tcBorders/>
            <w:vAlign w:val="center"/>
          </w:tcPr>
          <w:p>
            <w:pPr>
              <w:pStyle w:val="TableContents"/>
              <w:bidi w:val="0"/>
              <w:spacing w:before="0" w:after="283"/>
              <w:jc w:val="left"/>
              <w:rPr>
                <w:b/>
                <w:sz w:val="20"/>
              </w:rPr>
            </w:pPr>
            <w:r>
              <w:rPr>
                <w:b/>
                <w:sz w:val="20"/>
              </w:rPr>
              <w:t>WARBURG PINCUS PARTNERS II (CAYMAN), L.P.</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(Bermuda) Private Equity GP Ltd., its general 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sz w:val="20"/>
              </w:rPr>
            </w:pPr>
            <w:r>
              <w:rPr>
                <w:sz w:val="20"/>
              </w:rPr>
              <w:t>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6190" w:type="dxa"/>
            <w:gridSpan w:val="2"/>
            <w:tcBorders/>
            <w:vAlign w:val="center"/>
          </w:tcPr>
          <w:p>
            <w:pPr>
              <w:pStyle w:val="TableContents"/>
              <w:bidi w:val="0"/>
              <w:spacing w:before="0" w:after="283"/>
              <w:jc w:val="left"/>
              <w:rPr>
                <w:b/>
                <w:sz w:val="20"/>
              </w:rPr>
            </w:pPr>
            <w:r>
              <w:rPr>
                <w:b/>
                <w:sz w:val="20"/>
              </w:rPr>
              <w:t>WARBURG PINCUS (BERMUDA) PRIVATE EQUITY GP LTD.</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6190" w:type="dxa"/>
            <w:gridSpan w:val="2"/>
            <w:tcBorders/>
            <w:vAlign w:val="center"/>
          </w:tcPr>
          <w:p>
            <w:pPr>
              <w:pStyle w:val="TableContents"/>
              <w:bidi w:val="0"/>
              <w:spacing w:before="0" w:after="283"/>
              <w:jc w:val="left"/>
              <w:rPr>
                <w:b/>
                <w:sz w:val="20"/>
              </w:rPr>
            </w:pPr>
            <w:r>
              <w:rPr>
                <w:b/>
                <w:sz w:val="20"/>
              </w:rPr>
              <w:t>WARBURG PINCUS LLC</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sz w:val="20"/>
              </w:rPr>
            </w:pPr>
            <w:r>
              <w:rPr>
                <w:sz w:val="20"/>
              </w:rPr>
              <w:t>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6190" w:type="dxa"/>
            <w:gridSpan w:val="2"/>
            <w:tcBorders/>
            <w:vAlign w:val="center"/>
          </w:tcPr>
          <w:p>
            <w:pPr>
              <w:pStyle w:val="TableContents"/>
              <w:bidi w:val="0"/>
              <w:spacing w:before="0" w:after="283"/>
              <w:jc w:val="left"/>
              <w:rPr>
                <w:b/>
                <w:sz w:val="20"/>
              </w:rPr>
            </w:pPr>
            <w:r>
              <w:rPr>
                <w:b/>
                <w:sz w:val="20"/>
              </w:rPr>
              <w:t>WARBURG PINCUS PARTNERS GP, LLC</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Warburg Pincus &amp; Co., its managing member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By:</w:t>
            </w:r>
          </w:p>
        </w:tc>
        <w:tc>
          <w:tcPr>
            <w:tcW w:w="5630" w:type="dxa"/>
            <w:tcBorders/>
            <w:vAlign w:val="center"/>
          </w:tcPr>
          <w:p>
            <w:pPr>
              <w:pStyle w:val="TableContents"/>
              <w:bidi w:val="0"/>
              <w:spacing w:before="0" w:after="283"/>
              <w:jc w:val="left"/>
              <w:rPr>
                <w:sz w:val="20"/>
              </w:rPr>
            </w:pPr>
            <w:r>
              <w:rPr>
                <w:sz w:val="20"/>
              </w:rPr>
              <w:t xml:space="preserve">/s/ </w:t>
            </w:r>
            <w:r>
              <w:rPr>
                <w:sz w:val="20"/>
                <w:u w:val="single"/>
              </w:rPr>
              <w:t>Harsha G. Marti</w:t>
            </w:r>
          </w:p>
        </w:tc>
        <w:tc>
          <w:tcPr>
            <w:tcW w:w="995" w:type="dxa"/>
            <w:tcBorders/>
            <w:vAlign w:val="center"/>
          </w:tcPr>
          <w:p>
            <w:pPr>
              <w:pStyle w:val="TableContents"/>
              <w:bidi w:val="0"/>
              <w:spacing w:before="0" w:after="283"/>
              <w:jc w:val="left"/>
              <w:rPr>
                <w:sz w:val="20"/>
                <w:u w:val="single"/>
              </w:rPr>
            </w:pPr>
            <w:r>
              <w:rPr>
                <w:sz w:val="20"/>
                <w:u w:val="single"/>
              </w:rPr>
              <w:t>11/12/2025</w:t>
            </w:r>
          </w:p>
        </w:tc>
      </w:tr>
      <w:tr>
        <w:trPr/>
        <w:tc>
          <w:tcPr>
            <w:tcW w:w="5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sz w:val="20"/>
              </w:rPr>
            </w:pPr>
            <w:r>
              <w:rPr>
                <w:sz w:val="20"/>
              </w:rPr>
              <w:t>** Signature of Reporting Person</w:t>
            </w:r>
          </w:p>
        </w:tc>
        <w:tc>
          <w:tcPr>
            <w:tcW w:w="995" w:type="dxa"/>
            <w:tcBorders/>
            <w:vAlign w:val="center"/>
          </w:tcPr>
          <w:p>
            <w:pPr>
              <w:pStyle w:val="TableContents"/>
              <w:bidi w:val="0"/>
              <w:spacing w:before="0" w:after="283"/>
              <w:jc w:val="left"/>
              <w:rPr>
                <w:sz w:val="20"/>
              </w:rPr>
            </w:pPr>
            <w:r>
              <w:rPr>
                <w:sz w:val="20"/>
              </w:rPr>
              <w:t>Date</w:t>
            </w:r>
          </w:p>
        </w:tc>
      </w:tr>
      <w:tr>
        <w:trPr/>
        <w:tc>
          <w:tcPr>
            <w:tcW w:w="560" w:type="dxa"/>
            <w:tcBorders/>
            <w:vAlign w:val="center"/>
          </w:tcPr>
          <w:p>
            <w:pPr>
              <w:pStyle w:val="TableContents"/>
              <w:bidi w:val="0"/>
              <w:spacing w:before="0" w:after="283"/>
              <w:jc w:val="left"/>
              <w:rPr>
                <w:sz w:val="20"/>
              </w:rPr>
            </w:pPr>
            <w:r>
              <w:rPr>
                <w:sz w:val="20"/>
              </w:rPr>
              <w:t>Name:</w:t>
            </w:r>
          </w:p>
        </w:tc>
        <w:tc>
          <w:tcPr>
            <w:tcW w:w="5630" w:type="dxa"/>
            <w:tcBorders/>
            <w:vAlign w:val="center"/>
          </w:tcPr>
          <w:p>
            <w:pPr>
              <w:pStyle w:val="TableContents"/>
              <w:bidi w:val="0"/>
              <w:spacing w:before="0" w:after="283"/>
              <w:jc w:val="left"/>
              <w:rPr>
                <w:sz w:val="20"/>
              </w:rPr>
            </w:pPr>
            <w:r>
              <w:rPr>
                <w:sz w:val="20"/>
              </w:rPr>
              <w:t>Harsha G. Marti</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20"/>
              </w:rPr>
            </w:pPr>
            <w:r>
              <w:rPr>
                <w:sz w:val="20"/>
              </w:rPr>
              <w:t>Title:</w:t>
            </w:r>
          </w:p>
        </w:tc>
        <w:tc>
          <w:tcPr>
            <w:tcW w:w="5630" w:type="dxa"/>
            <w:tcBorders/>
            <w:vAlign w:val="center"/>
          </w:tcPr>
          <w:p>
            <w:pPr>
              <w:pStyle w:val="TableContents"/>
              <w:bidi w:val="0"/>
              <w:spacing w:before="0" w:after="283"/>
              <w:jc w:val="left"/>
              <w:rPr>
                <w:sz w:val="20"/>
              </w:rPr>
            </w:pPr>
            <w:r>
              <w:rPr>
                <w:sz w:val="20"/>
              </w:rPr>
              <w:t>Partner</w:t>
            </w:r>
          </w:p>
        </w:tc>
        <w:tc>
          <w:tcPr>
            <w:tcW w:w="995" w:type="dxa"/>
            <w:tcBorders/>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6625"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9408"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929408" TargetMode="External"/><Relationship Id="rId10" Type="http://schemas.openxmlformats.org/officeDocument/2006/relationships/hyperlink" Target="http://www.sec.gov/cgi-bin/browse-edgar?action=getcompany&amp;CIK=0001550877" TargetMode="External"/><Relationship Id="rId11" Type="http://schemas.openxmlformats.org/officeDocument/2006/relationships/hyperlink" Target="http://www.sec.gov/cgi-bin/browse-edgar?action=getcompany&amp;CIK=0001554853" TargetMode="External"/><Relationship Id="rId12" Type="http://schemas.openxmlformats.org/officeDocument/2006/relationships/hyperlink" Target="http://www.sec.gov/cgi-bin/browse-edgar?action=getcompany&amp;CIK=0001554852" TargetMode="External"/><Relationship Id="rId13" Type="http://schemas.openxmlformats.org/officeDocument/2006/relationships/hyperlink" Target="http://www.sec.gov/cgi-bin/browse-edgar?action=getcompany&amp;CIK=0001658820" TargetMode="External"/><Relationship Id="rId14" Type="http://schemas.openxmlformats.org/officeDocument/2006/relationships/hyperlink" Target="http://www.sec.gov/cgi-bin/browse-edgar?action=getcompany&amp;CIK=0001555729" TargetMode="External"/><Relationship Id="rId15" Type="http://schemas.openxmlformats.org/officeDocument/2006/relationships/hyperlink" Target="http://www.sec.gov/cgi-bin/browse-edgar?action=getcompany&amp;CIK=0001162870" TargetMode="External"/><Relationship Id="rId16" Type="http://schemas.openxmlformats.org/officeDocument/2006/relationships/hyperlink" Target="http://www.sec.gov/cgi-bin/browse-edgar?action=getcompany&amp;CIK=0001621224"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1719</Words>
  <Characters>8961</Characters>
  <CharactersWithSpaces>10470</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