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Klee Ann R.</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Sotera Health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05/28/2021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BROADVIEW</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w w:val="93"/>
              </w:rPr>
              <w:t>OH</w:t>
            </w:r>
          </w:p>
        </w:tc>
        <w:tc>
          <w:tcPr>
            <w:tcW w:w="82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44147</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tcPr>
          <w:p>
            <w:pPr>
              <w:spacing w:after="0" w:line="107" w:lineRule="exact"/>
              <w:rPr>
                <w:sz w:val="20"/>
                <w:szCs w:val="20"/>
                <w:color w:val="auto"/>
              </w:rPr>
            </w:pPr>
            <w:r>
              <w:rPr>
                <w:rFonts w:ascii="Arial" w:cs="Arial" w:eastAsia="Arial" w:hAnsi="Arial"/>
                <w:sz w:val="12"/>
                <w:szCs w:val="12"/>
                <w:color w:val="0000FF"/>
              </w:rPr>
              <w:t>HEIGHTS</w:t>
            </w: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7"/>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6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w w:val="89"/>
              </w:rPr>
              <w:t>9,336</w:t>
            </w:r>
            <w:r>
              <w:rPr>
                <w:rFonts w:ascii="Arial" w:cs="Arial" w:eastAsia="Arial" w:hAnsi="Arial"/>
                <w:sz w:val="22"/>
                <w:szCs w:val="22"/>
                <w:color w:val="008000"/>
                <w:w w:val="89"/>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66,130</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44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consist of 9,336 Restricted Stock Units ("RSUs") that were granted on May 28, 2021, pursuant to the terms of an RSU agreement under the Sotera Health Company 2020 Omnibus Incentive Plan. Each RSU represents the Reporting Person's right to receive one share of Common Stock, subject to vesting conditions. The RSUs will vest in full on the date immediately prior to the Issuer's next regular annual shareholders meeting, subject to the Reporting Person's continued service as a non-employee director of the Issuer through such date.</w:t>
      </w:r>
    </w:p>
    <w:p>
      <w:pPr>
        <w:spacing w:after="0" w:line="8" w:lineRule="exact"/>
        <w:rPr>
          <w:rFonts w:ascii="Arial" w:cs="Arial" w:eastAsia="Arial" w:hAnsi="Arial"/>
          <w:sz w:val="12"/>
          <w:szCs w:val="12"/>
          <w:color w:val="008000"/>
        </w:rPr>
      </w:pPr>
    </w:p>
    <w:p>
      <w:pPr>
        <w:ind w:left="40" w:right="2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9,336 RSUs and 56,794 shares of Common Stock, including 29,032 shares of vested Common Stock and 27,762 shares of unvested Common Stock. The unvested shares of Common Stock will vest on a daily basis pro rata through May 27, 2025.</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Power of Attorney for Ms. Klee is filed as an exhibit to the Form 3 filed with the Securities and Exchange Commission on November 20, 2020, which is hereby incorporated by reference.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5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6076"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2021-06-01T18:00:36Z</dcterms:created>
  <dcterms:modified xsi:type="dcterms:W3CDTF">2021-06-01T18:00:36Z</dcterms:modified>
</cp:coreProperties>
</file>