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 2025</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159"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1159"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59" w:right="339" w:bottom="1440" w:gutter="0" w:footer="0" w:header="0"/>
          <w:type w:val="continuous"/>
        </w:sectPr>
      </w:pPr>
    </w:p>
    <w:p>
      <w:pPr>
        <w:spacing w:after="0" w:line="1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1159"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4"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1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0" w:lineRule="exact"/>
        <w:rPr>
          <w:sz w:val="24"/>
          <w:szCs w:val="24"/>
          <w:color w:val="auto"/>
        </w:rPr>
      </w:pPr>
    </w:p>
    <w:p>
      <w:pPr>
        <w:ind w:left="8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62"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7"/>
          <w:szCs w:val="17"/>
          <w:color w:val="auto"/>
        </w:rPr>
        <w:t>On May 1, 2025, Sotera Health Company (the “Company”) issued a press release (the “Press Release”) announcing its financial results for the quarter ended March 31, 2025. The Company will hold its previously announced conference call on May 1, 2025, at 9:00 a.m. Eastern Time to discuss its financial results for the quarter. A copy of the Press Release is attached to this Current Report on Form 8-K as Exhibit 99.1 and is incorporated herein by reference.</w:t>
      </w:r>
    </w:p>
    <w:p>
      <w:pPr>
        <w:spacing w:after="0" w:line="9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information in this Item 2.02,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 Number</w:t>
            </w:r>
          </w:p>
        </w:tc>
        <w:tc>
          <w:tcPr>
            <w:tcW w:w="20" w:type="dxa"/>
            <w:vAlign w:val="bottom"/>
          </w:tcPr>
          <w:p>
            <w:pPr>
              <w:spacing w:after="0"/>
              <w:rPr>
                <w:sz w:val="16"/>
                <w:szCs w:val="16"/>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37"/>
        </w:trPr>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May 1, 2025</w:t>
            </w:r>
          </w:p>
        </w:tc>
      </w:tr>
      <w:tr>
        <w:trPr>
          <w:trHeight w:val="581"/>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20" w:type="dxa"/>
            <w:vAlign w:val="bottom"/>
            <w:tcBorders>
              <w:top w:val="single" w:sz="8" w:color="0000FF"/>
              <w:bottom w:val="single" w:sz="8" w:color="9A9A9A"/>
            </w:tcBorders>
          </w:tcPr>
          <w:p>
            <w:pPr>
              <w:spacing w:after="0"/>
              <w:rPr>
                <w:sz w:val="24"/>
                <w:szCs w:val="24"/>
                <w:color w:val="auto"/>
              </w:rPr>
            </w:pPr>
          </w:p>
        </w:tc>
        <w:tc>
          <w:tcPr>
            <w:tcW w:w="7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(Registrant)</w:t>
      </w:r>
    </w:p>
    <w:p>
      <w:pPr>
        <w:spacing w:after="0" w:line="328" w:lineRule="exact"/>
        <w:rPr>
          <w:sz w:val="20"/>
          <w:szCs w:val="20"/>
          <w:color w:val="auto"/>
        </w:rPr>
      </w:pPr>
    </w:p>
    <w:p>
      <w:pPr>
        <w:ind w:left="20"/>
        <w:spacing w:after="0"/>
        <w:tabs>
          <w:tab w:leader="none" w:pos="5160" w:val="left"/>
          <w:tab w:leader="none" w:pos="5980" w:val="left"/>
        </w:tabs>
        <w:rPr>
          <w:sz w:val="20"/>
          <w:szCs w:val="20"/>
          <w:color w:val="auto"/>
        </w:rPr>
      </w:pPr>
      <w:r>
        <w:rPr>
          <w:rFonts w:ascii="Times New Roman" w:cs="Times New Roman" w:eastAsia="Times New Roman" w:hAnsi="Times New Roman"/>
          <w:sz w:val="18"/>
          <w:szCs w:val="18"/>
          <w:color w:val="auto"/>
        </w:rPr>
        <w:t>Date: May 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Jonathan M. Lyons</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0720"/>
          </w:cols>
          <w:pgMar w:left="320" w:top="1008" w:right="859" w:bottom="1440" w:gutter="0" w:footer="0" w:header="0"/>
        </w:sectPr>
      </w:pPr>
    </w:p>
    <w:bookmarkStart w:id="3" w:name="page4"/>
    <w:bookmarkEnd w:id="3"/>
    <w:p>
      <w:pPr>
        <w:ind w:left="94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1499870" cy="48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987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Sotera Health Reports First-Quarter 2025 Results</w:t>
      </w:r>
    </w:p>
    <w:p>
      <w:pPr>
        <w:spacing w:after="0" w:line="255" w:lineRule="exact"/>
        <w:rPr>
          <w:sz w:val="20"/>
          <w:szCs w:val="20"/>
          <w:color w:val="auto"/>
        </w:rPr>
      </w:pPr>
    </w:p>
    <w:p>
      <w:pPr>
        <w:ind w:left="660" w:right="560" w:hanging="328"/>
        <w:spacing w:after="0" w:line="281" w:lineRule="auto"/>
        <w:tabs>
          <w:tab w:leader="none" w:pos="628"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Q1 2025 net revenues increased 2.6% to $255 million, compared to Q1 2024, or 4.4% on a constant currency basis</w:t>
      </w:r>
    </w:p>
    <w:p>
      <w:pPr>
        <w:spacing w:after="0" w:line="1" w:lineRule="exact"/>
        <w:rPr>
          <w:rFonts w:ascii="Arial" w:cs="Arial" w:eastAsia="Arial" w:hAnsi="Arial"/>
          <w:sz w:val="22"/>
          <w:szCs w:val="22"/>
          <w:b w:val="1"/>
          <w:bCs w:val="1"/>
          <w:i w:val="1"/>
          <w:iCs w:val="1"/>
          <w:color w:val="auto"/>
        </w:rPr>
      </w:pPr>
    </w:p>
    <w:p>
      <w:pPr>
        <w:ind w:left="660" w:right="580" w:hanging="328"/>
        <w:spacing w:after="0" w:line="275" w:lineRule="auto"/>
        <w:tabs>
          <w:tab w:leader="none" w:pos="628"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Q1 2025 net loss of $13 million or $0.05 per diluted share, compared to net income of $6 million or $0.02 per diluted share in Q1 2024</w:t>
      </w:r>
    </w:p>
    <w:p>
      <w:pPr>
        <w:ind w:left="660" w:right="820" w:hanging="328"/>
        <w:spacing w:after="0" w:line="281" w:lineRule="auto"/>
        <w:tabs>
          <w:tab w:leader="none" w:pos="628"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Q1 2025 Adjusted EBITDA</w:t>
      </w:r>
      <w:r>
        <w:rPr>
          <w:rFonts w:ascii="Arial" w:cs="Arial" w:eastAsia="Arial" w:hAnsi="Arial"/>
          <w:sz w:val="11"/>
          <w:szCs w:val="11"/>
          <w:b w:val="1"/>
          <w:bCs w:val="1"/>
          <w:i w:val="1"/>
          <w:iCs w:val="1"/>
          <w:color w:val="auto"/>
        </w:rPr>
        <w:t>(1)</w:t>
      </w:r>
      <w:r>
        <w:rPr>
          <w:rFonts w:ascii="Arial" w:cs="Arial" w:eastAsia="Arial" w:hAnsi="Arial"/>
          <w:sz w:val="22"/>
          <w:szCs w:val="22"/>
          <w:b w:val="1"/>
          <w:bCs w:val="1"/>
          <w:i w:val="1"/>
          <w:iCs w:val="1"/>
          <w:color w:val="auto"/>
        </w:rPr>
        <w:t xml:space="preserve"> increased 8.8% to $122 million, compared to Q1 2024, or 11.2% on a constant currency basis</w:t>
      </w:r>
    </w:p>
    <w:p>
      <w:pPr>
        <w:spacing w:after="0" w:line="1" w:lineRule="exact"/>
        <w:rPr>
          <w:rFonts w:ascii="Arial" w:cs="Arial" w:eastAsia="Arial" w:hAnsi="Arial"/>
          <w:sz w:val="22"/>
          <w:szCs w:val="22"/>
          <w:b w:val="1"/>
          <w:bCs w:val="1"/>
          <w:i w:val="1"/>
          <w:iCs w:val="1"/>
          <w:color w:val="auto"/>
        </w:rPr>
      </w:pPr>
    </w:p>
    <w:p>
      <w:pPr>
        <w:ind w:left="660" w:right="180" w:hanging="328"/>
        <w:spacing w:after="0" w:line="281" w:lineRule="auto"/>
        <w:tabs>
          <w:tab w:leader="none" w:pos="628"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Q1 2025 Adjusted EPS</w:t>
      </w:r>
      <w:r>
        <w:rPr>
          <w:rFonts w:ascii="Arial" w:cs="Arial" w:eastAsia="Arial" w:hAnsi="Arial"/>
          <w:sz w:val="11"/>
          <w:szCs w:val="11"/>
          <w:b w:val="1"/>
          <w:bCs w:val="1"/>
          <w:i w:val="1"/>
          <w:iCs w:val="1"/>
          <w:color w:val="auto"/>
        </w:rPr>
        <w:t>(1)</w:t>
      </w:r>
      <w:r>
        <w:rPr>
          <w:rFonts w:ascii="Arial" w:cs="Arial" w:eastAsia="Arial" w:hAnsi="Arial"/>
          <w:sz w:val="22"/>
          <w:szCs w:val="22"/>
          <w:b w:val="1"/>
          <w:bCs w:val="1"/>
          <w:i w:val="1"/>
          <w:iCs w:val="1"/>
          <w:color w:val="auto"/>
        </w:rPr>
        <w:t xml:space="preserve"> of $0.14, an increase of $0.01 per diluted share, compared to Adjusted EPS of $0.13 in Q1 2024</w:t>
      </w:r>
    </w:p>
    <w:p>
      <w:pPr>
        <w:spacing w:after="0" w:line="1" w:lineRule="exact"/>
        <w:rPr>
          <w:rFonts w:ascii="Arial" w:cs="Arial" w:eastAsia="Arial" w:hAnsi="Arial"/>
          <w:sz w:val="22"/>
          <w:szCs w:val="22"/>
          <w:b w:val="1"/>
          <w:bCs w:val="1"/>
          <w:i w:val="1"/>
          <w:iCs w:val="1"/>
          <w:color w:val="auto"/>
        </w:rPr>
      </w:pPr>
    </w:p>
    <w:p>
      <w:pPr>
        <w:ind w:left="660" w:right="40" w:hanging="328"/>
        <w:spacing w:after="0" w:line="283" w:lineRule="auto"/>
        <w:tabs>
          <w:tab w:leader="none" w:pos="628"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Company reaffirms full-year 2025 outlook of 4.0% - 6.0% net revenues growth and 4.5% - 6.5% Adjusted EBITDA growth, both on a constant currency basis</w:t>
      </w:r>
    </w:p>
    <w:p>
      <w:pPr>
        <w:spacing w:after="0" w:line="122" w:lineRule="exact"/>
        <w:rPr>
          <w:sz w:val="20"/>
          <w:szCs w:val="20"/>
          <w:color w:val="auto"/>
        </w:rPr>
      </w:pPr>
    </w:p>
    <w:p>
      <w:pPr>
        <w:jc w:val="both"/>
        <w:ind w:right="60"/>
        <w:spacing w:after="0" w:line="263" w:lineRule="auto"/>
        <w:rPr>
          <w:sz w:val="20"/>
          <w:szCs w:val="20"/>
          <w:color w:val="auto"/>
        </w:rPr>
      </w:pPr>
      <w:r>
        <w:rPr>
          <w:rFonts w:ascii="Arial" w:cs="Arial" w:eastAsia="Arial" w:hAnsi="Arial"/>
          <w:sz w:val="20"/>
          <w:szCs w:val="20"/>
          <w:b w:val="1"/>
          <w:bCs w:val="1"/>
          <w:color w:val="auto"/>
        </w:rPr>
        <w:t xml:space="preserve">CLEVELAND, OH, May 1, 2025 </w:t>
      </w:r>
      <w:r>
        <w:rPr>
          <w:rFonts w:ascii="Arial" w:cs="Arial" w:eastAsia="Arial" w:hAnsi="Arial"/>
          <w:sz w:val="20"/>
          <w:szCs w:val="20"/>
          <w:color w:val="auto"/>
        </w:rPr>
        <w:t>– Sotera Health Company (“Sotera Health” or the “Company”) (Nasdaq: SHC), a leading global</w:t>
      </w:r>
      <w:r>
        <w:rPr>
          <w:rFonts w:ascii="Arial" w:cs="Arial" w:eastAsia="Arial" w:hAnsi="Arial"/>
          <w:sz w:val="20"/>
          <w:szCs w:val="20"/>
          <w:b w:val="1"/>
          <w:bCs w:val="1"/>
          <w:color w:val="auto"/>
        </w:rPr>
        <w:t xml:space="preserve"> </w:t>
      </w:r>
      <w:r>
        <w:rPr>
          <w:rFonts w:ascii="Arial" w:cs="Arial" w:eastAsia="Arial" w:hAnsi="Arial"/>
          <w:sz w:val="20"/>
          <w:szCs w:val="20"/>
          <w:color w:val="auto"/>
        </w:rPr>
        <w:t>provider of mission-critical end-to-end sterilization solutions, lab testing and advisory services for the healthcare industry, today announced financial results for the three months ended March 31, 2025.</w:t>
      </w:r>
    </w:p>
    <w:p>
      <w:pPr>
        <w:spacing w:after="0" w:line="110"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First-quarter 2025 net revenues increased 2.6% to $255 million, compared to $248 million in the first-quarter 2024. Net revenues increased 4.4% on a constant currency basis. Net loss was $13 million, or $0.05 per diluted share, which includes a pending and previously disclosed settlement of approximately $31 million related to ethylene oxide (“EO”) claims against Sterigenics, compared to net income of $6 million, or $0.02 per diluted share for the first-quarter 2024. Adjusted EBITDA for the first-quarter 2025 increased by 8.8% to $ 122 million compared to the first-quarter 2024, or 11.2% on a constant currency basis. First-quarter 2025 Adjusted Earnings Per Diluted Share (“Adjusted EPS”) of $0.14, an increase of $0.01 compared to the first-quarter 2024.</w:t>
      </w:r>
    </w:p>
    <w:p>
      <w:pPr>
        <w:spacing w:after="0" w:line="91" w:lineRule="exact"/>
        <w:rPr>
          <w:sz w:val="20"/>
          <w:szCs w:val="20"/>
          <w:color w:val="auto"/>
        </w:rPr>
      </w:pPr>
    </w:p>
    <w:p>
      <w:pPr>
        <w:jc w:val="both"/>
        <w:ind w:right="80"/>
        <w:spacing w:after="0" w:line="259" w:lineRule="auto"/>
        <w:rPr>
          <w:sz w:val="20"/>
          <w:szCs w:val="20"/>
          <w:color w:val="auto"/>
        </w:rPr>
      </w:pPr>
      <w:r>
        <w:rPr>
          <w:rFonts w:ascii="Arial" w:cs="Arial" w:eastAsia="Arial" w:hAnsi="Arial"/>
          <w:sz w:val="20"/>
          <w:szCs w:val="20"/>
          <w:color w:val="auto"/>
        </w:rPr>
        <w:t>“We are pleased to report a solid start to the year with mid -single digit revenue growth and strong double digit Adjusted EBITDA growth, on a constant currency basis,” said Chairman and Chief Executive Officer, Michael B. Petras, Jr. “We have consistently demonstrated the ability to sustain growth and navigate challenges through varying market conditions. Today we are reaffirming our 2025 outlook as our team remains steadfast in our mission of Safeguarding Global Health."</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First-Quarter Review by Business Segment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Sterigenics</w:t>
      </w:r>
    </w:p>
    <w:p>
      <w:pPr>
        <w:spacing w:after="0" w:line="96" w:lineRule="exact"/>
        <w:rPr>
          <w:sz w:val="20"/>
          <w:szCs w:val="20"/>
          <w:color w:val="auto"/>
        </w:rPr>
      </w:pPr>
    </w:p>
    <w:p>
      <w:pPr>
        <w:ind w:right="380"/>
        <w:spacing w:after="0" w:line="286" w:lineRule="auto"/>
        <w:rPr>
          <w:sz w:val="20"/>
          <w:szCs w:val="20"/>
          <w:color w:val="auto"/>
        </w:rPr>
      </w:pPr>
      <w:r>
        <w:rPr>
          <w:rFonts w:ascii="Arial" w:cs="Arial" w:eastAsia="Arial" w:hAnsi="Arial"/>
          <w:sz w:val="20"/>
          <w:szCs w:val="20"/>
          <w:color w:val="auto"/>
        </w:rPr>
        <w:t>For first-quarter 2025, net revenues were $170 million, an increase of 1.9% compared to the first-quarter 2024, or 3.9% on a constant currency basis. Segment income was $88 million, an increase of 2.5% compared to the first-quarter 2024.</w:t>
      </w:r>
    </w:p>
    <w:p>
      <w:pPr>
        <w:spacing w:after="0" w:line="73" w:lineRule="exact"/>
        <w:rPr>
          <w:sz w:val="20"/>
          <w:szCs w:val="20"/>
          <w:color w:val="auto"/>
        </w:rPr>
      </w:pPr>
    </w:p>
    <w:p>
      <w:pPr>
        <w:ind w:right="40"/>
        <w:spacing w:after="0" w:line="271" w:lineRule="auto"/>
        <w:rPr>
          <w:sz w:val="20"/>
          <w:szCs w:val="20"/>
          <w:color w:val="auto"/>
        </w:rPr>
      </w:pPr>
      <w:r>
        <w:rPr>
          <w:rFonts w:ascii="Arial" w:cs="Arial" w:eastAsia="Arial" w:hAnsi="Arial"/>
          <w:sz w:val="20"/>
          <w:szCs w:val="20"/>
          <w:color w:val="auto"/>
        </w:rPr>
        <w:t>Net revenue growth for first-quarter 2025 was driven by favorable pricing, partially offset by an unfavorable impact from changes in 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1714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4" w:lineRule="exact"/>
        <w:rPr>
          <w:sz w:val="20"/>
          <w:szCs w:val="20"/>
          <w:color w:val="auto"/>
        </w:rPr>
      </w:pPr>
    </w:p>
    <w:p>
      <w:pPr>
        <w:ind w:right="340"/>
        <w:spacing w:after="0" w:line="227"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This is a non-GAAP financial measure used throughout this press release; please refer to the section “Non-GAAP Financial Measures” for explanations of our Non-GAAP financial measures and the schedules provided later in this release for reconciliations of reported GAAP to Non-GAAP financial measures.</w:t>
      </w:r>
    </w:p>
    <w:p>
      <w:pPr>
        <w:sectPr>
          <w:pgSz w:w="11900" w:h="16838" w:orient="portrait"/>
          <w:cols w:equalWidth="0" w:num="1">
            <w:col w:w="11240"/>
          </w:cols>
          <w:pgMar w:left="320" w:top="158" w:right="339" w:bottom="1440" w:gutter="0" w:footer="0" w:header="0"/>
        </w:sectPr>
      </w:pPr>
    </w:p>
    <w:bookmarkStart w:id="4" w:name="page5"/>
    <w:bookmarkEnd w:id="4"/>
    <w:p>
      <w:pPr>
        <w:ind w:right="60"/>
        <w:spacing w:after="0" w:line="286" w:lineRule="auto"/>
        <w:rPr>
          <w:sz w:val="20"/>
          <w:szCs w:val="20"/>
          <w:color w:val="auto"/>
        </w:rPr>
      </w:pPr>
      <w:r>
        <w:rPr>
          <w:rFonts w:ascii="Arial" w:cs="Arial" w:eastAsia="Arial" w:hAnsi="Arial"/>
          <w:sz w:val="20"/>
          <w:szCs w:val="20"/>
          <w:color w:val="auto"/>
        </w:rPr>
        <w:t>Segment income and segment income margin growth for the quarter was driven by favorable pricing, partially offset by inflation and changes in foreign currency exchange rates.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Nordion</w:t>
      </w:r>
    </w:p>
    <w:p>
      <w:pPr>
        <w:spacing w:after="0" w:line="96" w:lineRule="exact"/>
        <w:rPr>
          <w:sz w:val="20"/>
          <w:szCs w:val="20"/>
          <w:color w:val="auto"/>
        </w:rPr>
      </w:pPr>
    </w:p>
    <w:p>
      <w:pPr>
        <w:ind w:right="200"/>
        <w:spacing w:after="0" w:line="271" w:lineRule="auto"/>
        <w:rPr>
          <w:sz w:val="20"/>
          <w:szCs w:val="20"/>
          <w:color w:val="auto"/>
        </w:rPr>
      </w:pPr>
      <w:r>
        <w:rPr>
          <w:rFonts w:ascii="Arial" w:cs="Arial" w:eastAsia="Arial" w:hAnsi="Arial"/>
          <w:sz w:val="20"/>
          <w:szCs w:val="20"/>
          <w:color w:val="auto"/>
        </w:rPr>
        <w:t>For first-quarter 2025, net revenues were $33 million, an increase of 35.6% compared to the first-quarter 2024, or 40.6% on a constant currency basis. Segment income increased 61.5% to $17 million compared to the first-quarter 2024.</w:t>
      </w:r>
    </w:p>
    <w:p>
      <w:pPr>
        <w:spacing w:after="0" w:line="102" w:lineRule="exact"/>
        <w:rPr>
          <w:sz w:val="20"/>
          <w:szCs w:val="20"/>
          <w:color w:val="auto"/>
        </w:rPr>
      </w:pPr>
    </w:p>
    <w:p>
      <w:pPr>
        <w:ind w:right="80"/>
        <w:spacing w:after="0" w:line="271" w:lineRule="auto"/>
        <w:rPr>
          <w:sz w:val="20"/>
          <w:szCs w:val="20"/>
          <w:color w:val="auto"/>
        </w:rPr>
      </w:pPr>
      <w:r>
        <w:rPr>
          <w:rFonts w:ascii="Arial" w:cs="Arial" w:eastAsia="Arial" w:hAnsi="Arial"/>
          <w:sz w:val="20"/>
          <w:szCs w:val="20"/>
          <w:color w:val="auto"/>
        </w:rPr>
        <w:t>Net revenue growth for the first-quarter 2025 was driven mainly by volume and mix, which was largely attributable to the timing of reactor harvest schedules, partially offset by changes in foreign currency rates.</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Segment income and segment income margin growth for the first-quarter 2025 were primarily driven by higher volume and mix.</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Nelson Labs</w:t>
      </w:r>
    </w:p>
    <w:p>
      <w:pPr>
        <w:spacing w:after="0" w:line="96" w:lineRule="exact"/>
        <w:rPr>
          <w:sz w:val="20"/>
          <w:szCs w:val="20"/>
          <w:color w:val="auto"/>
        </w:rPr>
      </w:pPr>
    </w:p>
    <w:p>
      <w:pPr>
        <w:ind w:right="460"/>
        <w:spacing w:after="0" w:line="286" w:lineRule="auto"/>
        <w:rPr>
          <w:sz w:val="20"/>
          <w:szCs w:val="20"/>
          <w:color w:val="auto"/>
        </w:rPr>
      </w:pPr>
      <w:r>
        <w:rPr>
          <w:rFonts w:ascii="Arial" w:cs="Arial" w:eastAsia="Arial" w:hAnsi="Arial"/>
          <w:sz w:val="20"/>
          <w:szCs w:val="20"/>
          <w:color w:val="auto"/>
        </w:rPr>
        <w:t>For first-quarter 2025, net revenues were $52 million, a decrease of 9.3% compared to the first-quarter 2024, or 8.6% on a constant currency basis. Segment income increased 7.0% to $16 million compared to the first-quarter 2024.</w:t>
      </w:r>
    </w:p>
    <w:p>
      <w:pPr>
        <w:spacing w:after="0" w:line="73" w:lineRule="exact"/>
        <w:rPr>
          <w:sz w:val="20"/>
          <w:szCs w:val="20"/>
          <w:color w:val="auto"/>
        </w:rPr>
      </w:pPr>
    </w:p>
    <w:p>
      <w:pPr>
        <w:ind w:right="160"/>
        <w:spacing w:after="0" w:line="286" w:lineRule="auto"/>
        <w:rPr>
          <w:sz w:val="20"/>
          <w:szCs w:val="20"/>
          <w:color w:val="auto"/>
        </w:rPr>
      </w:pPr>
      <w:r>
        <w:rPr>
          <w:rFonts w:ascii="Arial" w:cs="Arial" w:eastAsia="Arial" w:hAnsi="Arial"/>
          <w:sz w:val="20"/>
          <w:szCs w:val="20"/>
          <w:color w:val="auto"/>
        </w:rPr>
        <w:t>Favorable pricing and improvement in core lab testing services was offset by a decline in expert advisory service revenue and changes in foreign currency exchange rates.</w:t>
      </w:r>
    </w:p>
    <w:p>
      <w:pPr>
        <w:spacing w:after="0" w:line="73" w:lineRule="exact"/>
        <w:rPr>
          <w:sz w:val="20"/>
          <w:szCs w:val="20"/>
          <w:color w:val="auto"/>
        </w:rPr>
      </w:pPr>
    </w:p>
    <w:p>
      <w:pPr>
        <w:jc w:val="both"/>
        <w:ind w:right="40"/>
        <w:spacing w:after="0" w:line="262" w:lineRule="auto"/>
        <w:rPr>
          <w:sz w:val="20"/>
          <w:szCs w:val="20"/>
          <w:color w:val="auto"/>
        </w:rPr>
      </w:pPr>
      <w:r>
        <w:rPr>
          <w:rFonts w:ascii="Arial" w:cs="Arial" w:eastAsia="Arial" w:hAnsi="Arial"/>
          <w:sz w:val="20"/>
          <w:szCs w:val="20"/>
          <w:color w:val="auto"/>
        </w:rPr>
        <w:t>Segment income and segment income margin growth for the first-quarter 2025 was primarily driven by favorable pricing as well as volume and mix improvements in core lab testing services coupled with lab optimization, partially offset by lower volume and mix in expert advisory services.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Balance Sheet and Liquidity</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As of March 31, 2025, Sotera Health had $ 2.3 billion in total debt, and $304 million in cash and cash equivalents, compared to $2.3 billion in total debt and $277 million in cash and cash equivalents as of December 31, 2024. As of March 31, 2025, the Company had no balance outstanding on its revolving credit facility. The Company’s material debt balances currently outstanding do not mature until 2031. Sotera Health’s Net Leverage Ratio</w:t>
      </w:r>
      <w:r>
        <w:rPr>
          <w:rFonts w:ascii="Arial" w:cs="Arial" w:eastAsia="Arial" w:hAnsi="Arial"/>
          <w:sz w:val="11"/>
          <w:szCs w:val="11"/>
          <w:color w:val="auto"/>
        </w:rPr>
        <w:t>(1)</w:t>
      </w:r>
      <w:r>
        <w:rPr>
          <w:rFonts w:ascii="Arial" w:cs="Arial" w:eastAsia="Arial" w:hAnsi="Arial"/>
          <w:sz w:val="20"/>
          <w:szCs w:val="20"/>
          <w:color w:val="auto"/>
        </w:rPr>
        <w:t xml:space="preserve"> as of March 31, 2025 improved to 3.6x from 3.7x as of December 31, 2024.</w:t>
      </w:r>
    </w:p>
    <w:p>
      <w:pPr>
        <w:spacing w:after="0" w:line="120" w:lineRule="exact"/>
        <w:rPr>
          <w:sz w:val="20"/>
          <w:szCs w:val="20"/>
          <w:color w:val="auto"/>
        </w:rPr>
      </w:pPr>
    </w:p>
    <w:p>
      <w:pPr>
        <w:ind w:right="100"/>
        <w:spacing w:after="0" w:line="271" w:lineRule="auto"/>
        <w:rPr>
          <w:sz w:val="20"/>
          <w:szCs w:val="20"/>
          <w:color w:val="auto"/>
        </w:rPr>
      </w:pPr>
      <w:r>
        <w:rPr>
          <w:rFonts w:ascii="Arial" w:cs="Arial" w:eastAsia="Arial" w:hAnsi="Arial"/>
          <w:sz w:val="20"/>
          <w:szCs w:val="20"/>
          <w:color w:val="auto"/>
        </w:rPr>
        <w:t>On April 30, 2025 the Company closed on an amendment to its revolving credit facility that increased the facility’s size by $176 million to a total of $600 million, and extended its maturity date to April 2030.</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Reaffirming 2025 Outlook</w:t>
      </w:r>
    </w:p>
    <w:p>
      <w:pPr>
        <w:spacing w:after="0" w:line="96" w:lineRule="exact"/>
        <w:rPr>
          <w:sz w:val="20"/>
          <w:szCs w:val="20"/>
          <w:color w:val="auto"/>
        </w:rPr>
      </w:pPr>
    </w:p>
    <w:p>
      <w:pPr>
        <w:ind w:right="300"/>
        <w:spacing w:after="0" w:line="286" w:lineRule="auto"/>
        <w:rPr>
          <w:sz w:val="20"/>
          <w:szCs w:val="20"/>
          <w:color w:val="auto"/>
        </w:rPr>
      </w:pPr>
      <w:r>
        <w:rPr>
          <w:rFonts w:ascii="Arial" w:cs="Arial" w:eastAsia="Arial" w:hAnsi="Arial"/>
          <w:sz w:val="20"/>
          <w:szCs w:val="20"/>
          <w:color w:val="auto"/>
        </w:rPr>
        <w:t>The 2025 outlook below, first provided on February 27, 2025, remains unchanged except for updates to our foreign currency assumptions:</w:t>
      </w:r>
    </w:p>
    <w:p>
      <w:pPr>
        <w:spacing w:after="0" w:line="4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0"/>
          <w:szCs w:val="20"/>
          <w:color w:val="auto"/>
        </w:rPr>
        <w:t>Net revenues growth in the range of 4.0% to 6.0%, on a constant currency basis,</w:t>
      </w:r>
    </w:p>
    <w:p>
      <w:pPr>
        <w:spacing w:after="0" w:line="98" w:lineRule="exact"/>
        <w:rPr>
          <w:rFonts w:ascii="Arial" w:cs="Arial" w:eastAsia="Arial" w:hAnsi="Arial"/>
          <w:sz w:val="22"/>
          <w:szCs w:val="22"/>
          <w:color w:val="auto"/>
        </w:rPr>
      </w:pPr>
    </w:p>
    <w:p>
      <w:pPr>
        <w:ind w:left="1300" w:right="280" w:hanging="320"/>
        <w:spacing w:after="0" w:line="262" w:lineRule="auto"/>
        <w:tabs>
          <w:tab w:leader="none" w:pos="1296" w:val="left"/>
        </w:tabs>
        <w:numPr>
          <w:ilvl w:val="1"/>
          <w:numId w:val="3"/>
        </w:numPr>
        <w:rPr>
          <w:rFonts w:ascii="Arial" w:cs="Arial" w:eastAsia="Arial" w:hAnsi="Arial"/>
          <w:sz w:val="22"/>
          <w:szCs w:val="22"/>
          <w:color w:val="auto"/>
        </w:rPr>
      </w:pPr>
      <w:r>
        <w:rPr>
          <w:rFonts w:ascii="Arial" w:cs="Arial" w:eastAsia="Arial" w:hAnsi="Arial"/>
          <w:sz w:val="20"/>
          <w:szCs w:val="20"/>
          <w:color w:val="auto"/>
        </w:rPr>
        <w:t>Foreign currency headwind to net revenues of approximately 1.25% based on average March 2025 exchange rates, updated from the previous outlook of 2.25%,</w:t>
      </w:r>
    </w:p>
    <w:p>
      <w:pPr>
        <w:spacing w:after="0" w:line="6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0"/>
          <w:szCs w:val="20"/>
          <w:color w:val="auto"/>
        </w:rPr>
        <w:t>Adjusted EBITDA growth in the range of 4.5% to 6.5%, on a constant currency basis,</w:t>
      </w:r>
    </w:p>
    <w:p>
      <w:pPr>
        <w:spacing w:after="0" w:line="98" w:lineRule="exact"/>
        <w:rPr>
          <w:rFonts w:ascii="Arial" w:cs="Arial" w:eastAsia="Arial" w:hAnsi="Arial"/>
          <w:sz w:val="22"/>
          <w:szCs w:val="22"/>
          <w:color w:val="auto"/>
        </w:rPr>
      </w:pPr>
    </w:p>
    <w:p>
      <w:pPr>
        <w:ind w:left="1300" w:right="800" w:hanging="320"/>
        <w:spacing w:after="0" w:line="262" w:lineRule="auto"/>
        <w:tabs>
          <w:tab w:leader="none" w:pos="1296" w:val="left"/>
        </w:tabs>
        <w:numPr>
          <w:ilvl w:val="1"/>
          <w:numId w:val="3"/>
        </w:numPr>
        <w:rPr>
          <w:rFonts w:ascii="Arial" w:cs="Arial" w:eastAsia="Arial" w:hAnsi="Arial"/>
          <w:sz w:val="22"/>
          <w:szCs w:val="22"/>
          <w:color w:val="auto"/>
        </w:rPr>
      </w:pPr>
      <w:r>
        <w:rPr>
          <w:rFonts w:ascii="Arial" w:cs="Arial" w:eastAsia="Arial" w:hAnsi="Arial"/>
          <w:sz w:val="20"/>
          <w:szCs w:val="20"/>
          <w:color w:val="auto"/>
        </w:rPr>
        <w:t>Foreign currency headwind to Adjusted EBITDA of approximately 1.50% based on average March 2025 exchange rates, updated from the previous outlook of 2.50%,</w:t>
      </w:r>
    </w:p>
    <w:p>
      <w:pPr>
        <w:spacing w:after="0" w:line="6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0"/>
          <w:szCs w:val="20"/>
          <w:color w:val="auto"/>
        </w:rPr>
        <w:t>Interest Expense in the range of $155 million to $165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714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1" w:lineRule="exact"/>
        <w:rPr>
          <w:sz w:val="20"/>
          <w:szCs w:val="20"/>
          <w:color w:val="auto"/>
        </w:rPr>
      </w:pPr>
    </w:p>
    <w:p>
      <w:pPr>
        <w:ind w:right="260"/>
        <w:spacing w:after="0" w:line="227"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This is a non-GAAP financial measure used throughout this press release; please refer to the section “Non-GAAP Financial Measures” for explanations of our Non-GAAP financial measures and the schedules provided later in this release for reconciliations of reported GAAP to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60"/>
          </w:cols>
          <w:pgMar w:left="320" w:top="995" w:right="419" w:bottom="1440" w:gutter="0" w:footer="0" w:header="0"/>
        </w:sectPr>
      </w:pPr>
    </w:p>
    <w:bookmarkStart w:id="5" w:name="page6"/>
    <w:bookmarkEnd w:id="5"/>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0"/>
          <w:szCs w:val="20"/>
          <w:color w:val="auto"/>
        </w:rPr>
        <w:t>Tax rate applicable to Adjusted Net Income</w:t>
      </w:r>
      <w:r>
        <w:rPr>
          <w:rFonts w:ascii="Arial" w:cs="Arial" w:eastAsia="Arial" w:hAnsi="Arial"/>
          <w:sz w:val="11"/>
          <w:szCs w:val="11"/>
          <w:color w:val="auto"/>
        </w:rPr>
        <w:t>(1)</w:t>
      </w:r>
      <w:r>
        <w:rPr>
          <w:rFonts w:ascii="Arial" w:cs="Arial" w:eastAsia="Arial" w:hAnsi="Arial"/>
          <w:sz w:val="20"/>
          <w:szCs w:val="20"/>
          <w:color w:val="auto"/>
        </w:rPr>
        <w:t xml:space="preserve"> in the range of 33.0% to 35.0%,</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0"/>
          <w:szCs w:val="20"/>
          <w:color w:val="auto"/>
        </w:rPr>
        <w:t>Adjusted EPS in the range of $0.70 to $0.76,</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0"/>
          <w:szCs w:val="20"/>
          <w:color w:val="auto"/>
        </w:rPr>
        <w:t>A weighted-average fully diluted share count in the range of 286 million to 287 million shares,</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0"/>
          <w:szCs w:val="20"/>
          <w:color w:val="auto"/>
        </w:rPr>
        <w:t>Capital expenditures in the range of $190 million to $210 million.</w:t>
      </w:r>
    </w:p>
    <w:p>
      <w:pPr>
        <w:spacing w:after="0" w:line="71"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The Company does not provide a reconciliation for non-GAAP financial measures on a forward-looking basis where it is unable to provide a meaningful or accurate calculation or estimation of reconciling items without unreasonable effort. The Company cannot reconcile its expected Adjusted EBITDA, Tax Rate Applicable to Adjusted Net Income, Adjusted Net Income and Adjusted EPS without unreasonable effort because certain items that impact net income, earnings per share and other reconciling metrics are out of the Company’s control and/or cannot be reasonably predicted at this time, including uncertainties caused by changes to the regulatory landscape, restructuring items and certain fair value measurements, all of which are potential adjustments for future earnings.</w:t>
      </w:r>
    </w:p>
    <w:p>
      <w:pPr>
        <w:spacing w:after="0" w:line="105"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The outlook provided above contains a number of assumptions, including, among others, the Company’s current expectations regarding supply chain continuity, particularly for the supply of EO and Cobalt-60 (“Co-60”), the impact of inflationary trends including their impact on energy prices and the supply of labor, and the expectation that exchange rates as of March 31, 2025 remain constant for the remainder of 2025. Our outlook is based on current plans and expectations and is subject to several known and unknown risks and uncertainties, including those set forth below under “Cautionary Note Regarding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Earnings Webcast</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 xml:space="preserve">Sotera Health management will host a conference call and live webcast to discuss the Company’s financial results and operating highlights at 9:00 a.m. Eastern Daylight Time today. To participate in the live call, please dial 1-844-481-2916 (toll-free in the United States), or 1-412-317-0709 if dialing-in from other locations. A live webcast of the conference call will be accessible at this </w:t>
      </w:r>
      <w:r>
        <w:rPr>
          <w:rFonts w:ascii="Arial" w:cs="Arial" w:eastAsia="Arial" w:hAnsi="Arial"/>
          <w:sz w:val="20"/>
          <w:szCs w:val="20"/>
          <w:u w:val="single" w:color="auto"/>
          <w:color w:val="0E32E1"/>
        </w:rPr>
        <w:t>link</w:t>
      </w:r>
      <w:r>
        <w:rPr>
          <w:rFonts w:ascii="Arial" w:cs="Arial" w:eastAsia="Arial" w:hAnsi="Arial"/>
          <w:sz w:val="20"/>
          <w:szCs w:val="20"/>
          <w:color w:val="auto"/>
        </w:rPr>
        <w:t xml:space="preserve"> or via the Investor Relations section of the Company’s website at </w:t>
      </w:r>
      <w:r>
        <w:rPr>
          <w:rFonts w:ascii="Arial" w:cs="Arial" w:eastAsia="Arial" w:hAnsi="Arial"/>
          <w:sz w:val="20"/>
          <w:szCs w:val="20"/>
          <w:u w:val="single" w:color="auto"/>
          <w:color w:val="0E32E1"/>
        </w:rPr>
        <w:t>Presentation &amp; Events | Sotera Health</w:t>
      </w:r>
      <w:r>
        <w:rPr>
          <w:rFonts w:ascii="Arial" w:cs="Arial" w:eastAsia="Arial" w:hAnsi="Arial"/>
          <w:sz w:val="20"/>
          <w:szCs w:val="20"/>
          <w:color w:val="auto"/>
        </w:rPr>
        <w:t>, along with accompanying materials. A replay of the webcast will be available on the Company’s website.</w:t>
      </w:r>
    </w:p>
    <w:p>
      <w:pPr>
        <w:spacing w:after="0" w:line="120" w:lineRule="exact"/>
        <w:rPr>
          <w:sz w:val="20"/>
          <w:szCs w:val="20"/>
          <w:color w:val="auto"/>
        </w:rPr>
      </w:pPr>
    </w:p>
    <w:p>
      <w:pPr>
        <w:ind w:right="60"/>
        <w:spacing w:after="0" w:line="262" w:lineRule="auto"/>
        <w:rPr>
          <w:sz w:val="20"/>
          <w:szCs w:val="20"/>
          <w:color w:val="auto"/>
        </w:rPr>
      </w:pPr>
      <w:r>
        <w:rPr>
          <w:rFonts w:ascii="Arial" w:cs="Arial" w:eastAsia="Arial" w:hAnsi="Arial"/>
          <w:sz w:val="20"/>
          <w:szCs w:val="20"/>
          <w:color w:val="auto"/>
        </w:rPr>
        <w:t xml:space="preserve">Updates on recent developments in matters relevant to investors can be found on the Investor Relations section of the Sotera Health website at </w:t>
      </w:r>
      <w:r>
        <w:rPr>
          <w:rFonts w:ascii="Arial" w:cs="Arial" w:eastAsia="Arial" w:hAnsi="Arial"/>
          <w:sz w:val="20"/>
          <w:szCs w:val="20"/>
          <w:u w:val="single" w:color="auto"/>
          <w:color w:val="0E32E1"/>
        </w:rPr>
        <w:t>Investor Relations | Sotera Health</w:t>
      </w:r>
      <w:r>
        <w:rPr>
          <w:rFonts w:ascii="Arial" w:cs="Arial" w:eastAsia="Arial" w:hAnsi="Arial"/>
          <w:sz w:val="20"/>
          <w:szCs w:val="20"/>
          <w:color w:val="auto"/>
        </w:rPr>
        <w:t xml:space="preserve">. For developments related to EO, updates can be found at </w:t>
      </w:r>
      <w:r>
        <w:rPr>
          <w:rFonts w:ascii="Arial" w:cs="Arial" w:eastAsia="Arial" w:hAnsi="Arial"/>
          <w:sz w:val="20"/>
          <w:szCs w:val="20"/>
          <w:u w:val="single" w:color="auto"/>
          <w:color w:val="0E32E1"/>
        </w:rPr>
        <w:t>Ethylene Oxide |</w:t>
      </w:r>
      <w:r>
        <w:rPr>
          <w:rFonts w:ascii="Arial" w:cs="Arial" w:eastAsia="Arial" w:hAnsi="Arial"/>
          <w:sz w:val="20"/>
          <w:szCs w:val="20"/>
          <w:color w:val="auto"/>
        </w:rPr>
        <w:t xml:space="preserve"> </w:t>
      </w:r>
      <w:r>
        <w:rPr>
          <w:rFonts w:ascii="Arial" w:cs="Arial" w:eastAsia="Arial" w:hAnsi="Arial"/>
          <w:sz w:val="20"/>
          <w:szCs w:val="20"/>
          <w:u w:val="single" w:color="auto"/>
          <w:color w:val="0E32E1"/>
        </w:rPr>
        <w:t>Sotera Health</w:t>
      </w:r>
      <w:r>
        <w:rPr>
          <w:rFonts w:ascii="Arial" w:cs="Arial" w:eastAsia="Arial" w:hAnsi="Arial"/>
          <w:sz w:val="20"/>
          <w:szCs w:val="20"/>
          <w:color w:val="000000"/>
        </w:rPr>
        <w: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Upcoming Investor Events</w:t>
      </w:r>
    </w:p>
    <w:p>
      <w:pPr>
        <w:spacing w:after="0" w:line="110" w:lineRule="exact"/>
        <w:rPr>
          <w:sz w:val="20"/>
          <w:szCs w:val="20"/>
          <w:color w:val="auto"/>
        </w:rPr>
      </w:pPr>
    </w:p>
    <w:p>
      <w:pPr>
        <w:ind w:left="620" w:hanging="288"/>
        <w:spacing w:after="0"/>
        <w:tabs>
          <w:tab w:leader="none" w:pos="620" w:val="left"/>
        </w:tabs>
        <w:numPr>
          <w:ilvl w:val="0"/>
          <w:numId w:val="5"/>
        </w:numPr>
        <w:rPr>
          <w:rFonts w:ascii="Arial" w:cs="Arial" w:eastAsia="Arial" w:hAnsi="Arial"/>
          <w:sz w:val="20"/>
          <w:szCs w:val="20"/>
          <w:color w:val="auto"/>
        </w:rPr>
      </w:pPr>
      <w:r>
        <w:rPr>
          <w:rFonts w:ascii="Arial" w:cs="Arial" w:eastAsia="Arial" w:hAnsi="Arial"/>
          <w:sz w:val="20"/>
          <w:szCs w:val="20"/>
          <w:color w:val="auto"/>
        </w:rPr>
        <w:t>Sotera Health 2025 Annual Meeting of Stockholders at 9:00 a.m. Eastern Daylight Time, May 21, 2025</w:t>
      </w:r>
    </w:p>
    <w:p>
      <w:pPr>
        <w:spacing w:after="0" w:line="94" w:lineRule="exact"/>
        <w:rPr>
          <w:rFonts w:ascii="Arial" w:cs="Arial" w:eastAsia="Arial" w:hAnsi="Arial"/>
          <w:sz w:val="20"/>
          <w:szCs w:val="20"/>
          <w:color w:val="auto"/>
        </w:rPr>
      </w:pPr>
    </w:p>
    <w:p>
      <w:pPr>
        <w:ind w:left="620" w:hanging="288"/>
        <w:spacing w:after="0"/>
        <w:tabs>
          <w:tab w:leader="none" w:pos="620" w:val="left"/>
        </w:tabs>
        <w:numPr>
          <w:ilvl w:val="0"/>
          <w:numId w:val="5"/>
        </w:numPr>
        <w:rPr>
          <w:rFonts w:ascii="Arial" w:cs="Arial" w:eastAsia="Arial" w:hAnsi="Arial"/>
          <w:sz w:val="20"/>
          <w:szCs w:val="20"/>
          <w:color w:val="auto"/>
        </w:rPr>
      </w:pPr>
      <w:r>
        <w:rPr>
          <w:rFonts w:ascii="Arial" w:cs="Arial" w:eastAsia="Arial" w:hAnsi="Arial"/>
          <w:sz w:val="20"/>
          <w:szCs w:val="20"/>
          <w:color w:val="auto"/>
        </w:rPr>
        <w:t>Jefferies Global Healthcare Conference at 7:35 a.m. Eastern Daylight Time, June 4, 2025</w:t>
      </w:r>
    </w:p>
    <w:p>
      <w:pPr>
        <w:spacing w:after="0" w:line="94" w:lineRule="exact"/>
        <w:rPr>
          <w:rFonts w:ascii="Arial" w:cs="Arial" w:eastAsia="Arial" w:hAnsi="Arial"/>
          <w:sz w:val="20"/>
          <w:szCs w:val="20"/>
          <w:color w:val="auto"/>
        </w:rPr>
      </w:pPr>
    </w:p>
    <w:p>
      <w:pPr>
        <w:ind w:left="620" w:hanging="288"/>
        <w:spacing w:after="0"/>
        <w:tabs>
          <w:tab w:leader="none" w:pos="620" w:val="left"/>
        </w:tabs>
        <w:numPr>
          <w:ilvl w:val="0"/>
          <w:numId w:val="5"/>
        </w:numPr>
        <w:rPr>
          <w:rFonts w:ascii="Arial" w:cs="Arial" w:eastAsia="Arial" w:hAnsi="Arial"/>
          <w:sz w:val="20"/>
          <w:szCs w:val="20"/>
          <w:color w:val="auto"/>
        </w:rPr>
      </w:pPr>
      <w:r>
        <w:rPr>
          <w:rFonts w:ascii="Arial" w:cs="Arial" w:eastAsia="Arial" w:hAnsi="Arial"/>
          <w:sz w:val="20"/>
          <w:szCs w:val="20"/>
          <w:color w:val="auto"/>
        </w:rPr>
        <w:t>Goldman Sachs 4th annual Global Healthcare Conference at 10:00 a.m. Eastern Daylight Time, June 10, 2025</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Cautionary Note Regarding Forward-Looking Statements</w:t>
      </w:r>
    </w:p>
    <w:p>
      <w:pPr>
        <w:spacing w:after="0" w:line="96"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Unless expressly indicated or the context requires otherwise, the terms “Sotera Health,” “Company,” “we,” “us,” and “our” in this document refer to Sotera Health Company, a Delaware corporation, and, where appropriate, its subsidiaries on a consolidated basis. This release contains forward-looking statements within the meaning of the Private Securities Litigation Reform Act of 1995 and reflects management’s expectations about future events and the Company’s operating plans and performance and speak only as of the date hereof. Forward-looking statements present our current forecasts and estimates of future events. These statements do not strictly relate to historical or current results and 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714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7" w:lineRule="exact"/>
        <w:rPr>
          <w:sz w:val="20"/>
          <w:szCs w:val="20"/>
          <w:color w:val="auto"/>
        </w:rPr>
      </w:pPr>
    </w:p>
    <w:p>
      <w:pPr>
        <w:ind w:right="320" w:firstLine="8"/>
        <w:spacing w:after="0" w:line="296" w:lineRule="auto"/>
        <w:tabs>
          <w:tab w:leader="none" w:pos="154" w:val="left"/>
        </w:tabs>
        <w:numPr>
          <w:ilvl w:val="0"/>
          <w:numId w:val="6"/>
        </w:numPr>
        <w:rPr>
          <w:rFonts w:ascii="Arial" w:cs="Arial" w:eastAsia="Arial" w:hAnsi="Arial"/>
          <w:sz w:val="17"/>
          <w:szCs w:val="17"/>
          <w:color w:val="auto"/>
          <w:vertAlign w:val="superscript"/>
        </w:rPr>
      </w:pPr>
      <w:r>
        <w:rPr>
          <w:rFonts w:ascii="Arial" w:cs="Arial" w:eastAsia="Arial" w:hAnsi="Arial"/>
          <w:sz w:val="12"/>
          <w:szCs w:val="12"/>
          <w:color w:val="auto"/>
        </w:rPr>
        <w:t>This is a non-GAAP financial measure used throughout this press release; please refer to the section “Non-GAAP Financial Measures” for explanations of our Non-GAAP financial measures and the schedules provided later in this release for reconciliations of reported GAAP to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68" w:right="339" w:bottom="1440" w:gutter="0" w:footer="0" w:header="0"/>
        </w:sectPr>
      </w:pPr>
    </w:p>
    <w:bookmarkStart w:id="6" w:name="page7"/>
    <w:bookmarkEnd w:id="6"/>
    <w:p>
      <w:pPr>
        <w:spacing w:after="0" w:line="262" w:lineRule="auto"/>
        <w:rPr>
          <w:sz w:val="20"/>
          <w:szCs w:val="20"/>
          <w:color w:val="auto"/>
        </w:rPr>
      </w:pPr>
      <w:r>
        <w:rPr>
          <w:rFonts w:ascii="Arial" w:cs="Arial" w:eastAsia="Arial" w:hAnsi="Arial"/>
          <w:sz w:val="19"/>
          <w:szCs w:val="19"/>
          <w:color w:val="auto"/>
        </w:rPr>
        <w:t>be identified by words such as “anticipate,” “appear,” “assume,” “believe,” “estimate,” “expect,” “forecast,” “intend,” “likely,” “may,” “plan,” “project,” “seek,” “should,” “strategy,” “will” and other terms of similar meaning or import in connection with any discussion of future operating, financial or other performance. These forward-looking statements are subject to risks, uncertainties and other factors and actual results may differ materially from those results projected in the statements. These forward-looking statements are subject to various risks, uncertainties and assumptions relating to our operations, financial results, financial condition, business, prospects, growth strategy and liquidity. These risks and uncertainties include, but are not limited to, a disruption in the availability or supply of, or increases in the price of, EO, Co-60 or our other direct materials, services and supplies, including as a result of geopolitical instability and/or sanctions against Russia by the United States, Canada, United Kingdom and/or the European Union; fluctuations in foreign currency exchange rates; evolving changes in environmental, health and safety regulations or preferences, and general economic, social and business conditions; health and safety risks associated with the use, storage, transportation and disposal of potentially hazardous materials such as EO and Co-60; the impact and outcome of current and future legal proceedings and liability claims, including litigation related to the use, emissions and releases of EO from our facilities in California, Georgia, Illinois and New Mexico and the possibility that additional claims will be made in the future relating to these or other facilities; our ability to satisfy the conditions for settlement of the EO claims related to our former facility in Willowbrook, Illinois; allegations of our failure to properly perform services and potential product liability claims, recalls, penalties and reputational harm; compliance with the extensive regulatory requirements to which we are subject, the related costs, and any failures to receive or maintain, or delays in receiving, required clearances or approvals; adverse changes in industry trends; competition we face; market conditions and changes, including inflationary trends and the impact of tariffs, that impact our long-term supply contracts with variable price clauses and increase our cost of revenues; business continuity hazards, including supply chain disruptions and other risks associated with our operations; the risks of doing business internationally, including global and regional economic and political instability and compliance with various applicable laws and potentially inconsistent laws and regulations in multiple jurisdictions; our ability to increase capacity at existing facilities, build new facilities in a timely and cost-effective manner and renew leases for our leased facilities; our ability to attract and retain qualified employees; severe health events or environmental events; cybersecurity incidents, unauthorized data disclosures, and our dependence on information technology systems; an inability to pursue strategic transactions, find suitable acquisition targets, or integrate strategic acquisitions into our business successfully; our ability to maintain effective internal control over financial reporting; our reliance on intellectual property to maintain our competitive position and the risk of claims from third parties that we have infringed or misappropriated, or are infringing or misappropriating, their intellectual property rights; our ability to comply with rapidly evolving data privacy and security laws and regulations in various jurisdictions and any ineffective compliance efforts with such laws and regulations; our ability to generate profitability in future periods; impairment charges on our goodwill and other intangible assets with indefinite lives, as well as other long-lived assets and intangible assets with definite lives; the effects of unionization efforts and labor regulations in countries in which we operate; adverse changes to our tax positions in U.S. or non-U.S. jurisdictions or the interpretation and application of recent U.S. tax legislation or other changes in U.S. or non-U.S. taxation of our operations; and 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and/or prevent us from meeting our obligations under our existing and future agreements governing our indebtedness. For additional discussion of these risks and uncertainties, please refer to the Company’s filings with the Securities and Exchange Commission, such as its Annual Report on Form 10-K and quarterly reports. We do not undertake any obligation to publicly update or revise these forward-looking statements,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941" w:right="35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u w:val="single" w:color="auto"/>
          <w:color w:val="auto"/>
        </w:rPr>
        <w:t>Non-GAAP Financial Measures</w:t>
      </w:r>
    </w:p>
    <w:p>
      <w:pPr>
        <w:spacing w:after="0" w:line="96" w:lineRule="exact"/>
        <w:rPr>
          <w:sz w:val="20"/>
          <w:szCs w:val="20"/>
          <w:color w:val="auto"/>
        </w:rPr>
      </w:pPr>
    </w:p>
    <w:p>
      <w:pPr>
        <w:jc w:val="both"/>
        <w:ind w:right="520"/>
        <w:spacing w:after="0" w:line="262" w:lineRule="auto"/>
        <w:rPr>
          <w:sz w:val="20"/>
          <w:szCs w:val="20"/>
          <w:color w:val="auto"/>
        </w:rPr>
      </w:pPr>
      <w:r>
        <w:rPr>
          <w:rFonts w:ascii="Arial" w:cs="Arial" w:eastAsia="Arial" w:hAnsi="Arial"/>
          <w:sz w:val="20"/>
          <w:szCs w:val="20"/>
          <w:color w:val="auto"/>
        </w:rPr>
        <w:t>To supplement our consolidated financial statements presented in accordance with GAAP, we consider Adjusted EBITDA, Adjusted EBITDA margin, Adjusted Net Income, Adjusted EPS, Net Debt and Net Leverage Ratio and constant currency, financial measures that are not based on any standardized methodology prescribed by GAAP.</w:t>
      </w:r>
    </w:p>
    <w:p>
      <w:pPr>
        <w:spacing w:after="0" w:line="97" w:lineRule="exact"/>
        <w:rPr>
          <w:sz w:val="20"/>
          <w:szCs w:val="20"/>
          <w:color w:val="auto"/>
        </w:rPr>
      </w:pPr>
    </w:p>
    <w:p>
      <w:pPr>
        <w:ind w:right="20"/>
        <w:spacing w:after="0" w:line="286" w:lineRule="auto"/>
        <w:rPr>
          <w:sz w:val="20"/>
          <w:szCs w:val="20"/>
          <w:color w:val="auto"/>
        </w:rPr>
      </w:pPr>
      <w:r>
        <w:rPr>
          <w:rFonts w:ascii="Arial" w:cs="Arial" w:eastAsia="Arial" w:hAnsi="Arial"/>
          <w:sz w:val="20"/>
          <w:szCs w:val="20"/>
          <w:color w:val="auto"/>
        </w:rPr>
        <w:t>We define Adjusted Net Income as net income (loss) before amortization and certain other adjustments that we do not consider in our evaluation of our ongoing operating performance from period to period.</w:t>
      </w:r>
    </w:p>
    <w:p>
      <w:pPr>
        <w:spacing w:after="0" w:line="73" w:lineRule="exact"/>
        <w:rPr>
          <w:sz w:val="20"/>
          <w:szCs w:val="20"/>
          <w:color w:val="auto"/>
        </w:rPr>
      </w:pPr>
    </w:p>
    <w:p>
      <w:pPr>
        <w:ind w:right="340"/>
        <w:spacing w:after="0" w:line="286" w:lineRule="auto"/>
        <w:rPr>
          <w:sz w:val="20"/>
          <w:szCs w:val="20"/>
          <w:color w:val="auto"/>
        </w:rPr>
      </w:pPr>
      <w:r>
        <w:rPr>
          <w:rFonts w:ascii="Arial" w:cs="Arial" w:eastAsia="Arial" w:hAnsi="Arial"/>
          <w:sz w:val="20"/>
          <w:szCs w:val="20"/>
          <w:color w:val="auto"/>
        </w:rPr>
        <w:t>We define Adjusted EBITDA as Adjusted Net Income before interest expense, depreciation (including depreciation of Co-60 used in our operations) and income tax provision applicable to Adjusted Net Income.</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Adjusted EBITDA margin is equal to Adjusted EBITDA divided by net revenues.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We define Adjusted EPS as Adjusted Net Income divided by the weighted average number of diluted shares outstanding.</w:t>
      </w:r>
    </w:p>
    <w:p>
      <w:pPr>
        <w:spacing w:after="0" w:line="162" w:lineRule="exact"/>
        <w:rPr>
          <w:sz w:val="20"/>
          <w:szCs w:val="20"/>
          <w:color w:val="auto"/>
        </w:rPr>
      </w:pPr>
    </w:p>
    <w:p>
      <w:pPr>
        <w:ind w:right="800"/>
        <w:spacing w:after="0" w:line="271" w:lineRule="auto"/>
        <w:rPr>
          <w:sz w:val="20"/>
          <w:szCs w:val="20"/>
          <w:color w:val="auto"/>
        </w:rPr>
      </w:pPr>
      <w:r>
        <w:rPr>
          <w:rFonts w:ascii="Arial" w:cs="Arial" w:eastAsia="Arial" w:hAnsi="Arial"/>
          <w:sz w:val="20"/>
          <w:szCs w:val="20"/>
          <w:color w:val="auto"/>
        </w:rPr>
        <w:t>Our Net Debt is equal to our total debt net of unamortized debt issuance costs and debt discounts, less cash and cash equivalents.</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color w:val="auto"/>
        </w:rPr>
        <w:t>Our Net Leverage Ratio is equal to Net Debt divided by Adjusted EBITDA.</w:t>
      </w:r>
    </w:p>
    <w:p>
      <w:pPr>
        <w:spacing w:after="0" w:line="162"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Constant currency is a non-GAAP financial measure we use to assess performance excluding the impact of foreign currency exchange rate changes. We calculate constant currency net revenues by translating prior year net revenues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94" w:lineRule="exact"/>
        <w:rPr>
          <w:sz w:val="20"/>
          <w:szCs w:val="20"/>
          <w:color w:val="auto"/>
        </w:rPr>
      </w:pPr>
    </w:p>
    <w:p>
      <w:pPr>
        <w:ind w:right="140"/>
        <w:spacing w:after="0" w:line="251" w:lineRule="auto"/>
        <w:rPr>
          <w:sz w:val="20"/>
          <w:szCs w:val="20"/>
          <w:color w:val="auto"/>
        </w:rPr>
      </w:pPr>
      <w:r>
        <w:rPr>
          <w:rFonts w:ascii="Arial" w:cs="Arial" w:eastAsia="Arial" w:hAnsi="Arial"/>
          <w:sz w:val="20"/>
          <w:szCs w:val="20"/>
          <w:color w:val="auto"/>
        </w:rPr>
        <w:t>We use these non-GAAP financial measures as the principal measures of our operating performance. Management believes these measures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without these measures and their disclosure. In addition, we believe these measures will assist investors in making comparisons to our historical operating results and analyzing the underlying performance of our operations for the periods presented. Our management also uses these measurements in their financial analysis and operational decision-making and Adjusted EBITDA serves as the key metric for the attainment of our primary annual incentive program. These measures may be calculated differently from, and therefore may not be comparable to, a similarly titled measure used by other companies.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Sotera Health</w:t>
      </w:r>
    </w:p>
    <w:p>
      <w:pPr>
        <w:spacing w:after="0" w:line="96"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color w:val="auto"/>
        </w:rPr>
        <w:t>Sotera Health Company is a leading global provider of mission-critical end-to-end sterilization solutions and lab testing and advisory services for the healthcare industry. Sotera Health goes to market through three businesses – Sterigenics®, Nordion® and Nelson Labs®. Sotera Health is committed to its mission, Safeguarding Global Health®.</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1074" w:right="4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INVESTOR RELATIONS CONTACT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Jason Peterson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Treasurer</w:t>
      </w:r>
    </w:p>
    <w:p>
      <w:pPr>
        <w:spacing w:after="0"/>
        <w:rPr>
          <w:sz w:val="20"/>
          <w:szCs w:val="20"/>
          <w:color w:val="auto"/>
        </w:rPr>
      </w:pPr>
      <w:r>
        <w:rPr>
          <w:rFonts w:ascii="Arial" w:cs="Arial" w:eastAsia="Arial" w:hAnsi="Arial"/>
          <w:sz w:val="20"/>
          <w:szCs w:val="20"/>
          <w:u w:val="single" w:color="auto"/>
          <w:color w:val="0E32E1"/>
        </w:rPr>
        <w:t>IR@soterahealth.com</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Kristin Gibbs</w:t>
      </w:r>
    </w:p>
    <w:p>
      <w:pPr>
        <w:spacing w:after="0"/>
        <w:rPr>
          <w:sz w:val="20"/>
          <w:szCs w:val="20"/>
          <w:color w:val="auto"/>
        </w:rPr>
      </w:pPr>
      <w:r>
        <w:rPr>
          <w:rFonts w:ascii="Arial" w:cs="Arial" w:eastAsia="Arial" w:hAnsi="Arial"/>
          <w:sz w:val="20"/>
          <w:szCs w:val="20"/>
          <w:color w:val="auto"/>
        </w:rPr>
        <w:t>Chief Marketing Officer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0E32E1"/>
        </w:rPr>
        <w:t>kgibbs@soterahealth.com</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Source: Sotera Health Company</w:t>
      </w:r>
    </w:p>
    <w:p>
      <w:pPr>
        <w:spacing w:after="0" w:line="256" w:lineRule="exact"/>
        <w:rPr>
          <w:sz w:val="20"/>
          <w:szCs w:val="20"/>
          <w:color w:val="auto"/>
        </w:rPr>
      </w:pPr>
    </w:p>
    <w:p>
      <w:pPr>
        <w:jc w:val="right"/>
        <w:ind w:right="4359"/>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139"/>
          </w:cols>
          <w:pgMar w:left="320" w:top="1074"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468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4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Service</w:t>
            </w:r>
          </w:p>
        </w:tc>
        <w:tc>
          <w:tcPr>
            <w:tcW w:w="3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223,940</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226,481</w:t>
            </w:r>
          </w:p>
        </w:tc>
      </w:tr>
      <w:tr>
        <w:trPr>
          <w:trHeight w:val="229"/>
        </w:trPr>
        <w:tc>
          <w:tcPr>
            <w:tcW w:w="4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Product</w:t>
            </w:r>
          </w:p>
        </w:tc>
        <w:tc>
          <w:tcPr>
            <w:tcW w:w="38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30,583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21,695</w:t>
            </w: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254,523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248,176</w:t>
            </w: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Service</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107,629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110,852</w:t>
            </w:r>
          </w:p>
        </w:tc>
      </w:tr>
      <w:tr>
        <w:trPr>
          <w:trHeight w:val="229"/>
        </w:trPr>
        <w:tc>
          <w:tcPr>
            <w:tcW w:w="4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Product</w:t>
            </w:r>
          </w:p>
        </w:tc>
        <w:tc>
          <w:tcPr>
            <w:tcW w:w="38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11,462</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10,209</w:t>
            </w:r>
          </w:p>
        </w:tc>
      </w:tr>
      <w:tr>
        <w:trPr>
          <w:trHeight w:val="223"/>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38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119,091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121,061</w:t>
            </w: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135,432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127,115</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63,061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58,209</w:t>
            </w: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15,327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15,732</w:t>
            </w: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 EO litigation settlement</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30,943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40,876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41,771</w:t>
            </w: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(14,823)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11,014</w:t>
            </w: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8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(13,260)</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6,323</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4680" w:type="dxa"/>
            <w:vAlign w:val="bottom"/>
            <w:shd w:val="clear" w:color="auto" w:fill="CCEEFF"/>
          </w:tcPr>
          <w:p>
            <w:pPr>
              <w:spacing w:after="0"/>
              <w:rPr>
                <w:sz w:val="15"/>
                <w:szCs w:val="15"/>
                <w:color w:val="auto"/>
              </w:rPr>
            </w:pPr>
          </w:p>
        </w:tc>
        <w:tc>
          <w:tcPr>
            <w:tcW w:w="3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Earnings per share:</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Basic</w:t>
            </w:r>
          </w:p>
        </w:tc>
        <w:tc>
          <w:tcPr>
            <w:tcW w:w="3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29"/>
        </w:trPr>
        <w:tc>
          <w:tcPr>
            <w:tcW w:w="4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Diluted</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Basic</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283,558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281,913</w:t>
            </w:r>
          </w:p>
        </w:tc>
      </w:tr>
      <w:tr>
        <w:trPr>
          <w:trHeight w:val="230"/>
        </w:trPr>
        <w:tc>
          <w:tcPr>
            <w:tcW w:w="4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Diluted</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283,558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284,062</w:t>
            </w:r>
          </w:p>
        </w:tc>
      </w:tr>
      <w:tr>
        <w:trPr>
          <w:trHeight w:val="733"/>
        </w:trPr>
        <w:tc>
          <w:tcPr>
            <w:tcW w:w="4680" w:type="dxa"/>
            <w:vAlign w:val="bottom"/>
          </w:tcPr>
          <w:p>
            <w:pPr>
              <w:spacing w:after="0"/>
              <w:rPr>
                <w:sz w:val="24"/>
                <w:szCs w:val="24"/>
                <w:color w:val="auto"/>
              </w:rPr>
            </w:pPr>
          </w:p>
        </w:tc>
        <w:tc>
          <w:tcPr>
            <w:tcW w:w="3800" w:type="dxa"/>
            <w:vAlign w:val="bottom"/>
          </w:tcPr>
          <w:p>
            <w:pPr>
              <w:jc w:val="right"/>
              <w:ind w:right="27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200"/>
          </w:cols>
          <w:pgMar w:left="340" w:top="122"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Segment Data</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tcPr>
          <w:p>
            <w:pPr>
              <w:spacing w:after="0"/>
              <w:rPr>
                <w:sz w:val="20"/>
                <w:szCs w:val="20"/>
                <w:color w:val="auto"/>
              </w:rPr>
            </w:pPr>
          </w:p>
        </w:tc>
        <w:tc>
          <w:tcPr>
            <w:tcW w:w="2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Sterigenics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169,684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166,497</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Nordion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24,007</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Nelson Labs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52,282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57,672</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254,523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248,176</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6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Sterigenics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88,004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85,818</w:t>
            </w:r>
          </w:p>
        </w:tc>
        <w:tc>
          <w:tcPr>
            <w:tcW w:w="0" w:type="dxa"/>
            <w:vAlign w:val="bottom"/>
          </w:tcPr>
          <w:p>
            <w:pPr>
              <w:spacing w:after="0"/>
              <w:rPr>
                <w:sz w:val="1"/>
                <w:szCs w:val="1"/>
                <w:color w:val="auto"/>
              </w:rPr>
            </w:pPr>
          </w:p>
        </w:tc>
      </w:tr>
      <w:tr>
        <w:trPr>
          <w:trHeight w:val="230"/>
        </w:trPr>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Nordion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10,785</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Nelson Labs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15,341</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income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121,839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111,944</w:t>
            </w: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Less adjustments: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41,771</w:t>
            </w: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(a)</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40,734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40,430</w:t>
            </w:r>
          </w:p>
        </w:tc>
        <w:tc>
          <w:tcPr>
            <w:tcW w:w="0" w:type="dxa"/>
            <w:vAlign w:val="bottom"/>
          </w:tcPr>
          <w:p>
            <w:pPr>
              <w:spacing w:after="0"/>
              <w:rPr>
                <w:sz w:val="1"/>
                <w:szCs w:val="1"/>
                <w:color w:val="auto"/>
              </w:rPr>
            </w:pPr>
          </w:p>
        </w:tc>
      </w:tr>
      <w:tr>
        <w:trPr>
          <w:trHeight w:val="270"/>
        </w:trPr>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(b)</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7,269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w:t>
            </w: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on foreign currency and derivatives not designated as hedging instruments, net</w:t>
            </w:r>
            <w:r>
              <w:rPr>
                <w:rFonts w:ascii="Times New Roman" w:cs="Times New Roman" w:eastAsia="Times New Roman" w:hAnsi="Times New Roman"/>
                <w:sz w:val="23"/>
                <w:szCs w:val="23"/>
                <w:color w:val="auto"/>
                <w:vertAlign w:val="superscript"/>
              </w:rPr>
              <w:t>(c)</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70"/>
        </w:trPr>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Business optimization expenses</w:t>
            </w:r>
            <w:r>
              <w:rPr>
                <w:rFonts w:ascii="Times New Roman" w:cs="Times New Roman" w:eastAsia="Times New Roman" w:hAnsi="Times New Roman"/>
                <w:sz w:val="23"/>
                <w:szCs w:val="23"/>
                <w:color w:val="auto"/>
                <w:vertAlign w:val="superscript"/>
              </w:rPr>
              <w:t>(d)</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Refinancing and secondary offering costs</w:t>
            </w:r>
            <w:r>
              <w:rPr>
                <w:rFonts w:ascii="Times New Roman" w:cs="Times New Roman" w:eastAsia="Times New Roman" w:hAnsi="Times New Roman"/>
                <w:sz w:val="23"/>
                <w:szCs w:val="23"/>
                <w:color w:val="auto"/>
                <w:vertAlign w:val="superscript"/>
              </w:rPr>
              <w:t>(e)</w:t>
            </w:r>
          </w:p>
        </w:tc>
        <w:tc>
          <w:tcPr>
            <w:tcW w:w="2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0" w:type="dxa"/>
            <w:vAlign w:val="bottom"/>
          </w:tcPr>
          <w:p>
            <w:pPr>
              <w:spacing w:after="0"/>
              <w:rPr>
                <w:sz w:val="1"/>
                <w:szCs w:val="1"/>
                <w:color w:val="auto"/>
              </w:rPr>
            </w:pPr>
          </w:p>
        </w:tc>
      </w:tr>
      <w:tr>
        <w:trPr>
          <w:trHeight w:val="270"/>
        </w:trPr>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Professional services relating to EO sterilization facilities</w:t>
            </w:r>
            <w:r>
              <w:rPr>
                <w:rFonts w:ascii="Times New Roman" w:cs="Times New Roman" w:eastAsia="Times New Roman" w:hAnsi="Times New Roman"/>
                <w:sz w:val="23"/>
                <w:szCs w:val="23"/>
                <w:color w:val="auto"/>
                <w:vertAlign w:val="superscript"/>
              </w:rPr>
              <w:t>(f)</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Illinois EO litigation settlement</w:t>
            </w:r>
            <w:r>
              <w:rPr>
                <w:rFonts w:ascii="Times New Roman" w:cs="Times New Roman" w:eastAsia="Times New Roman" w:hAnsi="Times New Roman"/>
                <w:sz w:val="23"/>
                <w:szCs w:val="23"/>
                <w:color w:val="auto"/>
                <w:vertAlign w:val="superscript"/>
              </w:rPr>
              <w:t>(g)</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30,943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6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Accretion of asset retirement obligations</w:t>
            </w:r>
            <w:r>
              <w:rPr>
                <w:rFonts w:ascii="Times New Roman" w:cs="Times New Roman" w:eastAsia="Times New Roman" w:hAnsi="Times New Roman"/>
                <w:sz w:val="23"/>
                <w:szCs w:val="23"/>
                <w:color w:val="auto"/>
                <w:vertAlign w:val="superscript"/>
              </w:rPr>
              <w:t>(h)</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(loss) income before income taxes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11,014</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00" w:right="160" w:hanging="492"/>
        <w:spacing w:after="0" w:line="272" w:lineRule="auto"/>
        <w:tabs>
          <w:tab w:leader="none" w:pos="49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depreciation of Co-60 held at gamma irradiation sites. The three months ended March 31, 2025 excludes accelerated depreciation associated with business optimization activities.</w:t>
      </w:r>
    </w:p>
    <w:p>
      <w:pPr>
        <w:spacing w:after="0" w:line="1"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share-based compensation expense to employees and Non-Employee Directors.</w:t>
      </w:r>
    </w:p>
    <w:p>
      <w:pPr>
        <w:spacing w:after="0" w:line="45" w:lineRule="exact"/>
        <w:rPr>
          <w:rFonts w:ascii="Times New Roman" w:cs="Times New Roman" w:eastAsia="Times New Roman" w:hAnsi="Times New Roman"/>
          <w:sz w:val="16"/>
          <w:szCs w:val="16"/>
          <w:color w:val="auto"/>
        </w:rPr>
      </w:pPr>
    </w:p>
    <w:p>
      <w:pPr>
        <w:ind w:left="500" w:right="60" w:hanging="492"/>
        <w:spacing w:after="0" w:line="280" w:lineRule="auto"/>
        <w:tabs>
          <w:tab w:leader="none" w:pos="49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effects of (i) fluctuations in foreign currency exchange rates and (ii) non-cash mark-to-fair value of embedded derivatives relating to certain customer and supply contracts at Nordion.</w:t>
      </w:r>
    </w:p>
    <w:p>
      <w:pPr>
        <w:spacing w:after="0" w:line="2" w:lineRule="exact"/>
        <w:rPr>
          <w:rFonts w:ascii="Times New Roman" w:cs="Times New Roman" w:eastAsia="Times New Roman" w:hAnsi="Times New Roman"/>
          <w:sz w:val="16"/>
          <w:szCs w:val="16"/>
          <w:color w:val="auto"/>
        </w:rPr>
      </w:pPr>
    </w:p>
    <w:p>
      <w:pPr>
        <w:ind w:left="500" w:right="320" w:hanging="492"/>
        <w:spacing w:after="0" w:line="272" w:lineRule="auto"/>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certain costs related to divestitures, acquisitions and the integration of recent acquisitions, as well as professional fees and other costs associated with business optimization, cost saving and other process enhancement projects.</w:t>
      </w:r>
    </w:p>
    <w:p>
      <w:pPr>
        <w:spacing w:after="0" w:line="1" w:lineRule="exact"/>
        <w:rPr>
          <w:rFonts w:ascii="Times New Roman" w:cs="Times New Roman" w:eastAsia="Times New Roman" w:hAnsi="Times New Roman"/>
          <w:sz w:val="16"/>
          <w:szCs w:val="16"/>
          <w:color w:val="auto"/>
        </w:rPr>
      </w:pPr>
    </w:p>
    <w:p>
      <w:pPr>
        <w:ind w:left="500" w:right="220" w:hanging="492"/>
        <w:spacing w:after="0" w:line="272" w:lineRule="auto"/>
        <w:tabs>
          <w:tab w:leader="none" w:pos="49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months ended March 31, 2024 includes $1.1 million of expenses incurred in connection with the secondary offering of our common stock that closed on March 4, 2024 and write-off of unamortized debt issuance costs in connection with Amendment No. 3 to the Revolving Credit Facility.</w:t>
      </w:r>
    </w:p>
    <w:p>
      <w:pPr>
        <w:spacing w:after="0" w:line="1"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litigation and other professional fees associated with our EO sterilization facilities.</w:t>
      </w:r>
    </w:p>
    <w:p>
      <w:pPr>
        <w:spacing w:after="0" w:line="45" w:lineRule="exact"/>
        <w:rPr>
          <w:rFonts w:ascii="Times New Roman" w:cs="Times New Roman" w:eastAsia="Times New Roman" w:hAnsi="Times New Roman"/>
          <w:sz w:val="16"/>
          <w:szCs w:val="16"/>
          <w:color w:val="231F20"/>
        </w:rPr>
      </w:pPr>
    </w:p>
    <w:p>
      <w:pPr>
        <w:ind w:left="500" w:hanging="492"/>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cost to settle 97 pending and threatened EO claims against Sterigenics U.S., LLC in Illinois pursuant to the Term Sheet entered into on April 3, 2025.</w:t>
      </w:r>
    </w:p>
    <w:p>
      <w:pPr>
        <w:spacing w:after="0" w:line="45" w:lineRule="exact"/>
        <w:rPr>
          <w:rFonts w:ascii="Times New Roman" w:cs="Times New Roman" w:eastAsia="Times New Roman" w:hAnsi="Times New Roman"/>
          <w:sz w:val="16"/>
          <w:szCs w:val="16"/>
          <w:color w:val="auto"/>
        </w:rPr>
      </w:pPr>
    </w:p>
    <w:p>
      <w:pPr>
        <w:ind w:left="500" w:right="380" w:hanging="492"/>
        <w:spacing w:after="0" w:line="298" w:lineRule="auto"/>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accretion of ARO related to Co-60 gamma and EO processing facilities, which are based on estimated site remediation costs for any future decommissioning of these facilities and are accreted over the life of the asset.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338" w:right="3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spacing w:after="0"/>
              <w:rPr>
                <w:sz w:val="19"/>
                <w:szCs w:val="19"/>
                <w:color w:val="auto"/>
              </w:rPr>
            </w:pPr>
          </w:p>
        </w:tc>
        <w:tc>
          <w:tcPr>
            <w:tcW w:w="29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1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306,081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278,865</w:t>
            </w:r>
          </w:p>
        </w:tc>
        <w:tc>
          <w:tcPr>
            <w:tcW w:w="0" w:type="dxa"/>
            <w:vAlign w:val="bottom"/>
          </w:tcPr>
          <w:p>
            <w:pPr>
              <w:spacing w:after="0"/>
              <w:rPr>
                <w:sz w:val="1"/>
                <w:szCs w:val="1"/>
                <w:color w:val="auto"/>
              </w:rPr>
            </w:pPr>
          </w:p>
        </w:tc>
      </w:tr>
      <w:tr>
        <w:trPr>
          <w:trHeight w:val="230"/>
        </w:trPr>
        <w:tc>
          <w:tcPr>
            <w:tcW w:w="4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128,066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140,327</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49,158</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9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59,798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57,687</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554,990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526,037</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1,046,449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1,036,892</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27,551</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300,300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317,653</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1,084,382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1,081,073</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9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84,335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82,442</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3,097,528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3,071,648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80" w:type="dxa"/>
            <w:vAlign w:val="bottom"/>
            <w:vMerge w:val="continue"/>
          </w:tcPr>
          <w:p>
            <w:pPr>
              <w:spacing w:after="0"/>
              <w:rPr>
                <w:sz w:val="15"/>
                <w:szCs w:val="15"/>
                <w:color w:val="auto"/>
              </w:rPr>
            </w:pPr>
          </w:p>
        </w:tc>
        <w:tc>
          <w:tcPr>
            <w:tcW w:w="2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1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225,991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191,002</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2,205,355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2,208,100</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198,402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198,135</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9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53,689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69,500</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9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2,683,437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2,666,737</w:t>
            </w: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9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414,091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404,911</w:t>
            </w:r>
          </w:p>
        </w:tc>
        <w:tc>
          <w:tcPr>
            <w:tcW w:w="0" w:type="dxa"/>
            <w:vAlign w:val="bottom"/>
          </w:tcPr>
          <w:p>
            <w:pPr>
              <w:spacing w:after="0"/>
              <w:rPr>
                <w:sz w:val="1"/>
                <w:szCs w:val="1"/>
                <w:color w:val="auto"/>
              </w:rPr>
            </w:pPr>
          </w:p>
        </w:tc>
      </w:tr>
      <w:tr>
        <w:trPr>
          <w:trHeight w:val="28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1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3,097,528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3,071,648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bottom w:val="single" w:sz="8" w:color="CCEEFF"/>
            </w:tcBorders>
            <w:vMerge w:val="restart"/>
          </w:tcPr>
          <w:p>
            <w:pPr>
              <w:jc w:val="right"/>
              <w:ind w:right="1250"/>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408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338" w:right="3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20" w:type="dxa"/>
            <w:vAlign w:val="bottom"/>
            <w:gridSpan w:val="4"/>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9"/>
        </w:trPr>
        <w:tc>
          <w:tcPr>
            <w:tcW w:w="8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1"/>
        </w:trPr>
        <w:tc>
          <w:tcPr>
            <w:tcW w:w="84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(13,260)</w:t>
            </w:r>
          </w:p>
        </w:tc>
        <w:tc>
          <w:tcPr>
            <w:tcW w:w="14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6,323</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income to net cash provided by operating activities:</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Non-cash items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39,310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44,603</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29,471</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(41,227)</w:t>
            </w: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55,521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9,699</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(19,918)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(34,890)</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(19,881)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(34,853)</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 on long-term borrowings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(3,773)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 of debt issuance costs</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Buyout of leased facilities</w:t>
            </w: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(6,736)</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withheld for employee taxes on equity awards</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(3,600)</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(2,153)</w:t>
            </w:r>
          </w:p>
        </w:tc>
      </w:tr>
      <w:tr>
        <w:trPr>
          <w:trHeight w:val="228"/>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(704)</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(511)</w:t>
            </w: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(8,087)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(11,941)</w:t>
            </w:r>
          </w:p>
        </w:tc>
      </w:tr>
      <w:tr>
        <w:trPr>
          <w:trHeight w:val="228"/>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(337)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(1,739)</w:t>
            </w: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 including restricted cash</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27,216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(38,834)</w:t>
            </w:r>
          </w:p>
        </w:tc>
      </w:tr>
      <w:tr>
        <w:trPr>
          <w:trHeight w:val="228"/>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including restricted cash, at beginning of period</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278,865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301,654</w:t>
            </w:r>
          </w:p>
        </w:tc>
      </w:tr>
      <w:tr>
        <w:trPr>
          <w:trHeight w:val="277"/>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including restricted cash,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306,081</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262,820</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9"/>
        </w:trPr>
        <w:tc>
          <w:tcPr>
            <w:tcW w:w="8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Cash paid during the period for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47,416</w:t>
            </w:r>
          </w:p>
        </w:tc>
        <w:tc>
          <w:tcPr>
            <w:tcW w:w="140" w:type="dxa"/>
            <w:vAlign w:val="bottom"/>
          </w:tcPr>
          <w:p>
            <w:pPr>
              <w:spacing w:after="0"/>
              <w:rPr>
                <w:sz w:val="21"/>
                <w:szCs w:val="21"/>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69,735</w:t>
            </w:r>
          </w:p>
        </w:tc>
      </w:tr>
      <w:tr>
        <w:trPr>
          <w:trHeight w:val="237"/>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Cash paid during the period for income taxes, net of tax refunds received</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12,215</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9,837</w:t>
            </w:r>
          </w:p>
        </w:tc>
      </w:tr>
      <w:tr>
        <w:trPr>
          <w:trHeight w:val="226"/>
        </w:trPr>
        <w:tc>
          <w:tcPr>
            <w:tcW w:w="8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Purchases of property, plant and equipment included in accounts payable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13,042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15,454</w:t>
            </w:r>
          </w:p>
        </w:tc>
      </w:tr>
    </w:tbl>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2" w:right="339" w:bottom="1440" w:gutter="0" w:footer="0" w:header="0"/>
        </w:sectPr>
      </w:pPr>
    </w:p>
    <w:bookmarkStart w:id="13" w:name="page14"/>
    <w:bookmarkEnd w:id="13"/>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ind w:left="4152"/>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ind w:left="4132"/>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20" w:lineRule="exact"/>
        <w:rPr>
          <w:sz w:val="20"/>
          <w:szCs w:val="20"/>
          <w:color w:val="auto"/>
        </w:rPr>
      </w:pPr>
    </w:p>
    <w:tbl>
      <w:tblPr>
        <w:tblLayout w:type="fixed"/>
        <w:tblInd w:w="32"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(13,260)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6,323</w:t>
            </w:r>
          </w:p>
        </w:tc>
      </w:tr>
      <w:tr>
        <w:trPr>
          <w:trHeight w:val="214"/>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18,674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20,124</w:t>
            </w:r>
          </w:p>
        </w:tc>
      </w:tr>
      <w:tr>
        <w:trPr>
          <w:trHeight w:val="218"/>
        </w:trPr>
        <w:tc>
          <w:tcPr>
            <w:tcW w:w="8060" w:type="dxa"/>
            <w:vAlign w:val="bottom"/>
            <w:shd w:val="clear" w:color="auto" w:fill="CCEEFF"/>
          </w:tcPr>
          <w:p>
            <w:pPr>
              <w:ind w:left="220"/>
              <w:spacing w:after="0" w:line="218" w:lineRule="exact"/>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(a)</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7,269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8,657</w:t>
            </w:r>
          </w:p>
        </w:tc>
      </w:tr>
      <w:tr>
        <w:trPr>
          <w:trHeight w:val="216"/>
        </w:trPr>
        <w:tc>
          <w:tcPr>
            <w:tcW w:w="80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Loss on foreign currency and derivatives not designated as hedging instruments, net</w:t>
            </w:r>
            <w:r>
              <w:rPr>
                <w:rFonts w:ascii="Times New Roman" w:cs="Times New Roman" w:eastAsia="Times New Roman" w:hAnsi="Times New Roman"/>
                <w:sz w:val="21"/>
                <w:szCs w:val="21"/>
                <w:color w:val="auto"/>
                <w:vertAlign w:val="superscript"/>
              </w:rPr>
              <w:t>(b)</w:t>
            </w:r>
          </w:p>
        </w:tc>
        <w:tc>
          <w:tcPr>
            <w:tcW w:w="2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1,891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1,230</w:t>
            </w:r>
          </w:p>
        </w:tc>
      </w:tr>
      <w:tr>
        <w:trPr>
          <w:trHeight w:val="216"/>
        </w:trPr>
        <w:tc>
          <w:tcPr>
            <w:tcW w:w="80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Business optimization expenses</w:t>
            </w:r>
            <w:r>
              <w:rPr>
                <w:rFonts w:ascii="Times New Roman" w:cs="Times New Roman" w:eastAsia="Times New Roman" w:hAnsi="Times New Roman"/>
                <w:sz w:val="21"/>
                <w:szCs w:val="21"/>
                <w:color w:val="auto"/>
                <w:vertAlign w:val="superscript"/>
              </w:rPr>
              <w:t>(c)</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2,047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w:t>
            </w:r>
          </w:p>
        </w:tc>
      </w:tr>
      <w:tr>
        <w:trPr>
          <w:trHeight w:val="216"/>
        </w:trPr>
        <w:tc>
          <w:tcPr>
            <w:tcW w:w="80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Refinancing and secondary offering costs</w:t>
            </w:r>
            <w:r>
              <w:rPr>
                <w:rFonts w:ascii="Times New Roman" w:cs="Times New Roman" w:eastAsia="Times New Roman" w:hAnsi="Times New Roman"/>
                <w:sz w:val="21"/>
                <w:szCs w:val="21"/>
                <w:color w:val="auto"/>
                <w:vertAlign w:val="superscript"/>
              </w:rPr>
              <w:t>(d)</w:t>
            </w:r>
          </w:p>
        </w:tc>
        <w:tc>
          <w:tcPr>
            <w:tcW w:w="26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1,807</w:t>
            </w:r>
          </w:p>
        </w:tc>
      </w:tr>
      <w:tr>
        <w:trPr>
          <w:trHeight w:val="216"/>
        </w:trPr>
        <w:tc>
          <w:tcPr>
            <w:tcW w:w="80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Professional services relating to EO sterilization facilities</w:t>
            </w:r>
            <w:r>
              <w:rPr>
                <w:rFonts w:ascii="Times New Roman" w:cs="Times New Roman" w:eastAsia="Times New Roman" w:hAnsi="Times New Roman"/>
                <w:sz w:val="21"/>
                <w:szCs w:val="21"/>
                <w:color w:val="auto"/>
                <w:vertAlign w:val="superscript"/>
              </w:rPr>
              <w:t>(e)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12,328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6,339</w:t>
            </w:r>
          </w:p>
        </w:tc>
      </w:tr>
      <w:tr>
        <w:trPr>
          <w:trHeight w:val="216"/>
        </w:trPr>
        <w:tc>
          <w:tcPr>
            <w:tcW w:w="80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Illinois EO litigation settlement</w:t>
            </w:r>
            <w:r>
              <w:rPr>
                <w:rFonts w:ascii="Times New Roman" w:cs="Times New Roman" w:eastAsia="Times New Roman" w:hAnsi="Times New Roman"/>
                <w:sz w:val="21"/>
                <w:szCs w:val="21"/>
                <w:color w:val="auto"/>
                <w:vertAlign w:val="superscript"/>
              </w:rPr>
              <w:t>(f)</w:t>
            </w:r>
          </w:p>
        </w:tc>
        <w:tc>
          <w:tcPr>
            <w:tcW w:w="2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30,943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0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Accretion of asset retirement obligations</w:t>
            </w:r>
            <w:r>
              <w:rPr>
                <w:rFonts w:ascii="Times New Roman" w:cs="Times New Roman" w:eastAsia="Times New Roman" w:hAnsi="Times New Roman"/>
                <w:sz w:val="21"/>
                <w:szCs w:val="21"/>
                <w:color w:val="auto"/>
                <w:vertAlign w:val="superscript"/>
              </w:rPr>
              <w:t>(g)</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574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642</w:t>
            </w:r>
          </w:p>
        </w:tc>
      </w:tr>
      <w:tr>
        <w:trPr>
          <w:trHeight w:val="216"/>
        </w:trPr>
        <w:tc>
          <w:tcPr>
            <w:tcW w:w="8060" w:type="dxa"/>
            <w:vAlign w:val="bottom"/>
            <w:tcBorders>
              <w:bottom w:val="single" w:sz="8" w:color="CCEEFF"/>
            </w:tcBorders>
          </w:tcPr>
          <w:p>
            <w:pPr>
              <w:ind w:left="220"/>
              <w:spacing w:after="0" w:line="216" w:lineRule="exact"/>
              <w:rPr>
                <w:sz w:val="20"/>
                <w:szCs w:val="20"/>
                <w:color w:val="auto"/>
              </w:rPr>
            </w:pPr>
            <w:r>
              <w:rPr>
                <w:rFonts w:ascii="Times New Roman" w:cs="Times New Roman" w:eastAsia="Times New Roman" w:hAnsi="Times New Roman"/>
                <w:sz w:val="16"/>
                <w:szCs w:val="16"/>
                <w:color w:val="auto"/>
              </w:rPr>
              <w:t>Income tax benefit associated with pre-tax adjustments</w:t>
            </w:r>
            <w:r>
              <w:rPr>
                <w:rFonts w:ascii="Times New Roman" w:cs="Times New Roman" w:eastAsia="Times New Roman" w:hAnsi="Times New Roman"/>
                <w:sz w:val="21"/>
                <w:szCs w:val="21"/>
                <w:color w:val="auto"/>
                <w:vertAlign w:val="superscript"/>
              </w:rPr>
              <w:t>(h)</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(21,422)</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(9,546)</w:t>
            </w:r>
          </w:p>
        </w:tc>
      </w:tr>
      <w:tr>
        <w:trPr>
          <w:trHeight w:val="21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39,044</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35,630</w:t>
            </w:r>
          </w:p>
        </w:tc>
      </w:tr>
      <w:tr>
        <w:trPr>
          <w:trHeight w:val="208"/>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40,876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41,771</w:t>
            </w:r>
          </w:p>
        </w:tc>
      </w:tr>
      <w:tr>
        <w:trPr>
          <w:trHeight w:val="218"/>
        </w:trPr>
        <w:tc>
          <w:tcPr>
            <w:tcW w:w="8060" w:type="dxa"/>
            <w:vAlign w:val="bottom"/>
            <w:shd w:val="clear" w:color="auto" w:fill="CCEEFF"/>
          </w:tcPr>
          <w:p>
            <w:pPr>
              <w:ind w:left="220"/>
              <w:spacing w:after="0" w:line="218" w:lineRule="exact"/>
              <w:rPr>
                <w:sz w:val="20"/>
                <w:szCs w:val="20"/>
                <w:color w:val="auto"/>
              </w:rPr>
            </w:pPr>
            <w:r>
              <w:rPr>
                <w:rFonts w:ascii="Times New Roman" w:cs="Times New Roman" w:eastAsia="Times New Roman" w:hAnsi="Times New Roman"/>
                <w:sz w:val="16"/>
                <w:szCs w:val="16"/>
                <w:color w:val="auto"/>
              </w:rPr>
              <w:t>Depreciation</w:t>
            </w:r>
            <w:r>
              <w:rPr>
                <w:rFonts w:ascii="Times New Roman" w:cs="Times New Roman" w:eastAsia="Times New Roman" w:hAnsi="Times New Roman"/>
                <w:sz w:val="21"/>
                <w:szCs w:val="21"/>
                <w:color w:val="auto"/>
                <w:vertAlign w:val="superscript"/>
              </w:rPr>
              <w:t>(i)</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22,060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20,306</w:t>
            </w:r>
          </w:p>
        </w:tc>
      </w:tr>
      <w:tr>
        <w:trPr>
          <w:trHeight w:val="216"/>
        </w:trPr>
        <w:tc>
          <w:tcPr>
            <w:tcW w:w="8060" w:type="dxa"/>
            <w:vAlign w:val="bottom"/>
            <w:tcBorders>
              <w:bottom w:val="single" w:sz="8" w:color="CCEEFF"/>
            </w:tcBorders>
          </w:tcPr>
          <w:p>
            <w:pPr>
              <w:ind w:left="220"/>
              <w:spacing w:after="0" w:line="216" w:lineRule="exact"/>
              <w:rPr>
                <w:sz w:val="20"/>
                <w:szCs w:val="20"/>
                <w:color w:val="auto"/>
              </w:rPr>
            </w:pPr>
            <w:r>
              <w:rPr>
                <w:rFonts w:ascii="Times New Roman" w:cs="Times New Roman" w:eastAsia="Times New Roman" w:hAnsi="Times New Roman"/>
                <w:sz w:val="16"/>
                <w:szCs w:val="16"/>
                <w:color w:val="auto"/>
              </w:rPr>
              <w:t>Income tax provision applicable to Adjusted Net Income</w:t>
            </w:r>
            <w:r>
              <w:rPr>
                <w:rFonts w:ascii="Times New Roman" w:cs="Times New Roman" w:eastAsia="Times New Roman" w:hAnsi="Times New Roman"/>
                <w:sz w:val="21"/>
                <w:szCs w:val="21"/>
                <w:color w:val="auto"/>
                <w:vertAlign w:val="superscript"/>
              </w:rPr>
              <w:t>(j)</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19,859</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14,237</w:t>
            </w:r>
          </w:p>
        </w:tc>
      </w:tr>
      <w:tr>
        <w:trPr>
          <w:trHeight w:val="234"/>
        </w:trPr>
        <w:tc>
          <w:tcPr>
            <w:tcW w:w="8060" w:type="dxa"/>
            <w:vAlign w:val="bottom"/>
            <w:tcBorders>
              <w:bottom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1"/>
                <w:szCs w:val="21"/>
                <w:b w:val="1"/>
                <w:bCs w:val="1"/>
                <w:color w:val="auto"/>
                <w:vertAlign w:val="superscript"/>
              </w:rPr>
              <w:t>(k)</w:t>
            </w: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121,839</w:t>
            </w:r>
          </w:p>
        </w:tc>
        <w:tc>
          <w:tcPr>
            <w:tcW w:w="1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111,944</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254,523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248,176</w:t>
            </w:r>
          </w:p>
        </w:tc>
      </w:tr>
      <w:tr>
        <w:trPr>
          <w:trHeight w:val="214"/>
        </w:trPr>
        <w:tc>
          <w:tcPr>
            <w:tcW w:w="8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47.9 %</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45.1 %</w:t>
            </w:r>
          </w:p>
        </w:tc>
      </w:tr>
      <w:tr>
        <w:trPr>
          <w:trHeight w:val="218"/>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 shares outstanding</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4"/>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283,558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281,913</w:t>
            </w:r>
          </w:p>
        </w:tc>
      </w:tr>
      <w:tr>
        <w:trPr>
          <w:trHeight w:val="218"/>
        </w:trPr>
        <w:tc>
          <w:tcPr>
            <w:tcW w:w="8060" w:type="dxa"/>
            <w:vAlign w:val="bottom"/>
            <w:shd w:val="clear" w:color="auto" w:fill="CCEEFF"/>
          </w:tcPr>
          <w:p>
            <w:pPr>
              <w:ind w:left="220"/>
              <w:spacing w:after="0" w:line="218" w:lineRule="exact"/>
              <w:rPr>
                <w:sz w:val="20"/>
                <w:szCs w:val="20"/>
                <w:color w:val="auto"/>
              </w:rPr>
            </w:pPr>
            <w:r>
              <w:rPr>
                <w:rFonts w:ascii="Times New Roman" w:cs="Times New Roman" w:eastAsia="Times New Roman" w:hAnsi="Times New Roman"/>
                <w:sz w:val="16"/>
                <w:szCs w:val="16"/>
                <w:color w:val="auto"/>
              </w:rPr>
              <w:t>Diluted</w:t>
            </w:r>
            <w:r>
              <w:rPr>
                <w:rFonts w:ascii="Times New Roman" w:cs="Times New Roman" w:eastAsia="Times New Roman" w:hAnsi="Times New Roman"/>
                <w:sz w:val="21"/>
                <w:szCs w:val="21"/>
                <w:color w:val="auto"/>
                <w:vertAlign w:val="superscript"/>
              </w:rPr>
              <w:t>(l)</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285,714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284,062</w:t>
            </w:r>
          </w:p>
        </w:tc>
      </w:tr>
      <w:tr>
        <w:trPr>
          <w:trHeight w:val="214"/>
        </w:trPr>
        <w:tc>
          <w:tcPr>
            <w:tcW w:w="8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earnings per share</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(0.05)</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r>
      <w:tr>
        <w:trPr>
          <w:trHeight w:val="214"/>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spacing w:after="0"/>
              <w:rPr>
                <w:sz w:val="18"/>
                <w:szCs w:val="18"/>
                <w:color w:val="auto"/>
              </w:rPr>
            </w:pPr>
          </w:p>
        </w:tc>
        <w:tc>
          <w:tcPr>
            <w:tcW w:w="12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(0.05)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r>
      <w:tr>
        <w:trPr>
          <w:trHeight w:val="218"/>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earnings per share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4"/>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0.14</w:t>
            </w:r>
          </w:p>
        </w:tc>
        <w:tc>
          <w:tcPr>
            <w:tcW w:w="1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0.13</w:t>
            </w:r>
          </w:p>
        </w:tc>
      </w:tr>
      <w:tr>
        <w:trPr>
          <w:trHeight w:val="218"/>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0.14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0.13</w:t>
            </w:r>
          </w:p>
        </w:tc>
      </w:tr>
    </w:tbl>
    <w:p>
      <w:pPr>
        <w:spacing w:after="0" w:line="175" w:lineRule="exact"/>
        <w:rPr>
          <w:sz w:val="20"/>
          <w:szCs w:val="20"/>
          <w:color w:val="auto"/>
        </w:rPr>
      </w:pPr>
    </w:p>
    <w:p>
      <w:pPr>
        <w:ind w:left="472" w:hanging="472"/>
        <w:spacing w:after="0"/>
        <w:tabs>
          <w:tab w:leader="none" w:pos="472" w:val="left"/>
        </w:tabs>
        <w:numPr>
          <w:ilvl w:val="0"/>
          <w:numId w:val="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share-based compensation expense to employees and Non-Employee Directors.</w:t>
      </w:r>
    </w:p>
    <w:p>
      <w:pPr>
        <w:spacing w:after="0" w:line="45" w:lineRule="exact"/>
        <w:rPr>
          <w:rFonts w:ascii="Times New Roman" w:cs="Times New Roman" w:eastAsia="Times New Roman" w:hAnsi="Times New Roman"/>
          <w:sz w:val="16"/>
          <w:szCs w:val="16"/>
          <w:color w:val="231F20"/>
        </w:rPr>
      </w:pPr>
    </w:p>
    <w:p>
      <w:pPr>
        <w:ind w:left="492" w:right="40" w:hanging="492"/>
        <w:spacing w:after="0" w:line="281" w:lineRule="auto"/>
        <w:tabs>
          <w:tab w:leader="none" w:pos="492" w:val="left"/>
        </w:tabs>
        <w:numPr>
          <w:ilvl w:val="0"/>
          <w:numId w:val="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the effects of (i) fluctuations in foreign currency exchange rates and (ii) non-cash mark-to-fair value of embedded derivatives relating to certain customer and supply contracts at Nordion.</w:t>
      </w:r>
    </w:p>
    <w:p>
      <w:pPr>
        <w:spacing w:after="0" w:line="1" w:lineRule="exact"/>
        <w:rPr>
          <w:rFonts w:ascii="Times New Roman" w:cs="Times New Roman" w:eastAsia="Times New Roman" w:hAnsi="Times New Roman"/>
          <w:sz w:val="16"/>
          <w:szCs w:val="16"/>
          <w:color w:val="231F20"/>
        </w:rPr>
      </w:pPr>
    </w:p>
    <w:p>
      <w:pPr>
        <w:ind w:left="492" w:right="320" w:hanging="492"/>
        <w:spacing w:after="0" w:line="272" w:lineRule="auto"/>
        <w:tabs>
          <w:tab w:leader="none" w:pos="483"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certain costs related to divestitures, acquisitions and the integration of recent acquisitions, as well as professional fees and other costs associated with business optimization, cost saving and other process enhancement projects.</w:t>
      </w:r>
    </w:p>
    <w:p>
      <w:pPr>
        <w:spacing w:after="0" w:line="1" w:lineRule="exact"/>
        <w:rPr>
          <w:rFonts w:ascii="Times New Roman" w:cs="Times New Roman" w:eastAsia="Times New Roman" w:hAnsi="Times New Roman"/>
          <w:sz w:val="16"/>
          <w:szCs w:val="16"/>
          <w:color w:val="auto"/>
        </w:rPr>
      </w:pPr>
    </w:p>
    <w:p>
      <w:pPr>
        <w:ind w:left="492" w:right="200" w:hanging="492"/>
        <w:spacing w:after="0" w:line="281" w:lineRule="auto"/>
        <w:tabs>
          <w:tab w:leader="none" w:pos="49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months ended March 31, 2024 includes $1.1 million of expenses incurred in connection with the secondary offering of our common stock that closed on March 4, 2024 and write-off of unamortized debt issuance costs in connection with Amendment No. 3 to the Revolving Credit Facility.</w:t>
      </w:r>
    </w:p>
    <w:p>
      <w:pPr>
        <w:spacing w:after="0" w:line="1" w:lineRule="exact"/>
        <w:rPr>
          <w:rFonts w:ascii="Times New Roman" w:cs="Times New Roman" w:eastAsia="Times New Roman" w:hAnsi="Times New Roman"/>
          <w:sz w:val="16"/>
          <w:szCs w:val="16"/>
          <w:color w:val="auto"/>
        </w:rPr>
      </w:pPr>
    </w:p>
    <w:p>
      <w:pPr>
        <w:ind w:left="472" w:hanging="472"/>
        <w:spacing w:after="0"/>
        <w:tabs>
          <w:tab w:leader="none" w:pos="47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litigation and other professional fees associated with our EO sterilization facilities.</w:t>
      </w:r>
    </w:p>
    <w:p>
      <w:pPr>
        <w:spacing w:after="0" w:line="45" w:lineRule="exact"/>
        <w:rPr>
          <w:rFonts w:ascii="Times New Roman" w:cs="Times New Roman" w:eastAsia="Times New Roman" w:hAnsi="Times New Roman"/>
          <w:sz w:val="16"/>
          <w:szCs w:val="16"/>
          <w:color w:val="auto"/>
        </w:rPr>
      </w:pPr>
    </w:p>
    <w:p>
      <w:pPr>
        <w:ind w:left="492" w:hanging="492"/>
        <w:spacing w:after="0"/>
        <w:tabs>
          <w:tab w:leader="none" w:pos="49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cost to settle 97 pending and threatened EO claims against Sterigenics U.S., LLC in Illinois pursuant to the Term Sheet entered into on April 3, 2025.</w:t>
      </w:r>
    </w:p>
    <w:p>
      <w:pPr>
        <w:spacing w:after="0" w:line="45" w:lineRule="exact"/>
        <w:rPr>
          <w:rFonts w:ascii="Times New Roman" w:cs="Times New Roman" w:eastAsia="Times New Roman" w:hAnsi="Times New Roman"/>
          <w:sz w:val="16"/>
          <w:szCs w:val="16"/>
          <w:color w:val="auto"/>
        </w:rPr>
      </w:pPr>
    </w:p>
    <w:p>
      <w:pPr>
        <w:ind w:left="492" w:right="360" w:hanging="492"/>
        <w:spacing w:after="0" w:line="272" w:lineRule="auto"/>
        <w:tabs>
          <w:tab w:leader="none" w:pos="49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accretion of ARO related to Co-60 gamma and EO processing facilities, which are based on estimated site remediation costs for any future decommissioning of these facilities and are accreted over the life of the asset.</w:t>
      </w:r>
    </w:p>
    <w:p>
      <w:pPr>
        <w:spacing w:after="0" w:line="1" w:lineRule="exact"/>
        <w:rPr>
          <w:rFonts w:ascii="Times New Roman" w:cs="Times New Roman" w:eastAsia="Times New Roman" w:hAnsi="Times New Roman"/>
          <w:sz w:val="16"/>
          <w:szCs w:val="16"/>
          <w:color w:val="auto"/>
        </w:rPr>
      </w:pPr>
    </w:p>
    <w:p>
      <w:pPr>
        <w:ind w:left="492" w:hanging="492"/>
        <w:spacing w:after="0" w:line="281" w:lineRule="auto"/>
        <w:tabs>
          <w:tab w:leader="none" w:pos="492" w:val="left"/>
        </w:tabs>
        <w:numPr>
          <w:ilvl w:val="0"/>
          <w:numId w:val="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the income tax impact of adjustments calculated based on the tax rate applicable to each item. We eliminate the effect of tax rate changes as applied to tax assets and liabilities and unusual items from our presentation of adjusted net income.</w:t>
      </w:r>
    </w:p>
    <w:p>
      <w:pPr>
        <w:spacing w:after="0" w:line="1" w:lineRule="exact"/>
        <w:rPr>
          <w:rFonts w:ascii="Times New Roman" w:cs="Times New Roman" w:eastAsia="Times New Roman" w:hAnsi="Times New Roman"/>
          <w:sz w:val="16"/>
          <w:szCs w:val="16"/>
          <w:color w:val="231F20"/>
        </w:rPr>
      </w:pPr>
    </w:p>
    <w:p>
      <w:pPr>
        <w:ind w:left="492" w:right="140" w:hanging="492"/>
        <w:spacing w:after="0" w:line="272" w:lineRule="auto"/>
        <w:tabs>
          <w:tab w:leader="none" w:pos="483"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depreciation of Co-60 held at gamma irradiation sites. The three months ended March 31, 2025 excludes accelerated depreciation associated with business optimization activities.</w:t>
      </w:r>
    </w:p>
    <w:p>
      <w:pPr>
        <w:spacing w:after="0" w:line="1" w:lineRule="exact"/>
        <w:rPr>
          <w:rFonts w:ascii="Times New Roman" w:cs="Times New Roman" w:eastAsia="Times New Roman" w:hAnsi="Times New Roman"/>
          <w:sz w:val="16"/>
          <w:szCs w:val="16"/>
          <w:color w:val="auto"/>
        </w:rPr>
      </w:pPr>
    </w:p>
    <w:p>
      <w:pPr>
        <w:ind w:left="492" w:right="580" w:hanging="492"/>
        <w:spacing w:after="0" w:line="272" w:lineRule="auto"/>
        <w:tabs>
          <w:tab w:leader="none" w:pos="483" w:val="left"/>
        </w:tabs>
        <w:numPr>
          <w:ilvl w:val="0"/>
          <w:numId w:val="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the difference between the income tax provision as determined under U.S. GAAP and the income tax provision or benefit associated with pre-tax adjustments described in footnote (h).</w:t>
      </w:r>
    </w:p>
    <w:p>
      <w:pPr>
        <w:spacing w:after="0" w:line="1" w:lineRule="exact"/>
        <w:rPr>
          <w:rFonts w:ascii="Times New Roman" w:cs="Times New Roman" w:eastAsia="Times New Roman" w:hAnsi="Times New Roman"/>
          <w:sz w:val="16"/>
          <w:szCs w:val="16"/>
          <w:color w:val="231F20"/>
        </w:rPr>
      </w:pPr>
    </w:p>
    <w:p>
      <w:pPr>
        <w:ind w:left="492" w:right="280" w:hanging="492"/>
        <w:spacing w:after="0" w:line="281" w:lineRule="auto"/>
        <w:tabs>
          <w:tab w:leader="none" w:pos="49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$24.2 million and $23.8 million of the adjustments for the three months ended March 31, 2025 and 2024, respectively, are included in cost of revenues, primarily consisting of amortization of intangible assets, depreciation, and accretion of asset retirement obligations.</w:t>
      </w:r>
    </w:p>
    <w:p>
      <w:pPr>
        <w:spacing w:after="0" w:line="1" w:lineRule="exact"/>
        <w:rPr>
          <w:rFonts w:ascii="Times New Roman" w:cs="Times New Roman" w:eastAsia="Times New Roman" w:hAnsi="Times New Roman"/>
          <w:sz w:val="16"/>
          <w:szCs w:val="16"/>
          <w:color w:val="auto"/>
        </w:rPr>
      </w:pPr>
    </w:p>
    <w:p>
      <w:pPr>
        <w:ind w:left="492" w:right="40" w:hanging="492"/>
        <w:spacing w:after="0" w:line="280" w:lineRule="auto"/>
        <w:tabs>
          <w:tab w:leader="none" w:pos="483" w:val="left"/>
        </w:tabs>
        <w:numPr>
          <w:ilvl w:val="0"/>
          <w:numId w:val="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For the three months ended March 31, 2025, the diluted weighted average shares outstanding presented in this table reflects the amount that would be reported under U.S. GAAP if the Company were to have net income in the three months ended March 31, 2025.</w:t>
      </w:r>
    </w:p>
    <w:p>
      <w:pPr>
        <w:spacing w:after="0" w:line="38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12"/>
          </w:cols>
          <w:pgMar w:left="328" w:top="122" w:right="3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Net Leverage)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70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14,811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14,803</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2,205,355</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2,208,100</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leases less current portion</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94,216</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95,286</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2,317,421</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2,321,112</w:t>
            </w:r>
          </w:p>
        </w:tc>
      </w:tr>
      <w:tr>
        <w:trPr>
          <w:trHeight w:val="196"/>
        </w:trPr>
        <w:tc>
          <w:tcPr>
            <w:tcW w:w="7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(304,390)</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(277,242)</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2,013,031</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2,043,870</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83"/>
        </w:trPr>
        <w:tc>
          <w:tcPr>
            <w:tcW w:w="7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b w:val="1"/>
                <w:bCs w:val="1"/>
                <w:color w:val="auto"/>
                <w:vertAlign w:val="superscript"/>
              </w:rPr>
              <w:t>(a)</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558,469</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548,574</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Leverage</w:t>
            </w:r>
          </w:p>
        </w:tc>
        <w:tc>
          <w:tcPr>
            <w:tcW w:w="2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3.6x</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3.7x</w:t>
            </w:r>
          </w:p>
        </w:tc>
      </w:tr>
    </w:tbl>
    <w:p>
      <w:pPr>
        <w:spacing w:after="0" w:line="175" w:lineRule="exact"/>
        <w:rPr>
          <w:sz w:val="20"/>
          <w:szCs w:val="20"/>
          <w:color w:val="auto"/>
        </w:rPr>
      </w:pPr>
    </w:p>
    <w:p>
      <w:pPr>
        <w:ind w:left="500" w:right="40" w:hanging="492"/>
        <w:spacing w:after="0" w:line="298" w:lineRule="auto"/>
        <w:tabs>
          <w:tab w:leader="none" w:pos="49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adjusted EBITDA for the twelve months ended March 31, 2025 and December 31, 2024, respectively. Refer to the reconciliation of net (loss) income (the most comparable GAAP measure) to Adjusted EBITDA on the following page.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2" w:right="339" w:bottom="1440" w:gutter="0" w:footer="0" w:header="0"/>
        </w:sectPr>
      </w:pPr>
    </w:p>
    <w:bookmarkStart w:id="15" w:name="page16"/>
    <w:bookmarkEnd w:id="15"/>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11" w:lineRule="exact"/>
        <w:rPr>
          <w:sz w:val="20"/>
          <w:szCs w:val="20"/>
          <w:color w:val="auto"/>
        </w:rPr>
      </w:pPr>
    </w:p>
    <w:tbl>
      <w:tblPr>
        <w:tblLayout w:type="fixed"/>
        <w:tblInd w:w="32"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20" w:type="dxa"/>
            <w:vAlign w:val="bottom"/>
            <w:gridSpan w:val="4"/>
          </w:tcPr>
          <w:p>
            <w:pPr>
              <w:jc w:val="right"/>
              <w:ind w:right="1099"/>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23"/>
        </w:trPr>
        <w:tc>
          <w:tcPr>
            <w:tcW w:w="7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75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24,815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44,398</w:t>
            </w:r>
          </w:p>
        </w:tc>
      </w:tr>
      <w:tr>
        <w:trPr>
          <w:trHeight w:val="214"/>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tcPr>
          <w:p>
            <w:pPr>
              <w:spacing w:after="0"/>
              <w:rPr>
                <w:sz w:val="18"/>
                <w:szCs w:val="18"/>
                <w:color w:val="auto"/>
              </w:rPr>
            </w:pPr>
          </w:p>
        </w:tc>
        <w:tc>
          <w:tcPr>
            <w:tcW w:w="152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77,927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79,377</w:t>
            </w:r>
          </w:p>
        </w:tc>
      </w:tr>
      <w:tr>
        <w:trPr>
          <w:trHeight w:val="218"/>
        </w:trPr>
        <w:tc>
          <w:tcPr>
            <w:tcW w:w="7500" w:type="dxa"/>
            <w:vAlign w:val="bottom"/>
            <w:shd w:val="clear" w:color="auto" w:fill="CCEEFF"/>
          </w:tcPr>
          <w:p>
            <w:pPr>
              <w:ind w:left="240"/>
              <w:spacing w:after="0" w:line="218" w:lineRule="exact"/>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(a)</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35,508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36,896</w:t>
            </w:r>
          </w:p>
        </w:tc>
      </w:tr>
      <w:tr>
        <w:trPr>
          <w:trHeight w:val="216"/>
        </w:trPr>
        <w:tc>
          <w:tcPr>
            <w:tcW w:w="75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Loss on refinancing of debt</w:t>
            </w:r>
            <w:r>
              <w:rPr>
                <w:rFonts w:ascii="Times New Roman" w:cs="Times New Roman" w:eastAsia="Times New Roman" w:hAnsi="Times New Roman"/>
                <w:sz w:val="21"/>
                <w:szCs w:val="21"/>
                <w:color w:val="auto"/>
                <w:vertAlign w:val="superscript"/>
              </w:rPr>
              <w:t>(b)</w:t>
            </w:r>
          </w:p>
        </w:tc>
        <w:tc>
          <w:tcPr>
            <w:tcW w:w="260" w:type="dxa"/>
            <w:vAlign w:val="bottom"/>
          </w:tcPr>
          <w:p>
            <w:pPr>
              <w:spacing w:after="0"/>
              <w:rPr>
                <w:sz w:val="18"/>
                <w:szCs w:val="18"/>
                <w:color w:val="auto"/>
              </w:rPr>
            </w:pPr>
          </w:p>
        </w:tc>
        <w:tc>
          <w:tcPr>
            <w:tcW w:w="152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23,478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24,168</w:t>
            </w:r>
          </w:p>
        </w:tc>
      </w:tr>
      <w:tr>
        <w:trPr>
          <w:trHeight w:val="216"/>
        </w:trPr>
        <w:tc>
          <w:tcPr>
            <w:tcW w:w="75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Loss on foreign currency and derivatives not designated as hedging instruments, net</w:t>
            </w:r>
            <w:r>
              <w:rPr>
                <w:rFonts w:ascii="Times New Roman" w:cs="Times New Roman" w:eastAsia="Times New Roman" w:hAnsi="Times New Roman"/>
                <w:sz w:val="21"/>
                <w:szCs w:val="21"/>
                <w:color w:val="auto"/>
                <w:vertAlign w:val="superscript"/>
              </w:rPr>
              <w:t>(c)</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3,109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2,448</w:t>
            </w:r>
          </w:p>
        </w:tc>
      </w:tr>
      <w:tr>
        <w:trPr>
          <w:trHeight w:val="216"/>
        </w:trPr>
        <w:tc>
          <w:tcPr>
            <w:tcW w:w="75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Business optimization expenses</w:t>
            </w:r>
            <w:r>
              <w:rPr>
                <w:rFonts w:ascii="Times New Roman" w:cs="Times New Roman" w:eastAsia="Times New Roman" w:hAnsi="Times New Roman"/>
                <w:sz w:val="21"/>
                <w:szCs w:val="21"/>
                <w:color w:val="auto"/>
                <w:vertAlign w:val="superscript"/>
              </w:rPr>
              <w:t>(d)</w:t>
            </w:r>
          </w:p>
        </w:tc>
        <w:tc>
          <w:tcPr>
            <w:tcW w:w="260" w:type="dxa"/>
            <w:vAlign w:val="bottom"/>
          </w:tcPr>
          <w:p>
            <w:pPr>
              <w:spacing w:after="0"/>
              <w:rPr>
                <w:sz w:val="18"/>
                <w:szCs w:val="18"/>
                <w:color w:val="auto"/>
              </w:rPr>
            </w:pPr>
          </w:p>
        </w:tc>
        <w:tc>
          <w:tcPr>
            <w:tcW w:w="152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9,497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7,504</w:t>
            </w:r>
          </w:p>
        </w:tc>
      </w:tr>
      <w:tr>
        <w:trPr>
          <w:trHeight w:val="216"/>
        </w:trPr>
        <w:tc>
          <w:tcPr>
            <w:tcW w:w="75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Professional services relating to EO sterilization facilities</w:t>
            </w:r>
            <w:r>
              <w:rPr>
                <w:rFonts w:ascii="Times New Roman" w:cs="Times New Roman" w:eastAsia="Times New Roman" w:hAnsi="Times New Roman"/>
                <w:sz w:val="21"/>
                <w:szCs w:val="21"/>
                <w:color w:val="auto"/>
                <w:vertAlign w:val="superscript"/>
              </w:rPr>
              <w:t>(e)</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38,683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32,694</w:t>
            </w:r>
          </w:p>
        </w:tc>
      </w:tr>
      <w:tr>
        <w:trPr>
          <w:trHeight w:val="216"/>
        </w:trPr>
        <w:tc>
          <w:tcPr>
            <w:tcW w:w="75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Illinois EO litigation settlement</w:t>
            </w:r>
            <w:r>
              <w:rPr>
                <w:rFonts w:ascii="Times New Roman" w:cs="Times New Roman" w:eastAsia="Times New Roman" w:hAnsi="Times New Roman"/>
                <w:sz w:val="21"/>
                <w:szCs w:val="21"/>
                <w:color w:val="auto"/>
                <w:vertAlign w:val="superscript"/>
              </w:rPr>
              <w:t>(f)</w:t>
            </w:r>
          </w:p>
        </w:tc>
        <w:tc>
          <w:tcPr>
            <w:tcW w:w="260" w:type="dxa"/>
            <w:vAlign w:val="bottom"/>
          </w:tcPr>
          <w:p>
            <w:pPr>
              <w:spacing w:after="0"/>
              <w:rPr>
                <w:sz w:val="18"/>
                <w:szCs w:val="18"/>
                <w:color w:val="auto"/>
              </w:rPr>
            </w:pPr>
          </w:p>
        </w:tc>
        <w:tc>
          <w:tcPr>
            <w:tcW w:w="152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30,943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5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Secondary offering and other shareholder activities</w:t>
            </w:r>
            <w:r>
              <w:rPr>
                <w:rFonts w:ascii="Times New Roman" w:cs="Times New Roman" w:eastAsia="Times New Roman" w:hAnsi="Times New Roman"/>
                <w:sz w:val="21"/>
                <w:szCs w:val="21"/>
                <w:color w:val="auto"/>
                <w:vertAlign w:val="superscript"/>
              </w:rPr>
              <w:t>(g)</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747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1,864</w:t>
            </w:r>
          </w:p>
        </w:tc>
      </w:tr>
      <w:tr>
        <w:trPr>
          <w:trHeight w:val="216"/>
        </w:trPr>
        <w:tc>
          <w:tcPr>
            <w:tcW w:w="75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Accretion of asset retirement obligations</w:t>
            </w:r>
            <w:r>
              <w:rPr>
                <w:rFonts w:ascii="Times New Roman" w:cs="Times New Roman" w:eastAsia="Times New Roman" w:hAnsi="Times New Roman"/>
                <w:sz w:val="21"/>
                <w:szCs w:val="21"/>
                <w:color w:val="auto"/>
                <w:vertAlign w:val="superscript"/>
              </w:rPr>
              <w:t>(h)</w:t>
            </w:r>
          </w:p>
        </w:tc>
        <w:tc>
          <w:tcPr>
            <w:tcW w:w="260" w:type="dxa"/>
            <w:vAlign w:val="bottom"/>
          </w:tcPr>
          <w:p>
            <w:pPr>
              <w:spacing w:after="0"/>
              <w:rPr>
                <w:sz w:val="18"/>
                <w:szCs w:val="18"/>
                <w:color w:val="auto"/>
              </w:rPr>
            </w:pPr>
          </w:p>
        </w:tc>
        <w:tc>
          <w:tcPr>
            <w:tcW w:w="152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2,570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2,638</w:t>
            </w:r>
          </w:p>
        </w:tc>
      </w:tr>
      <w:tr>
        <w:trPr>
          <w:trHeight w:val="216"/>
        </w:trPr>
        <w:tc>
          <w:tcPr>
            <w:tcW w:w="75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benefit associated with pre-tax adjustments</w:t>
            </w:r>
            <w:r>
              <w:rPr>
                <w:rFonts w:ascii="Times New Roman" w:cs="Times New Roman" w:eastAsia="Times New Roman" w:hAnsi="Times New Roman"/>
                <w:sz w:val="21"/>
                <w:szCs w:val="21"/>
                <w:color w:val="auto"/>
                <w:vertAlign w:val="superscript"/>
              </w:rPr>
              <w:t>(i)</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(45,363)</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(33,487)</w:t>
            </w:r>
          </w:p>
        </w:tc>
      </w:tr>
      <w:tr>
        <w:trPr>
          <w:trHeight w:val="208"/>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201,914</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198,500</w:t>
            </w:r>
          </w:p>
        </w:tc>
      </w:tr>
      <w:tr>
        <w:trPr>
          <w:trHeight w:val="211"/>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163,796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164,691</w:t>
            </w:r>
          </w:p>
        </w:tc>
      </w:tr>
      <w:tr>
        <w:trPr>
          <w:trHeight w:val="216"/>
        </w:trPr>
        <w:tc>
          <w:tcPr>
            <w:tcW w:w="75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Depreciation</w:t>
            </w:r>
            <w:r>
              <w:rPr>
                <w:rFonts w:ascii="Times New Roman" w:cs="Times New Roman" w:eastAsia="Times New Roman" w:hAnsi="Times New Roman"/>
                <w:sz w:val="21"/>
                <w:szCs w:val="21"/>
                <w:color w:val="auto"/>
                <w:vertAlign w:val="superscript"/>
              </w:rPr>
              <w:t>(j)</w:t>
            </w:r>
          </w:p>
        </w:tc>
        <w:tc>
          <w:tcPr>
            <w:tcW w:w="260" w:type="dxa"/>
            <w:vAlign w:val="bottom"/>
          </w:tcPr>
          <w:p>
            <w:pPr>
              <w:spacing w:after="0"/>
              <w:rPr>
                <w:sz w:val="18"/>
                <w:szCs w:val="18"/>
                <w:color w:val="auto"/>
              </w:rPr>
            </w:pPr>
          </w:p>
        </w:tc>
        <w:tc>
          <w:tcPr>
            <w:tcW w:w="152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84,174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82,420</w:t>
            </w:r>
          </w:p>
        </w:tc>
      </w:tr>
      <w:tr>
        <w:trPr>
          <w:trHeight w:val="216"/>
        </w:trPr>
        <w:tc>
          <w:tcPr>
            <w:tcW w:w="75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provision applicable to Adjusted Net Income</w:t>
            </w:r>
            <w:r>
              <w:rPr>
                <w:rFonts w:ascii="Times New Roman" w:cs="Times New Roman" w:eastAsia="Times New Roman" w:hAnsi="Times New Roman"/>
                <w:sz w:val="21"/>
                <w:szCs w:val="21"/>
                <w:color w:val="auto"/>
                <w:vertAlign w:val="superscript"/>
              </w:rPr>
              <w:t>(k)</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108,585</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102,963</w:t>
            </w:r>
          </w:p>
        </w:tc>
      </w:tr>
      <w:tr>
        <w:trPr>
          <w:trHeight w:val="210"/>
        </w:trPr>
        <w:tc>
          <w:tcPr>
            <w:tcW w:w="750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1"/>
                <w:szCs w:val="21"/>
                <w:b w:val="1"/>
                <w:bCs w:val="1"/>
                <w:color w:val="auto"/>
                <w:vertAlign w:val="superscript"/>
              </w:rPr>
              <w:t>(l)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558,469</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548,574</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83"/>
        </w:trPr>
        <w:tc>
          <w:tcPr>
            <w:tcW w:w="7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14"/>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1,106,788</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1,100,441</w:t>
            </w:r>
          </w:p>
        </w:tc>
      </w:tr>
      <w:tr>
        <w:trPr>
          <w:trHeight w:val="218"/>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50.5 %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49.9 %</w:t>
            </w:r>
          </w:p>
        </w:tc>
      </w:tr>
    </w:tbl>
    <w:p>
      <w:pPr>
        <w:spacing w:after="0" w:line="175" w:lineRule="exact"/>
        <w:rPr>
          <w:sz w:val="20"/>
          <w:szCs w:val="20"/>
          <w:color w:val="auto"/>
        </w:rPr>
      </w:pPr>
    </w:p>
    <w:p>
      <w:pPr>
        <w:ind w:left="472" w:hanging="472"/>
        <w:spacing w:after="0"/>
        <w:tabs>
          <w:tab w:leader="none" w:pos="472" w:val="left"/>
        </w:tabs>
        <w:numPr>
          <w:ilvl w:val="0"/>
          <w:numId w:val="1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share-based compensation expense to employees and Non-Employee Directors.</w:t>
      </w:r>
    </w:p>
    <w:p>
      <w:pPr>
        <w:spacing w:after="0" w:line="45" w:lineRule="exact"/>
        <w:rPr>
          <w:rFonts w:ascii="Times New Roman" w:cs="Times New Roman" w:eastAsia="Times New Roman" w:hAnsi="Times New Roman"/>
          <w:sz w:val="16"/>
          <w:szCs w:val="16"/>
          <w:color w:val="231F20"/>
        </w:rPr>
      </w:pPr>
    </w:p>
    <w:p>
      <w:pPr>
        <w:ind w:left="492" w:right="280" w:hanging="492"/>
        <w:spacing w:after="0" w:line="270" w:lineRule="auto"/>
        <w:tabs>
          <w:tab w:leader="none" w:pos="49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write-off of unamortized debt issuance costs and discounts, as well as certain other costs incurred related to the Refinancing Term Loans and the Secured Notes. The year ended December 31, 2024 also includes $0.7 million of debt refinancing costs related to Amendment No. 3 to the Senior Secured Credit Facilities.</w:t>
      </w:r>
    </w:p>
    <w:p>
      <w:pPr>
        <w:ind w:left="492" w:right="40" w:hanging="492"/>
        <w:spacing w:after="0" w:line="281" w:lineRule="auto"/>
        <w:tabs>
          <w:tab w:leader="none" w:pos="483" w:val="left"/>
        </w:tabs>
        <w:numPr>
          <w:ilvl w:val="0"/>
          <w:numId w:val="1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the effects of (i) fluctuations in foreign currency exchange rates and (ii) non-cash mark-to-fair value of embedded derivatives relating to certain customer and supply contracts at Nordion.</w:t>
      </w:r>
    </w:p>
    <w:p>
      <w:pPr>
        <w:spacing w:after="0" w:line="1" w:lineRule="exact"/>
        <w:rPr>
          <w:rFonts w:ascii="Times New Roman" w:cs="Times New Roman" w:eastAsia="Times New Roman" w:hAnsi="Times New Roman"/>
          <w:sz w:val="16"/>
          <w:szCs w:val="16"/>
          <w:color w:val="231F20"/>
        </w:rPr>
      </w:pPr>
    </w:p>
    <w:p>
      <w:pPr>
        <w:ind w:left="492" w:right="300" w:hanging="492"/>
        <w:spacing w:after="0" w:line="272" w:lineRule="auto"/>
        <w:tabs>
          <w:tab w:leader="none" w:pos="49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certain costs related to divestitures, acquisitions and the integration of recent acquisitions, as well as professional fees and other costs associated with business optimization, cost saving and other process enhancement projects.</w:t>
      </w:r>
    </w:p>
    <w:p>
      <w:pPr>
        <w:spacing w:after="0" w:line="1" w:lineRule="exact"/>
        <w:rPr>
          <w:rFonts w:ascii="Times New Roman" w:cs="Times New Roman" w:eastAsia="Times New Roman" w:hAnsi="Times New Roman"/>
          <w:sz w:val="16"/>
          <w:szCs w:val="16"/>
          <w:color w:val="auto"/>
        </w:rPr>
      </w:pPr>
    </w:p>
    <w:p>
      <w:pPr>
        <w:ind w:left="472" w:hanging="472"/>
        <w:spacing w:after="0"/>
        <w:tabs>
          <w:tab w:leader="none" w:pos="472" w:val="left"/>
        </w:tabs>
        <w:numPr>
          <w:ilvl w:val="0"/>
          <w:numId w:val="1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litigation and other professional fees associated with our EO sterilization facilities.</w:t>
      </w:r>
    </w:p>
    <w:p>
      <w:pPr>
        <w:spacing w:after="0" w:line="45" w:lineRule="exact"/>
        <w:rPr>
          <w:rFonts w:ascii="Times New Roman" w:cs="Times New Roman" w:eastAsia="Times New Roman" w:hAnsi="Times New Roman"/>
          <w:sz w:val="16"/>
          <w:szCs w:val="16"/>
          <w:color w:val="231F20"/>
        </w:rPr>
      </w:pPr>
    </w:p>
    <w:p>
      <w:pPr>
        <w:ind w:left="492" w:hanging="492"/>
        <w:spacing w:after="0"/>
        <w:tabs>
          <w:tab w:leader="none" w:pos="49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cost to settle 97 pending and threatened EO claims against Sterigenics U.S., LLC in Illinois pursuant to the Term Sheet entered into on April 3, 2025.</w:t>
      </w:r>
    </w:p>
    <w:p>
      <w:pPr>
        <w:spacing w:after="0" w:line="45" w:lineRule="exact"/>
        <w:rPr>
          <w:rFonts w:ascii="Times New Roman" w:cs="Times New Roman" w:eastAsia="Times New Roman" w:hAnsi="Times New Roman"/>
          <w:sz w:val="16"/>
          <w:szCs w:val="16"/>
          <w:color w:val="auto"/>
        </w:rPr>
      </w:pPr>
    </w:p>
    <w:p>
      <w:pPr>
        <w:ind w:left="492" w:right="680" w:hanging="492"/>
        <w:spacing w:after="0" w:line="280" w:lineRule="auto"/>
        <w:tabs>
          <w:tab w:leader="none" w:pos="49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expenses incurred in connection with secondary offerings of our common stock that closed on March 4, 2024 and September 6, 2024 and legal, consulting, and other fees associated with shareholder engagement.</w:t>
      </w:r>
    </w:p>
    <w:p>
      <w:pPr>
        <w:spacing w:after="0" w:line="2" w:lineRule="exact"/>
        <w:rPr>
          <w:rFonts w:ascii="Times New Roman" w:cs="Times New Roman" w:eastAsia="Times New Roman" w:hAnsi="Times New Roman"/>
          <w:sz w:val="16"/>
          <w:szCs w:val="16"/>
          <w:color w:val="auto"/>
        </w:rPr>
      </w:pPr>
    </w:p>
    <w:p>
      <w:pPr>
        <w:ind w:left="492" w:right="360" w:hanging="492"/>
        <w:spacing w:after="0" w:line="272" w:lineRule="auto"/>
        <w:tabs>
          <w:tab w:leader="none" w:pos="49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accretion of ARO related to Co-60 gamma and EO processing facilities, which are based on estimated site remediation costs for any future decommissioning of these facilities and are accreted over the life of the asset.</w:t>
      </w:r>
    </w:p>
    <w:p>
      <w:pPr>
        <w:spacing w:after="0" w:line="1" w:lineRule="exact"/>
        <w:rPr>
          <w:rFonts w:ascii="Times New Roman" w:cs="Times New Roman" w:eastAsia="Times New Roman" w:hAnsi="Times New Roman"/>
          <w:sz w:val="16"/>
          <w:szCs w:val="16"/>
          <w:color w:val="auto"/>
        </w:rPr>
      </w:pPr>
    </w:p>
    <w:p>
      <w:pPr>
        <w:ind w:left="492" w:right="20" w:hanging="492"/>
        <w:spacing w:after="0" w:line="272" w:lineRule="auto"/>
        <w:tabs>
          <w:tab w:leader="none" w:pos="483" w:val="left"/>
        </w:tabs>
        <w:numPr>
          <w:ilvl w:val="0"/>
          <w:numId w:val="1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the income tax impact of adjustments calculated based on the tax rate applicable to each item. We eliminate the effect of tax rate changes as applied to tax assets and liabilities and unusual items from our presentation of adjusted net income.</w:t>
      </w:r>
    </w:p>
    <w:p>
      <w:pPr>
        <w:spacing w:after="0" w:line="1" w:lineRule="exact"/>
        <w:rPr>
          <w:rFonts w:ascii="Times New Roman" w:cs="Times New Roman" w:eastAsia="Times New Roman" w:hAnsi="Times New Roman"/>
          <w:sz w:val="16"/>
          <w:szCs w:val="16"/>
          <w:color w:val="231F20"/>
        </w:rPr>
      </w:pPr>
    </w:p>
    <w:p>
      <w:pPr>
        <w:ind w:left="492" w:right="60" w:hanging="492"/>
        <w:spacing w:after="0" w:line="281" w:lineRule="auto"/>
        <w:tabs>
          <w:tab w:leader="none" w:pos="483"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depreciation of Co-60 held at gamma irradiation sites. The twelve months ended March 31, 2025 and December 31, 2024 excludes accelerated depreciation associated with business optimization activities.</w:t>
      </w:r>
    </w:p>
    <w:p>
      <w:pPr>
        <w:spacing w:after="0" w:line="1" w:lineRule="exact"/>
        <w:rPr>
          <w:rFonts w:ascii="Times New Roman" w:cs="Times New Roman" w:eastAsia="Times New Roman" w:hAnsi="Times New Roman"/>
          <w:sz w:val="16"/>
          <w:szCs w:val="16"/>
          <w:color w:val="auto"/>
        </w:rPr>
      </w:pPr>
    </w:p>
    <w:p>
      <w:pPr>
        <w:ind w:left="492" w:right="140" w:hanging="492"/>
        <w:spacing w:after="0" w:line="272" w:lineRule="auto"/>
        <w:tabs>
          <w:tab w:leader="none" w:pos="492" w:val="left"/>
        </w:tabs>
        <w:numPr>
          <w:ilvl w:val="0"/>
          <w:numId w:val="1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the difference between income tax provision or benefit as determined under U.S. GAAP and the income tax provision or benefit associated with pre-tax adjustments described in footnote (i).</w:t>
      </w:r>
    </w:p>
    <w:p>
      <w:pPr>
        <w:spacing w:after="0" w:line="1" w:lineRule="exact"/>
        <w:rPr>
          <w:rFonts w:ascii="Times New Roman" w:cs="Times New Roman" w:eastAsia="Times New Roman" w:hAnsi="Times New Roman"/>
          <w:sz w:val="16"/>
          <w:szCs w:val="16"/>
          <w:color w:val="231F20"/>
        </w:rPr>
      </w:pPr>
    </w:p>
    <w:p>
      <w:pPr>
        <w:ind w:left="492" w:right="520" w:hanging="492"/>
        <w:spacing w:after="0" w:line="298" w:lineRule="auto"/>
        <w:tabs>
          <w:tab w:leader="none" w:pos="483"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$97.5 million and $97.1 million of the adjustments for the twelve months ended March 31, 2025 and December 31, 2024, respectively, are included in cost of revenues, primarily consisting of amortization of intangible assets, depreciation, and accretion of asset retirement obligations.</w:t>
      </w:r>
    </w:p>
    <w:p>
      <w:pPr>
        <w:spacing w:after="0" w:line="36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sectPr>
      <w:pgSz w:w="11900" w:h="16838" w:orient="portrait"/>
      <w:cols w:equalWidth="0" w:num="1">
        <w:col w:w="11212"/>
      </w:cols>
      <w:pgMar w:left="328" w:top="1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2025-05-01T06:47:35Z</dcterms:created>
  <dcterms:modified xsi:type="dcterms:W3CDTF">2025-05-01T06:47:35Z</dcterms:modified>
</cp:coreProperties>
</file>