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Sotera Health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Sachem Head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15,560,000.00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15,560,000.00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15,560,000.00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285,166,994 shares of Common Stock outstanding (as reported in the Issuer's Quarterly Report on Form 10-Q, filed with the Securities and Exchange Commission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Uncas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15,560,000.00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15,560,000.00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15,560,000.00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285,166,994 shares of Common Stock outstanding (as reported in the Issuer's Quarterly Report on Form 10-Q, filed with the Securities and Exchange Commission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Sachem Head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11,450,000.00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285,166,994 shares of Common Stock outstanding (as reported in the Issuer's Quarterly Report on Form 10-Q, filed with the Securities and Exchange Commission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Ferguson Scott 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15,560,000.00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15,560,000.00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15,560,000.00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used herein are calculated based upon 285,166,994 shares of Common Stock outstanding (as reported in the Issuer's Quarterly Report on Form 10-Q, filed with the Securities and Exchange Commission on May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Hills Blvd, Suite 300, Broadview Heights, OH 44147</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Sachem Head Capital Management LP, a Delaware limited partnership ("Sachem Head"); (ii) Uncas GP LLC, a Delaware limited liability company ("SH Management"); (iii) Sachem Head GP LLC, a Delaware limited liability company ("Sachem Head GP"); and (iv) Scott D. Ferguson, a citizen of the United States of America ("Mr. Ferguson"). The foregoing persons are hereinafter sometimes collectively referred to as the "Reporting Persons." Sachem Head serves as investment advisor to certain affiliated funds, including Sachem Head LP, a Delaware limited partnership ("SH"), Sachem Head Master LP, an exempted limited partnership organized under the laws of the Cayman Islands ("SHM"), and SH Stony Creek Master Ltd., an exempted company incorporated under the laws of the Cayman Islands ("Stony Creek"), and as such may be deemed to have the shared power to vote or direct the vote of (and the shared power to dispose or direct the disposition of) all of the shares of Common Stock (as defined in Item 2(d) below) held by SH, SHM, and Stony Creek. SH Management serves as the sole general partner of Sachem Head, and as such may be deemed to have the shared power to vote or direct the vote of (and the shared power to dispose or direct the disposition of) all of the shares of Common Stock reported herein. Sachem Head GP serves as the general partner of certain affiliated funds, including SH and SHM, and as such may be deemed to have the shared power to vote or direct the vote of (and the shared power to dispose or direct the disposition of) all of the shares of Common Stock held by SH and SHM. Mr. Ferguson serves as the managing partner of Sachem Head and the managing member of SH Management and Sachem Head GP, and as such may be deemed to have the shared power to vote or direct the vote of (and the shared power to dispose or direct the disposition of) all of the shares of Common Stock reported herein. The filing of this statement should not be construed as an admission that any of the Reporting Persons is, for the purposes of Section 13 of the Act, the beneficial owner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250 West 55th Street, 34th Floor,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Sachem Head is a Delaware limited partnership. Each of SH Management and Sachem Head GP is a Delaware limited liability company. Mr. Ferguson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Reporting Person hereto and is incorporated herein by reference for each such Reporting Person. The percentages used herein are calculated based upon 285,166,994 shares of Common Stock outstanding (as reported in the Issuer's Quarterly Report on Form 10-Q, filed with the Securities and Exchange Commission on May 5, 2026).</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the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Sachem Head Capital Management LP</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Member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Uncas GP LLC</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Member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Sachem Head GP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Member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Ferguson Scott D.</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Member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JOINT ACQUISITION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SACHEM HEAD CAPITAL MANAGEMENT LP By: Uncas GP LLC, its General Partner By: /s/ Scott D. Ferguson Scott D. Ferguson Managing Member UNCAS GP LLC By: /s/ Scott D. Ferguson Scott D. Ferguson Managing Member SACHEM HEAD GP LLC By: /s/ Scott D. Ferguson Scott D. Ferguson Managing Member /s/ Scott D. Ferguson Scott D. Ferguson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2094</Words>
  <Characters>10542</Characters>
  <CharactersWithSpaces>12565</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