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05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53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Leffler Scott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300"/>
        <w:spacing w:after="0" w:line="415" w:lineRule="auto"/>
        <w:rPr>
          <w:sz w:val="20"/>
          <w:szCs w:val="20"/>
          <w:color w:val="auto"/>
        </w:rPr>
      </w:pPr>
      <w:r>
        <w:rPr>
          <w:rFonts w:ascii="Arial" w:cs="Arial" w:eastAsia="Arial" w:hAnsi="Arial"/>
          <w:sz w:val="15"/>
          <w:szCs w:val="15"/>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Sotera Health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11/20/2021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40"/>
        <w:spacing w:after="0"/>
        <w:rPr>
          <w:sz w:val="20"/>
          <w:szCs w:val="20"/>
          <w:color w:val="auto"/>
        </w:rPr>
      </w:pPr>
      <w:r>
        <w:rPr>
          <w:rFonts w:ascii="Arial" w:cs="Arial" w:eastAsia="Arial" w:hAnsi="Arial"/>
          <w:sz w:val="17"/>
          <w:szCs w:val="17"/>
          <w:color w:val="0000FF"/>
        </w:rPr>
        <w:t>CFO and Treasurer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2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22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320" w:type="dxa"/>
            <w:vAlign w:val="bottom"/>
          </w:tcPr>
          <w:p>
            <w:pPr>
              <w:spacing w:after="0"/>
              <w:rPr>
                <w:sz w:val="11"/>
                <w:szCs w:val="11"/>
                <w:color w:val="auto"/>
              </w:rPr>
            </w:pPr>
          </w:p>
        </w:tc>
        <w:tc>
          <w:tcPr>
            <w:tcW w:w="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300" w:type="dxa"/>
            <w:vAlign w:val="bottom"/>
            <w:gridSpan w:val="2"/>
            <w:vMerge w:val="restart"/>
          </w:tcPr>
          <w:p>
            <w:pPr>
              <w:jc w:val="right"/>
              <w:ind w:right="162"/>
              <w:spacing w:after="0"/>
              <w:rPr>
                <w:sz w:val="20"/>
                <w:szCs w:val="20"/>
                <w:color w:val="auto"/>
              </w:rPr>
            </w:pPr>
            <w:r>
              <w:rPr>
                <w:rFonts w:ascii="Arial" w:cs="Arial" w:eastAsia="Arial" w:hAnsi="Arial"/>
                <w:sz w:val="17"/>
                <w:szCs w:val="17"/>
                <w:color w:val="0000FF"/>
              </w:rPr>
              <w:t>11/20/2021</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200" w:type="dxa"/>
            <w:vAlign w:val="bottom"/>
          </w:tcPr>
          <w:p>
            <w:pPr>
              <w:spacing w:after="0"/>
              <w:rPr>
                <w:sz w:val="21"/>
                <w:szCs w:val="21"/>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3,894</w:t>
            </w:r>
            <w:r>
              <w:rPr>
                <w:rFonts w:ascii="Arial" w:cs="Arial" w:eastAsia="Arial" w:hAnsi="Arial"/>
                <w:sz w:val="21"/>
                <w:szCs w:val="21"/>
                <w:color w:val="008000"/>
                <w:vertAlign w:val="superscript"/>
              </w:rPr>
              <w:t>(1)</w:t>
            </w:r>
          </w:p>
        </w:tc>
        <w:tc>
          <w:tcPr>
            <w:tcW w:w="32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1"/>
                <w:szCs w:val="21"/>
                <w:color w:val="auto"/>
              </w:rPr>
            </w:pPr>
          </w:p>
        </w:tc>
        <w:tc>
          <w:tcPr>
            <w:tcW w:w="580" w:type="dxa"/>
            <w:vAlign w:val="bottom"/>
            <w:gridSpan w:val="2"/>
            <w:vMerge w:val="restart"/>
          </w:tcPr>
          <w:p>
            <w:pPr>
              <w:jc w:val="right"/>
              <w:ind w:right="22"/>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22.54</w:t>
            </w:r>
          </w:p>
        </w:tc>
        <w:tc>
          <w:tcPr>
            <w:tcW w:w="12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701,206</w:t>
            </w:r>
            <w:r>
              <w:rPr>
                <w:rFonts w:ascii="Arial" w:cs="Arial" w:eastAsia="Arial" w:hAnsi="Arial"/>
                <w:sz w:val="21"/>
                <w:szCs w:val="21"/>
                <w:color w:val="008000"/>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("Common Stock")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4"/>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0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center"/>
              <w:ind w:right="222"/>
              <w:spacing w:after="0"/>
              <w:rPr>
                <w:sz w:val="20"/>
                <w:szCs w:val="20"/>
                <w:color w:val="auto"/>
              </w:rPr>
            </w:pPr>
            <w:r>
              <w:rPr>
                <w:rFonts w:ascii="Arial" w:cs="Arial" w:eastAsia="Arial" w:hAnsi="Arial"/>
                <w:sz w:val="11"/>
                <w:szCs w:val="11"/>
                <w:color w:val="008000"/>
                <w:w w:val="88"/>
              </w:rPr>
              <w:t>(4)</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11/20/2030</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223,602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223,602</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(3)</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gridSpan w:val="2"/>
          </w:tcPr>
          <w:p>
            <w:pPr>
              <w:ind w:left="140"/>
              <w:spacing w:after="0" w:line="65" w:lineRule="exact"/>
              <w:rPr>
                <w:sz w:val="20"/>
                <w:szCs w:val="20"/>
                <w:color w:val="auto"/>
              </w:rPr>
            </w:pPr>
            <w:r>
              <w:rPr>
                <w:rFonts w:ascii="Arial" w:cs="Arial" w:eastAsia="Arial" w:hAnsi="Arial"/>
                <w:sz w:val="6"/>
                <w:szCs w:val="6"/>
                <w:color w:val="0000FF"/>
              </w:rPr>
              <w:t>Stock</w:t>
            </w: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-1936115</wp:posOffset>
            </wp:positionV>
            <wp:extent cx="29210" cy="1941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41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represent the number of shares of Common Stock withheld by the Issuer to satisfy the Reporting Person's tax withholding obligations due upon the vesting of 13,043 Restricted Stock Units ("RSUs"), which represents 25% of the RSU award granted to the Reporting Person on November 20, 2020. This RSU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14" w:lineRule="exact"/>
        <w:rPr>
          <w:rFonts w:ascii="Arial" w:cs="Arial" w:eastAsia="Arial" w:hAnsi="Arial"/>
          <w:sz w:val="12"/>
          <w:szCs w:val="12"/>
          <w:color w:val="008000"/>
        </w:rPr>
      </w:pPr>
    </w:p>
    <w:p>
      <w:pPr>
        <w:ind w:left="40" w:right="18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454,745 shares of vested Common Stock, 207,331 shares of unvested Common Stock and 39,130 RSUs. 38,562 of the unvested shares of Common Stock will vest on a daily basis, pro rata through April 3, 2022. 168,769 of the unvested shares of Common Stock will vest as of the first date on which (i) certain investment funds and entities affiliated with Warburg Pincus LLC and GTCR, LLC (the "Sponsors") have received two and one-half times their invested capital in the company and (ii) the Sponsors' internal rate of return exceeds twenty percent.</w:t>
      </w:r>
    </w:p>
    <w:p>
      <w:pPr>
        <w:spacing w:after="0" w:line="14"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transaction is being reported on this line. Reported on a previously filed Form 4.</w:t>
      </w:r>
    </w:p>
    <w:p>
      <w:pPr>
        <w:spacing w:after="0" w:line="43" w:lineRule="exact"/>
        <w:rPr>
          <w:rFonts w:ascii="Arial" w:cs="Arial" w:eastAsia="Arial" w:hAnsi="Arial"/>
          <w:sz w:val="13"/>
          <w:szCs w:val="13"/>
          <w:color w:val="008000"/>
        </w:rPr>
      </w:pPr>
    </w:p>
    <w:p>
      <w:pPr>
        <w:ind w:left="40" w:right="480" w:firstLine="2"/>
        <w:spacing w:after="0" w:line="284"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options were granted on November 20, 2020, pursuant to the terms of a stock option agreement under the 2020 Incentive Plan. 25% of the options vested on November 20, 2021 and the remaining unvested options vest in three equal installments on the next three anniversaries of the date of grant, subject to the Reporting Person's continued service through each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Leffler is filed as an exhibit to the Form 3 filed on November 20, 2020, which is hereby incorporated by reference.</w:t>
      </w:r>
    </w:p>
    <w:p>
      <w:pPr>
        <w:spacing w:after="0" w:line="5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Jessica L. M. H. Epp,</w:t>
            </w:r>
          </w:p>
        </w:tc>
        <w:tc>
          <w:tcPr>
            <w:tcW w:w="5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11/23/2021</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2406"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2021-11-23T19:04:31Z</dcterms:created>
  <dcterms:modified xsi:type="dcterms:W3CDTF">2021-11-23T19:04:31Z</dcterms:modified>
</cp:coreProperties>
</file>