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798575d424b7.htm"/>
        <w:bookmarkStart w:id="1" w:name="ksd798575d424b7"/>
        <w:bookmarkEnd w:id="0"/>
        <w:bookmarkEnd w:id="1"/>
        <w:r>
          <w:rPr>
            <w:rStyle w:val="InternetLink"/>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424(b)(7)</w:t>
        <w:br/>
        <w:t xml:space="preserve">Registration No. 333-277418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and the accompanying prospectus, relating to an effective registration statement under the Securities Act of 1933, as amended, is not complete and may be changed. This preliminary prospectus supplement and the accompanying prospectus are not an offer to sell these securities and we are not soliciting an offer to buy these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SUBJECT TO COMPLETION, DATED FEBRUARY 27, 2024 </w:t>
      </w:r>
    </w:p>
    <w:p>
      <w:pPr>
        <w:pStyle w:val="TextBody"/>
        <w:bidi w:val="0"/>
        <w:spacing w:before="120" w:after="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Prospectus dated February 27, 2024) </w:t>
      </w:r>
    </w:p>
    <w:p>
      <w:pPr>
        <w:pStyle w:val="TextBody"/>
        <w:bidi w:val="0"/>
        <w:spacing w:before="120" w:after="0"/>
        <w:jc w:val="center"/>
        <w:rPr>
          <w:rFonts w:ascii="Times New Roman" w:hAnsi="Times New Roman"/>
          <w:b/>
          <w:sz w:val="36"/>
        </w:rPr>
      </w:pPr>
      <w:r>
        <w:rPr>
          <w:rFonts w:ascii="Times New Roman" w:hAnsi="Times New Roman"/>
          <w:b/>
          <w:sz w:val="36"/>
        </w:rPr>
        <w:t xml:space="preserve">25,000,000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335" cy="469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0335" cy="469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of Sotera Health Company identified in this prospectus supplement are offering 25,000,000 shares of our common stock, par value $0.01 per share, (the common stock) pursuant to this prospectus supplement and the accompanying prospectus. We are not selling any shares of common stock under this prospectus supplement and will not receive any proceeds from the sale of the shares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and traded on the Nasdaq Global Select Market (Nasdaq) under the symbol SHC. On    , the last reported sale price of our common stock on Nasdaq was $    per share.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pPr>
      <w:r>
        <w:rPr>
          <w:rFonts w:ascii="Times New Roman" w:hAnsi="Times New Roman"/>
          <w:b/>
          <w:sz w:val="24"/>
        </w:rPr>
        <w:t>Investing in our common stock involves a high degree of risk. See </w:t>
      </w:r>
      <w:hyperlink w:anchor="suptx798575_5">
        <w:r>
          <w:rPr>
            <w:rStyle w:val="InternetLink"/>
            <w:rFonts w:ascii="Times New Roman" w:hAnsi="Times New Roman"/>
            <w:b/>
            <w:sz w:val="24"/>
          </w:rPr>
          <w:t>Risk Factors</w:t>
        </w:r>
      </w:hyperlink>
      <w:r>
        <w:rPr>
          <w:rFonts w:ascii="Times New Roman" w:hAnsi="Times New Roman"/>
          <w:b/>
          <w:sz w:val="24"/>
        </w:rPr>
        <w:t xml:space="preserve"> beginning on page S-10 of this prospectus supplement and in the documents incorporated by reference into this prospectus supplement to read about factors you should consider before deciding to invest in our common stock.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(the SEC) nor any state securities commission has approved or disapproved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850"/>
        <w:gridCol w:w="421"/>
        <w:gridCol w:w="142"/>
        <w:gridCol w:w="828"/>
        <w:gridCol w:w="60"/>
        <w:gridCol w:w="421"/>
        <w:gridCol w:w="142"/>
        <w:gridCol w:w="828"/>
        <w:gridCol w:w="63"/>
      </w:tblGrid>
      <w:tr>
        <w:trPr/>
        <w:tc>
          <w:tcPr>
            <w:tcW w:w="485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5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4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85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discounts(1)</w:t>
            </w:r>
          </w:p>
        </w:tc>
        <w:tc>
          <w:tcPr>
            <w:tcW w:w="42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8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to selling stockholders, before expenses</w:t>
            </w:r>
          </w:p>
        </w:tc>
        <w:tc>
          <w:tcPr>
            <w:tcW w:w="4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2"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See Underwriting for a description of compensation to be paid to the underwriters.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have granted the underwriters an option to purchase up to 3,750,000 additional shares of common stock at the public offering price less the underwriting discount for a period of 30 days after the date of this prospectus supplement. We will not receive any proceeds from the sale of our common stock pursuant to any exercise of the underwriters option to purchase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Delivery of the shares of common stock is expected to be made on or about     .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634"/>
        <w:gridCol w:w="101"/>
        <w:gridCol w:w="612"/>
        <w:gridCol w:w="101"/>
        <w:gridCol w:w="3677"/>
        <w:gridCol w:w="102"/>
        <w:gridCol w:w="611"/>
        <w:gridCol w:w="102"/>
        <w:gridCol w:w="1328"/>
        <w:gridCol w:w="101"/>
        <w:gridCol w:w="612"/>
        <w:gridCol w:w="101"/>
        <w:gridCol w:w="1123"/>
      </w:tblGrid>
      <w:tr>
        <w:trPr/>
        <w:tc>
          <w:tcPr>
            <w:tcW w:w="1634"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677"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b/>
              </w:rPr>
            </w:pPr>
            <w:r>
              <w:rPr>
                <w:b/>
              </w:rPr>
              <w:t>J.P. Morgan</w:t>
            </w:r>
          </w:p>
        </w:tc>
        <w:tc>
          <w:tcPr>
            <w:tcW w:w="101"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677" w:type="dxa"/>
            <w:tcBorders/>
          </w:tcPr>
          <w:p>
            <w:pPr>
              <w:pStyle w:val="TableContents"/>
              <w:bidi w:val="0"/>
              <w:spacing w:before="0" w:after="283"/>
              <w:jc w:val="center"/>
              <w:rPr>
                <w:b/>
              </w:rPr>
            </w:pPr>
            <w:r>
              <w:rPr>
                <w:b/>
              </w:rPr>
              <w:t>Goldman Sachs &amp; Co. LLC</w:t>
            </w:r>
          </w:p>
        </w:tc>
        <w:tc>
          <w:tcPr>
            <w:tcW w:w="102" w:type="dxa"/>
            <w:tcBorders/>
            <w:vAlign w:val="bottom"/>
          </w:tcPr>
          <w:p>
            <w:pPr>
              <w:pStyle w:val="TableContents"/>
              <w:bidi w:val="0"/>
              <w:spacing w:before="0" w:after="283"/>
              <w:jc w:val="left"/>
              <w:rPr/>
            </w:pPr>
            <w:r>
              <w:rPr/>
              <w:t> </w:t>
            </w:r>
          </w:p>
        </w:tc>
        <w:tc>
          <w:tcPr>
            <w:tcW w:w="611"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328" w:type="dxa"/>
            <w:tcBorders/>
          </w:tcPr>
          <w:p>
            <w:pPr>
              <w:pStyle w:val="TableContents"/>
              <w:bidi w:val="0"/>
              <w:spacing w:before="0" w:after="283"/>
              <w:jc w:val="center"/>
              <w:rPr>
                <w:b/>
              </w:rPr>
            </w:pPr>
            <w:r>
              <w:rPr>
                <w:b/>
              </w:rPr>
              <w:t>Citigroup</w:t>
            </w:r>
          </w:p>
        </w:tc>
        <w:tc>
          <w:tcPr>
            <w:tcW w:w="101" w:type="dxa"/>
            <w:tcBorders/>
            <w:vAlign w:val="bottom"/>
          </w:tcPr>
          <w:p>
            <w:pPr>
              <w:pStyle w:val="TableContents"/>
              <w:bidi w:val="0"/>
              <w:spacing w:before="0" w:after="283"/>
              <w:jc w:val="left"/>
              <w:rPr/>
            </w:pPr>
            <w:r>
              <w:rPr/>
              <w:t> </w:t>
            </w:r>
          </w:p>
        </w:tc>
        <w:tc>
          <w:tcPr>
            <w:tcW w:w="612"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1123" w:type="dxa"/>
            <w:tcBorders/>
          </w:tcPr>
          <w:p>
            <w:pPr>
              <w:pStyle w:val="TableContents"/>
              <w:bidi w:val="0"/>
              <w:spacing w:before="0" w:after="283"/>
              <w:jc w:val="right"/>
              <w:rPr>
                <w:b/>
              </w:rPr>
            </w:pPr>
            <w:r>
              <w:rPr>
                <w:b/>
              </w:rPr>
              <w:t>Jefferies</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supplement is     ,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1"/>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2">
              <w:r>
                <w:rPr>
                  <w:rStyle w:val="InternetLink"/>
                  <w:rFonts w:ascii="Times New Roman" w:hAnsi="Times New Roman"/>
                  <w:sz w:val="20"/>
                </w:rPr>
                <w:t>MARKET AND INDUSTRY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3">
              <w:r>
                <w:rPr>
                  <w:rStyle w:val="InternetLink"/>
                  <w:rFonts w:ascii="Times New Roman" w:hAnsi="Times New Roman"/>
                  <w:sz w:val="20"/>
                </w:rPr>
                <w:t>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4">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4a">
              <w:r>
                <w:rPr>
                  <w:rStyle w:val="InternetLink"/>
                  <w:rFonts w:ascii="Times New Roman" w:hAnsi="Times New Roman"/>
                  <w:sz w:val="20"/>
                </w:rPr>
                <w:t>SUMMARY HISTORICAL CONSOLIDATED FINANCIAL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6">
              <w:r>
                <w:rPr>
                  <w:rStyle w:val="InternetLink"/>
                  <w:rFonts w:ascii="Times New Roman" w:hAnsi="Times New Roman"/>
                  <w:sz w:val="20"/>
                </w:rPr>
                <w:t>CAUTIONARY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7">
              <w:r>
                <w:rPr>
                  <w:rStyle w:val="InternetLink"/>
                  <w:rFonts w:ascii="Times New Roman" w:hAnsi="Times New Roman"/>
                  <w:sz w:val="20"/>
                </w:rPr>
                <w:t>SELLING STOCKHOLDERS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8">
              <w:r>
                <w:rPr>
                  <w:rStyle w:val="InternetLink"/>
                  <w:rFonts w:ascii="Times New Roman" w:hAnsi="Times New Roman"/>
                  <w:sz w:val="20"/>
                </w:rPr>
                <w:t>MATERIAL U.S. FEDERAL INCOME TAX CONSIDERATIONS FOR NON-U.S. HOLDERS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9">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S-32</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S-33</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uptx798575_14">
              <w:r>
                <w:rPr>
                  <w:rStyle w:val="InternetLink"/>
                  <w:rFonts w:ascii="Times New Roman" w:hAnsi="Times New Roman"/>
                  <w:sz w:val="20"/>
                </w:rPr>
                <w:t>INCORPORATION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S-35</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7985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Neither we nor the selling stockholders have authorized anyone to provide you with information different from that contained or incorporated by reference in this prospectus supplement, any amendment or supplement to this prospectus supplement, the accompanying prospectus or in any free writing prospectus prepared by us or on our behalf. Neither we nor the selling stockholders take any responsibility for, or provide any assurance as to the reliability of, any information other than the information contained or incorporated by reference in this prospectus supplement, any amendment or supplement to this prospectus supplement, the accompanying prospectus or in any free writing prospectus prepared by us or on our behalf.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supplement, the accompanying prospectus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should carefully read both this prospectus supplement, the accompanying prospectus and any free writing prospectus prepared by or on behalf of us, together with the additional information described under the heading Where You Can Find More Information. </w:t>
      </w:r>
    </w:p>
    <w:p>
      <w:pPr>
        <w:pStyle w:val="TextBody"/>
        <w:bidi w:val="0"/>
        <w:spacing w:before="240" w:after="0"/>
        <w:jc w:val="left"/>
        <w:rPr>
          <w:rFonts w:ascii="Times New Roman" w:hAnsi="Times New Roman"/>
          <w:b/>
          <w:sz w:val="20"/>
        </w:rPr>
      </w:pPr>
      <w:r>
        <w:rPr>
          <w:rFonts w:ascii="Times New Roman" w:hAnsi="Times New Roman"/>
          <w:b/>
          <w:sz w:val="20"/>
        </w:rPr>
        <w:t xml:space="preserve">No action is being taken in any jurisdiction outside the United States to permit a public offering of our common stock. Persons who come into possession of this prospectus supplement or the accompanying prospectus in jurisdictions outside the United States are required to inform themselves about and to observe any restriction as to this offering and the distribution of this prospectus applicable to those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 w:name="suptx798575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The second part is the accompanying prospectus, which describes more general information, some of which may not apply to this offering. You should read both this prospectus supplement and the accompanying prospectus, together with the documents incorporated by reference and the additional information described in the accompanying prospectus under the heading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If the description of the offering varies between this prospectus supplement and the accompanying prospectus, you should rely on the information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The information we have included in this prospectus supplement and the accompanying prospectus is accurate only as of the date of this prospectus supplement or the accompanying prospectus, and any information we have incorporated by reference is accurate only as of the date of the document incorporated by reference. Our business, financial condition, results of operations and prospects may have changed since any such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suptx798575_2"/>
      <w:bookmarkEnd w:id="4"/>
      <w:r>
        <w:rPr>
          <w:rFonts w:ascii="Times New Roman" w:hAnsi="Times New Roman"/>
          <w:b/>
          <w:sz w:val="20"/>
        </w:rPr>
        <w:t xml:space="preserve">MARKET AND INDUSTRY DATA </w:t>
      </w:r>
    </w:p>
    <w:p>
      <w:pPr>
        <w:pStyle w:val="TextBody"/>
        <w:bidi w:val="0"/>
        <w:spacing w:before="240" w:after="0"/>
        <w:jc w:val="left"/>
        <w:rPr>
          <w:rFonts w:ascii="Times New Roman" w:hAnsi="Times New Roman"/>
          <w:sz w:val="20"/>
        </w:rPr>
      </w:pPr>
      <w:r>
        <w:rPr>
          <w:rFonts w:ascii="Times New Roman" w:hAnsi="Times New Roman"/>
          <w:sz w:val="20"/>
        </w:rPr>
        <w:t xml:space="preserve">Historical and current market data used throughout this prospectus supplement or incorporated herein were obtained from internal company analyses, consultants reports and industry publications. Industry surveys and publications generally state that the information contained therein has been obtained from sources believed to be reliable. This information involves many assumptions and limitations, and you are cautioned not to give undue weight to these estimates and information. We have not independently verified this market data. While we are not aware of any misstatements regarding any industry or similar data presented herein, such data involve risks and uncertainties and are subject to change based on various factors, including those discussed under the Risk Factors section in this prospectus supplement and in our Annual Report (as defined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tx798575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important information about this offering and information contained elsewhere or incorporated by reference in this prospectus supplement and the accompanying prospectus. This summary does not contain all the information that you should consider before investing in our common stock. You should read the entire prospectus supplement and the accompanying prospectus carefully, as well as the additional materials described under the captions Where You Can Find More Information and Incorporation By Reference in this prospectus supplement and in the accompanying prospectus, including Risk Factors beginning on page S-9 of this prospectus supplement and Risk Factors in Part I, Item 1A of our Annual Report on Form 10-K for the year ended December 31, 2023 (the Annual Report).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processes and supply chains, helping to ensure sterilized medical products reach healthcare practitioners and patients. Most of our services are necessary for our customers to satisfy applicable government requirements.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Across our 63 facilities worldwide, we have over 3,000 employees who are dedicated to safety and quality.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 the process of amending and extending our existing first lien revolving credit facility, and we expect to complete that process in the first quarter of 2024. We expect that the new maturity date will be the earliest of (a) the date that is five years from the closing date of the transaction, and (b) the date that is 91 days prior to the maturity date of the Companys existing term loans. Material provisions of the agreement and the size of the facility are expected to otherwise remain substantially unchanged. However, there can be no assurance that the transaction will be completed on these terms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uptx798575_4"/>
      <w:bookmarkEnd w:id="6"/>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offered by the selling stockholders </w:t>
            </w:r>
          </w:p>
        </w:tc>
        <w:tc>
          <w:tcPr>
            <w:tcW w:w="6329" w:type="dxa"/>
            <w:tcBorders/>
          </w:tcPr>
          <w:p>
            <w:pPr>
              <w:pStyle w:val="TableContents"/>
              <w:bidi w:val="0"/>
              <w:spacing w:before="0" w:after="283"/>
              <w:jc w:val="left"/>
              <w:rPr/>
            </w:pPr>
            <w:r>
              <w:rPr/>
              <w:t xml:space="preserve">25,000,000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Underwriters option to purchase additional shares </w:t>
            </w:r>
          </w:p>
        </w:tc>
        <w:tc>
          <w:tcPr>
            <w:tcW w:w="6327" w:type="dxa"/>
            <w:tcBorders/>
          </w:tcPr>
          <w:p>
            <w:pPr>
              <w:pStyle w:val="TableContents"/>
              <w:bidi w:val="0"/>
              <w:spacing w:before="0" w:after="283"/>
              <w:jc w:val="left"/>
              <w:rPr/>
            </w:pPr>
            <w:r>
              <w:rPr/>
              <w:t xml:space="preserve">The selling stockholders may sell up to 3,750,000 additional shares if the underwriters exercise their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Selling stockholders </w:t>
            </w:r>
          </w:p>
        </w:tc>
        <w:tc>
          <w:tcPr>
            <w:tcW w:w="6328" w:type="dxa"/>
            <w:tcBorders/>
          </w:tcPr>
          <w:p>
            <w:pPr>
              <w:pStyle w:val="TableContents"/>
              <w:bidi w:val="0"/>
              <w:spacing w:before="0" w:after="283"/>
              <w:jc w:val="left"/>
              <w:rPr/>
            </w:pPr>
            <w:r>
              <w:rPr/>
              <w:t xml:space="preserve">See Selling Stockholders.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Common stock to be outstanding after this offering </w:t>
            </w:r>
          </w:p>
        </w:tc>
        <w:tc>
          <w:tcPr>
            <w:tcW w:w="6326" w:type="dxa"/>
            <w:tcBorders/>
          </w:tcPr>
          <w:p>
            <w:pPr>
              <w:pStyle w:val="TableContents"/>
              <w:bidi w:val="0"/>
              <w:spacing w:before="0" w:after="283"/>
              <w:jc w:val="left"/>
              <w:rPr/>
            </w:pPr>
            <w:r>
              <w:rPr/>
              <w:t xml:space="preserve">282,832,200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The selling stockholders will receive all of the net proceeds from the sale of shares of common stock in this offering. We will not receive any proceeds from the sale of shares of common stock by the selling stockholders or if the underwriters exercise their option to purchase additional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Dividend policy </w:t>
            </w:r>
          </w:p>
        </w:tc>
        <w:tc>
          <w:tcPr>
            <w:tcW w:w="6328" w:type="dxa"/>
            <w:tcBorders/>
          </w:tcPr>
          <w:p>
            <w:pPr>
              <w:pStyle w:val="TableContents"/>
              <w:bidi w:val="0"/>
              <w:spacing w:before="0" w:after="283"/>
              <w:jc w:val="left"/>
              <w:rPr/>
            </w:pPr>
            <w:r>
              <w:rPr/>
              <w:t xml:space="preserve">We currently do not expect to pay dividends on our common stock. Instead, we anticipate that all of our earnings in the foreseeable future will be used for the operation and growth of our business and the repayment of indebtedness. See Dividend Policy.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9" w:type="dxa"/>
            <w:tcBorders/>
          </w:tcPr>
          <w:p>
            <w:pPr>
              <w:pStyle w:val="TableContents"/>
              <w:bidi w:val="0"/>
              <w:spacing w:before="0" w:after="283"/>
              <w:jc w:val="left"/>
              <w:rPr/>
            </w:pPr>
            <w:r>
              <w:rPr/>
              <w:t xml:space="preserve">Investing in our common stock involves a high degree of risk. See Risk Factors for a discussion of factors you should carefully consider before deciding to invest in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Nasdaq symbol </w:t>
            </w:r>
          </w:p>
        </w:tc>
        <w:tc>
          <w:tcPr>
            <w:tcW w:w="6331" w:type="dxa"/>
            <w:tcBorders/>
          </w:tcPr>
          <w:p>
            <w:pPr>
              <w:pStyle w:val="TableContents"/>
              <w:bidi w:val="0"/>
              <w:spacing w:before="0" w:after="283"/>
              <w:jc w:val="left"/>
              <w:rPr/>
            </w:pPr>
            <w:r>
              <w:rPr/>
              <w:t xml:space="preserve">SHC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number of shares of common stock to be outstanding after the offering is based on 282,832,200 shares of common stock outstanding as of February 20, 2024 and excludes as of such date: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6,972,661 shares of common stock issuable upon the exercise of outstanding options as of December 31, 2023, with a weighted average exercise price of $15.17 per share (provided that 21,132 shares of common stock are no longer issuable upon the exercise of outstanding options due to forfeitures subsequent to December 31, 2023, such forfeited options having a weighted-average exercise price of $19.36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2,166,759 shares issuable pursuant to restricted stock units (RSUs) outstanding as of December 31, 2023 (provided that 18,525 of such shares of common stock are no longer issuable due to forfeitures of RSUs subsequent to December 31, 2023, and 3,569 of such shares of common stock are no longer issuable due to the vesting and settlement of RSUs subsequent to December 31, 2023 (and any shares of common stock that are outstanding following the satisfaction of tax withholding obligations in respect of such vested RSUs are included in the number of shares of common stock outstanding as of February 20, 2024 set forth above));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bookmarkStart w:id="7" w:name="supcov798575_1"/>
            <w:bookmarkEnd w:id="7"/>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17,690,509 shares of common stock reserved for future issuance under our 2020 Omnibus Incentive Plan (the 2020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8" w:name="suptx798575_4a"/>
      <w:bookmarkEnd w:id="8"/>
      <w:r>
        <w:rPr>
          <w:rFonts w:ascii="Times New Roman" w:hAnsi="Times New Roman"/>
          <w:b/>
          <w:sz w:val="20"/>
          <w:bdr w:val="single" w:sz="8" w:space="1" w:color="000000"/>
        </w:rPr>
        <w:t xml:space="preserve">SUMMARY HISTORICAL CONSOLIDATED FINANCIAL AND OTHER DATA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tables present our summary historical consolidated financial and other data. The summary historical consolidated statements of operations data and statements of cash flows data for the years ended December 31, 2023, 2022 and 2021 and the summary historical balance sheet data as of December 31, 2023, December 31, 2022 and December 31, 2021 have been derived from our audited consolidated financial statements incorporated by reference from our Annual Report.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summary consolidated financial data should be read in conjunction with the information contained in Risk Factors in this prospectus supplement and Managements Discussion and Analysis of Financial Condition and Results of Operations and the consolidated financial statements and related notes thereto incorporated by reference from our Annual Report. Our historical results are not necessarily indicative of our results in any future period.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Statement of Operations Data: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718"/>
        <w:gridCol w:w="290"/>
        <w:gridCol w:w="140"/>
        <w:gridCol w:w="999"/>
        <w:gridCol w:w="155"/>
        <w:gridCol w:w="250"/>
        <w:gridCol w:w="140"/>
        <w:gridCol w:w="999"/>
        <w:gridCol w:w="155"/>
        <w:gridCol w:w="250"/>
        <w:gridCol w:w="140"/>
        <w:gridCol w:w="809"/>
        <w:gridCol w:w="160"/>
      </w:tblGrid>
      <w:tr>
        <w:trPr/>
        <w:tc>
          <w:tcPr>
            <w:tcW w:w="5718" w:type="dxa"/>
            <w:tcBorders/>
            <w:vAlign w:val="center"/>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718"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4037"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i/>
              </w:rPr>
            </w:pPr>
            <w:r>
              <w:rPr>
                <w:i/>
              </w:rPr>
              <w:t>(in thousands, except per share amounts)</w:t>
            </w:r>
          </w:p>
        </w:tc>
        <w:tc>
          <w:tcPr>
            <w:tcW w:w="290"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1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Revenues: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905,598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864,828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805,501</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143,690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138,859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125,977</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revenues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1,049,288</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1,003,687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931,478</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 of revenues: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Service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418,611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390,860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357,205</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Product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53,519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55,823</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55,601</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cost of revenues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472,130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446,683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412,806</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577,158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557,004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518,672</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99"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9"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236,667</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245,714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198,158</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intangible assets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63,799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62,940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63,781</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300,466</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308,654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261,939</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income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276,692</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248,350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256,733</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142,878</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80,144</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74,192</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35,000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408,000</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9,613</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20,681</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Foreign exchange loss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1,345</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(7,372</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(6,441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(15,201</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Income (loss) before income taxes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106,027</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(243,111</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175,716</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(benefit) for income taxes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54,651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(9,541</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58,595</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51,376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(233,570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117,121</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Less: Net income attributable to noncontrolling interests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239</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b/>
                <w:sz w:val="20"/>
              </w:rPr>
            </w:pPr>
            <w:r>
              <w:rPr>
                <w:rFonts w:ascii="Times New Roman" w:hAnsi="Times New Roman"/>
                <w:b/>
                <w:sz w:val="20"/>
              </w:rPr>
              <w:t>Net income (loss) attributable to the company</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51,376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(233,570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116,882</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 income, net of tax:</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9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9"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sz w:val="4"/>
                <w:szCs w:val="4"/>
              </w:rPr>
            </w:pPr>
            <w:r>
              <w:rPr>
                <w:sz w:val="4"/>
                <w:szCs w:val="4"/>
              </w:rPr>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Pension and post-retirement benefits</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(10,506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99" w:type="dxa"/>
            <w:tcBorders/>
            <w:vAlign w:val="bottom"/>
          </w:tcPr>
          <w:p>
            <w:pPr>
              <w:pStyle w:val="TableContents"/>
              <w:bidi w:val="0"/>
              <w:spacing w:before="0" w:after="283"/>
              <w:jc w:val="right"/>
              <w:rPr/>
            </w:pPr>
            <w:r>
              <w:rPr/>
              <w:t>20,790</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9" w:type="dxa"/>
            <w:tcBorders/>
            <w:vAlign w:val="bottom"/>
          </w:tcPr>
          <w:p>
            <w:pPr>
              <w:pStyle w:val="TableContents"/>
              <w:bidi w:val="0"/>
              <w:spacing w:before="0" w:after="283"/>
              <w:jc w:val="right"/>
              <w:rPr/>
            </w:pPr>
            <w:r>
              <w:rPr/>
              <w:t>26,562</w:t>
            </w:r>
          </w:p>
        </w:tc>
        <w:tc>
          <w:tcPr>
            <w:tcW w:w="160" w:type="dxa"/>
            <w:tcBorders/>
            <w:vAlign w:val="bottom"/>
          </w:tcPr>
          <w:p>
            <w:pPr>
              <w:pStyle w:val="TableContents"/>
              <w:bidi w:val="0"/>
              <w:spacing w:before="0" w:after="283"/>
              <w:jc w:val="left"/>
              <w:rPr/>
            </w:pPr>
            <w:r>
              <w:rPr/>
              <w:t> </w:t>
            </w:r>
          </w:p>
        </w:tc>
      </w:tr>
      <w:tr>
        <w:trPr/>
        <w:tc>
          <w:tcPr>
            <w:tcW w:w="57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rate derivatives</w:t>
            </w:r>
          </w:p>
        </w:tc>
        <w:tc>
          <w:tcPr>
            <w:tcW w:w="2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(15,697</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20,939</w:t>
            </w:r>
          </w:p>
        </w:tc>
        <w:tc>
          <w:tcPr>
            <w:tcW w:w="155"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pPr>
            <w:r>
              <w:rPr/>
              <w:t>404</w:t>
            </w:r>
          </w:p>
        </w:tc>
        <w:tc>
          <w:tcPr>
            <w:tcW w:w="160" w:type="dxa"/>
            <w:tcBorders/>
            <w:shd w:fill="CCEEFF" w:val="clear"/>
            <w:vAlign w:val="bottom"/>
          </w:tcPr>
          <w:p>
            <w:pPr>
              <w:pStyle w:val="TableContents"/>
              <w:bidi w:val="0"/>
              <w:spacing w:before="0" w:after="283"/>
              <w:jc w:val="left"/>
              <w:rPr/>
            </w:pPr>
            <w:r>
              <w:rPr/>
              <w:t> </w:t>
            </w:r>
          </w:p>
        </w:tc>
      </w:tr>
      <w:tr>
        <w:trPr/>
        <w:tc>
          <w:tcPr>
            <w:tcW w:w="5718"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40,174</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(64,816</w:t>
            </w:r>
          </w:p>
        </w:tc>
        <w:tc>
          <w:tcPr>
            <w:tcW w:w="155"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pPr>
            <w:r>
              <w:rPr/>
              <w:t>(16,395</w:t>
            </w:r>
          </w:p>
        </w:tc>
        <w:tc>
          <w:tcPr>
            <w:tcW w:w="160" w:type="dxa"/>
            <w:tcBorders/>
            <w:vAlign w:val="bottom"/>
          </w:tcPr>
          <w:p>
            <w:pPr>
              <w:pStyle w:val="TableContents"/>
              <w:bidi w:val="0"/>
              <w:spacing w:before="0" w:after="283"/>
              <w:jc w:val="left"/>
              <w:rPr/>
            </w:pPr>
            <w:r>
              <w:rPr/>
              <w:t>) </w:t>
            </w:r>
          </w:p>
        </w:tc>
      </w:tr>
      <w:tr>
        <w:trPr/>
        <w:tc>
          <w:tcPr>
            <w:tcW w:w="5718" w:type="dxa"/>
            <w:tcBorders/>
            <w:vAlign w:val="bottom"/>
          </w:tcPr>
          <w:p>
            <w:pPr>
              <w:pStyle w:val="TableContents"/>
              <w:bidi w:val="0"/>
              <w:spacing w:before="0" w:after="283"/>
              <w:jc w:val="left"/>
              <w:rPr>
                <w:sz w:val="4"/>
                <w:szCs w:val="4"/>
              </w:rPr>
            </w:pPr>
            <w:r>
              <w:rPr>
                <w:sz w:val="4"/>
                <w:szCs w:val="4"/>
              </w:rPr>
            </w:r>
          </w:p>
        </w:tc>
        <w:tc>
          <w:tcPr>
            <w:tcW w:w="2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99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6079"/>
        <w:gridCol w:w="218"/>
        <w:gridCol w:w="140"/>
        <w:gridCol w:w="875"/>
        <w:gridCol w:w="163"/>
        <w:gridCol w:w="184"/>
        <w:gridCol w:w="140"/>
        <w:gridCol w:w="875"/>
        <w:gridCol w:w="163"/>
        <w:gridCol w:w="184"/>
        <w:gridCol w:w="140"/>
        <w:gridCol w:w="875"/>
        <w:gridCol w:w="169"/>
      </w:tblGrid>
      <w:tr>
        <w:trPr/>
        <w:tc>
          <w:tcPr>
            <w:tcW w:w="6079" w:type="dxa"/>
            <w:tcBorders/>
            <w:vAlign w:val="center"/>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079"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3739"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 Ended December 31,</w:t>
            </w:r>
          </w:p>
        </w:tc>
        <w:tc>
          <w:tcPr>
            <w:tcW w:w="169"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i/>
              </w:rPr>
            </w:pPr>
            <w:r>
              <w:rPr>
                <w:i/>
              </w:rPr>
              <w:t>(in thousands, except per share amounts)</w:t>
            </w:r>
          </w:p>
        </w:tc>
        <w:tc>
          <w:tcPr>
            <w:tcW w:w="218"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169"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(loss)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65,347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(256,657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127,692</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Less: comprehensive income attributable to noncontrolling interests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  </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534</w:t>
            </w:r>
          </w:p>
        </w:tc>
        <w:tc>
          <w:tcPr>
            <w:tcW w:w="169" w:type="dxa"/>
            <w:tcBorders/>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5"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Comprehensive income (loss) attributable to the company</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65,347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(256,657</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127,158</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vAlign w:val="bottom"/>
          </w:tcPr>
          <w:p>
            <w:pPr>
              <w:pStyle w:val="TableContents"/>
              <w:bidi w:val="0"/>
              <w:spacing w:before="0" w:after="283"/>
              <w:jc w:val="left"/>
              <w:rPr>
                <w:sz w:val="4"/>
                <w:szCs w:val="4"/>
              </w:rPr>
            </w:pPr>
            <w:r>
              <w:rPr>
                <w:sz w:val="4"/>
                <w:szCs w:val="4"/>
              </w:rPr>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5"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Earnings (loss) per share:</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 and Diluted</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0.18</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(0.83</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0.41</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b/>
                <w:sz w:val="20"/>
              </w:rPr>
            </w:pPr>
            <w:r>
              <w:rPr>
                <w:rFonts w:ascii="Times New Roman" w:hAnsi="Times New Roman"/>
                <w:b/>
                <w:sz w:val="20"/>
              </w:rPr>
              <w:t>Selected cash flow data:</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provided by operating activities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(147,732</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277,961</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281,545</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(214,906</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(181,896</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(159,833</w:t>
            </w:r>
          </w:p>
        </w:tc>
        <w:tc>
          <w:tcPr>
            <w:tcW w:w="169" w:type="dxa"/>
            <w:tcBorders/>
            <w:vAlign w:val="bottom"/>
          </w:tcPr>
          <w:p>
            <w:pPr>
              <w:pStyle w:val="TableContents"/>
              <w:bidi w:val="0"/>
              <w:spacing w:before="0" w:after="283"/>
              <w:jc w:val="left"/>
              <w:rPr/>
            </w:pPr>
            <w:r>
              <w:rPr/>
              <w:t>) </w:t>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265,959</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197,761</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5" w:type="dxa"/>
            <w:tcBorders/>
            <w:shd w:fill="CCEEFF" w:val="clear"/>
            <w:vAlign w:val="bottom"/>
          </w:tcPr>
          <w:p>
            <w:pPr>
              <w:pStyle w:val="TableContents"/>
              <w:bidi w:val="0"/>
              <w:spacing w:before="0" w:after="283"/>
              <w:jc w:val="right"/>
              <w:rPr/>
            </w:pPr>
            <w:r>
              <w:rPr/>
              <w:t>(117,286</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data:</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5" w:type="dxa"/>
            <w:tcBorders/>
            <w:vAlign w:val="bottom"/>
          </w:tcPr>
          <w:p>
            <w:pPr>
              <w:pStyle w:val="TableContents"/>
              <w:bidi w:val="0"/>
              <w:spacing w:before="0" w:after="283"/>
              <w:jc w:val="left"/>
              <w:rPr>
                <w:sz w:val="4"/>
                <w:szCs w:val="4"/>
              </w:rPr>
            </w:pPr>
            <w:r>
              <w:rPr>
                <w:sz w:val="4"/>
                <w:szCs w:val="4"/>
              </w:rPr>
            </w:r>
          </w:p>
        </w:tc>
        <w:tc>
          <w:tcPr>
            <w:tcW w:w="169" w:type="dxa"/>
            <w:tcBorders/>
            <w:vAlign w:val="bottom"/>
          </w:tcPr>
          <w:p>
            <w:pPr>
              <w:pStyle w:val="TableContents"/>
              <w:bidi w:val="0"/>
              <w:spacing w:before="0" w:after="283"/>
              <w:jc w:val="left"/>
              <w:rPr>
                <w:sz w:val="4"/>
                <w:szCs w:val="4"/>
              </w:rPr>
            </w:pPr>
            <w:r>
              <w:rPr>
                <w:sz w:val="4"/>
                <w:szCs w:val="4"/>
              </w:rPr>
            </w:r>
          </w:p>
        </w:tc>
      </w:tr>
      <w:tr>
        <w:trPr/>
        <w:tc>
          <w:tcPr>
            <w:tcW w:w="60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Income(a)</w:t>
            </w:r>
          </w:p>
        </w:tc>
        <w:tc>
          <w:tcPr>
            <w:tcW w:w="21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230,116</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270,219</w:t>
            </w:r>
          </w:p>
        </w:tc>
        <w:tc>
          <w:tcPr>
            <w:tcW w:w="16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5" w:type="dxa"/>
            <w:tcBorders/>
            <w:shd w:fill="CCEEFF" w:val="clear"/>
            <w:vAlign w:val="bottom"/>
          </w:tcPr>
          <w:p>
            <w:pPr>
              <w:pStyle w:val="TableContents"/>
              <w:bidi w:val="0"/>
              <w:spacing w:before="0" w:after="283"/>
              <w:jc w:val="right"/>
              <w:rPr/>
            </w:pPr>
            <w:r>
              <w:rPr/>
              <w:t>245,782</w:t>
            </w:r>
          </w:p>
        </w:tc>
        <w:tc>
          <w:tcPr>
            <w:tcW w:w="169" w:type="dxa"/>
            <w:tcBorders/>
            <w:shd w:fill="CCEEFF" w:val="clear"/>
            <w:vAlign w:val="bottom"/>
          </w:tcPr>
          <w:p>
            <w:pPr>
              <w:pStyle w:val="TableContents"/>
              <w:bidi w:val="0"/>
              <w:spacing w:before="0" w:after="283"/>
              <w:jc w:val="left"/>
              <w:rPr/>
            </w:pPr>
            <w:r>
              <w:rPr/>
              <w:t> </w:t>
            </w:r>
          </w:p>
        </w:tc>
      </w:tr>
      <w:tr>
        <w:trPr/>
        <w:tc>
          <w:tcPr>
            <w:tcW w:w="6079"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EBITDA(a)</w:t>
            </w:r>
          </w:p>
        </w:tc>
        <w:tc>
          <w:tcPr>
            <w:tcW w:w="21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528,029</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506,249</w:t>
            </w:r>
          </w:p>
        </w:tc>
        <w:tc>
          <w:tcPr>
            <w:tcW w:w="16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5" w:type="dxa"/>
            <w:tcBorders/>
            <w:vAlign w:val="bottom"/>
          </w:tcPr>
          <w:p>
            <w:pPr>
              <w:pStyle w:val="TableContents"/>
              <w:bidi w:val="0"/>
              <w:spacing w:before="0" w:after="283"/>
              <w:jc w:val="right"/>
              <w:rPr/>
            </w:pPr>
            <w:r>
              <w:rPr/>
              <w:t>481,229</w:t>
            </w:r>
          </w:p>
        </w:tc>
        <w:tc>
          <w:tcPr>
            <w:tcW w:w="169" w:type="dxa"/>
            <w:tcBorders/>
            <w:vAlign w:val="bottom"/>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and Adjusted EBITDA are non-GAAP financial measures. For more information regarding our calculation of Adjusted Net Income and Adjusted EBITDA, including information about their limitations as tools for analysis and a reconciliation of net income (loss), the most directly comparable financial measure calculated and presented in accordance with GAAP, to Adjusted Net Income and Adjusted EBITDA, see Non-GAAP Financial Measures. </w:t>
            </w:r>
          </w:p>
        </w:tc>
      </w:tr>
    </w:tbl>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5495"/>
        <w:gridCol w:w="365"/>
        <w:gridCol w:w="140"/>
        <w:gridCol w:w="985"/>
        <w:gridCol w:w="60"/>
        <w:gridCol w:w="365"/>
        <w:gridCol w:w="140"/>
        <w:gridCol w:w="985"/>
        <w:gridCol w:w="155"/>
        <w:gridCol w:w="326"/>
        <w:gridCol w:w="140"/>
        <w:gridCol w:w="985"/>
        <w:gridCol w:w="64"/>
      </w:tblGrid>
      <w:tr>
        <w:trPr/>
        <w:tc>
          <w:tcPr>
            <w:tcW w:w="5495"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495"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428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 of</w:t>
              <w:br/>
              <w:t>December 31,</w:t>
            </w:r>
          </w:p>
        </w:tc>
        <w:tc>
          <w:tcPr>
            <w:tcW w:w="64" w:type="dxa"/>
            <w:tcBorders/>
            <w:vAlign w:val="bottom"/>
          </w:tcPr>
          <w:p>
            <w:pPr>
              <w:pStyle w:val="TableContents"/>
              <w:bidi w:val="0"/>
              <w:spacing w:before="0" w:after="283"/>
              <w:jc w:val="left"/>
              <w:rPr/>
            </w:pPr>
            <w:r>
              <w:rPr/>
              <w:t> </w:t>
            </w:r>
          </w:p>
        </w:tc>
      </w:tr>
      <w:tr>
        <w:trPr/>
        <w:tc>
          <w:tcPr>
            <w:tcW w:w="5495"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1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2021</w:t>
            </w:r>
          </w:p>
        </w:tc>
        <w:tc>
          <w:tcPr>
            <w:tcW w:w="64" w:type="dxa"/>
            <w:tcBorders/>
            <w:vAlign w:val="bottom"/>
          </w:tcPr>
          <w:p>
            <w:pPr>
              <w:pStyle w:val="TableContents"/>
              <w:bidi w:val="0"/>
              <w:spacing w:before="0" w:after="283"/>
              <w:jc w:val="left"/>
              <w:rPr/>
            </w:pPr>
            <w:r>
              <w:rPr/>
              <w:t> </w:t>
            </w:r>
          </w:p>
        </w:tc>
      </w:tr>
      <w:tr>
        <w:trPr/>
        <w:tc>
          <w:tcPr>
            <w:tcW w:w="549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Sheet Data (as of period end):</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85"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495" w:type="dxa"/>
            <w:tcBorders/>
          </w:tcPr>
          <w:p>
            <w:pPr>
              <w:pStyle w:val="TableContents"/>
              <w:bidi w:val="0"/>
              <w:spacing w:before="0" w:after="0"/>
              <w:jc w:val="left"/>
              <w:rPr>
                <w:rFonts w:ascii="Times New Roman" w:hAnsi="Times New Roman"/>
                <w:i/>
                <w:sz w:val="20"/>
              </w:rPr>
            </w:pPr>
            <w:r>
              <w:rPr>
                <w:rFonts w:ascii="Times New Roman" w:hAnsi="Times New Roman"/>
                <w:i/>
                <w:sz w:val="20"/>
              </w:rPr>
              <w:t>(in thousands)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985"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equivalents(a)</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296,407</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395,214</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985" w:type="dxa"/>
            <w:tcBorders/>
            <w:shd w:fill="CCEEFF" w:val="clear"/>
            <w:vAlign w:val="bottom"/>
          </w:tcPr>
          <w:p>
            <w:pPr>
              <w:pStyle w:val="TableContents"/>
              <w:bidi w:val="0"/>
              <w:spacing w:before="0" w:after="283"/>
              <w:jc w:val="right"/>
              <w:rPr/>
            </w:pPr>
            <w:r>
              <w:rPr/>
              <w:t>106,917</w:t>
            </w:r>
          </w:p>
        </w:tc>
        <w:tc>
          <w:tcPr>
            <w:tcW w:w="64" w:type="dxa"/>
            <w:tcBorders/>
            <w:shd w:fill="CCEEFF" w:val="clear"/>
            <w:vAlign w:val="bottom"/>
          </w:tcPr>
          <w:p>
            <w:pPr>
              <w:pStyle w:val="TableContents"/>
              <w:bidi w:val="0"/>
              <w:spacing w:before="0" w:after="283"/>
              <w:jc w:val="left"/>
              <w:rPr/>
            </w:pPr>
            <w:r>
              <w:rPr/>
              <w:t> </w:t>
            </w:r>
          </w:p>
        </w:tc>
      </w:tr>
      <w:tr>
        <w:trPr/>
        <w:tc>
          <w:tcPr>
            <w:tcW w:w="5495" w:type="dxa"/>
            <w:tcBorders/>
          </w:tcPr>
          <w:p>
            <w:pPr>
              <w:pStyle w:val="TableContents"/>
              <w:bidi w:val="0"/>
              <w:spacing w:before="0" w:after="0"/>
              <w:jc w:val="left"/>
              <w:rPr>
                <w:rFonts w:ascii="Times New Roman" w:hAnsi="Times New Roman"/>
                <w:sz w:val="20"/>
              </w:rPr>
            </w:pPr>
            <w:r>
              <w:rPr>
                <w:rFonts w:ascii="Times New Roman" w:hAnsi="Times New Roman"/>
                <w:sz w:val="20"/>
              </w:rPr>
              <w:t>Working capital(b)</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326,590</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(146,557</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184,800</w:t>
            </w:r>
          </w:p>
        </w:tc>
        <w:tc>
          <w:tcPr>
            <w:tcW w:w="64" w:type="dxa"/>
            <w:tcBorders/>
            <w:vAlign w:val="bottom"/>
          </w:tcPr>
          <w:p>
            <w:pPr>
              <w:pStyle w:val="TableContents"/>
              <w:bidi w:val="0"/>
              <w:spacing w:before="0" w:after="283"/>
              <w:jc w:val="left"/>
              <w:rPr/>
            </w:pPr>
            <w:r>
              <w:rPr/>
              <w:t> </w:t>
            </w:r>
          </w:p>
        </w:tc>
      </w:tr>
      <w:tr>
        <w:trPr/>
        <w:tc>
          <w:tcPr>
            <w:tcW w:w="5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3,130,420</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3,117,705</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2,789,502</w:t>
            </w:r>
          </w:p>
        </w:tc>
        <w:tc>
          <w:tcPr>
            <w:tcW w:w="64" w:type="dxa"/>
            <w:tcBorders/>
            <w:shd w:fill="CCEEFF" w:val="clear"/>
            <w:vAlign w:val="bottom"/>
          </w:tcPr>
          <w:p>
            <w:pPr>
              <w:pStyle w:val="TableContents"/>
              <w:bidi w:val="0"/>
              <w:spacing w:before="0" w:after="283"/>
              <w:jc w:val="left"/>
              <w:rPr/>
            </w:pPr>
            <w:r>
              <w:rPr/>
              <w:t> </w:t>
            </w:r>
          </w:p>
        </w:tc>
      </w:tr>
      <w:tr>
        <w:trPr/>
        <w:tc>
          <w:tcPr>
            <w:tcW w:w="5495" w:type="dxa"/>
            <w:tcBorders/>
          </w:tcPr>
          <w:p>
            <w:pPr>
              <w:pStyle w:val="TableContents"/>
              <w:bidi w:val="0"/>
              <w:spacing w:before="0" w:after="0"/>
              <w:jc w:val="left"/>
              <w:rPr>
                <w:rFonts w:ascii="Times New Roman" w:hAnsi="Times New Roman"/>
                <w:sz w:val="20"/>
              </w:rPr>
            </w:pPr>
            <w:r>
              <w:rPr>
                <w:rFonts w:ascii="Times New Roman" w:hAnsi="Times New Roman"/>
                <w:sz w:val="20"/>
              </w:rPr>
              <w:t>Total long-term debt (including current portion, less unamortized debt issuance costs and debt discounts)</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2,228,471</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1,944,234</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1,743,534</w:t>
            </w:r>
          </w:p>
        </w:tc>
        <w:tc>
          <w:tcPr>
            <w:tcW w:w="64" w:type="dxa"/>
            <w:tcBorders/>
            <w:vAlign w:val="bottom"/>
          </w:tcPr>
          <w:p>
            <w:pPr>
              <w:pStyle w:val="TableContents"/>
              <w:bidi w:val="0"/>
              <w:spacing w:before="0" w:after="283"/>
              <w:jc w:val="left"/>
              <w:rPr/>
            </w:pPr>
            <w:r>
              <w:rPr/>
              <w:t> </w:t>
            </w:r>
          </w:p>
        </w:tc>
      </w:tr>
      <w:tr>
        <w:trPr/>
        <w:tc>
          <w:tcPr>
            <w:tcW w:w="54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2,686,686</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2,767,467</w:t>
            </w:r>
          </w:p>
        </w:tc>
        <w:tc>
          <w:tcPr>
            <w:tcW w:w="155" w:type="dxa"/>
            <w:tcBorders/>
            <w:shd w:fill="CCEEFF" w:val="clear"/>
            <w:vAlign w:val="bottom"/>
          </w:tcPr>
          <w:p>
            <w:pPr>
              <w:pStyle w:val="TableContents"/>
              <w:bidi w:val="0"/>
              <w:spacing w:before="0" w:after="283"/>
              <w:jc w:val="left"/>
              <w:rPr/>
            </w:pPr>
            <w:r>
              <w:rPr/>
              <w:t> </w:t>
            </w:r>
          </w:p>
        </w:tc>
        <w:tc>
          <w:tcPr>
            <w:tcW w:w="3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5" w:type="dxa"/>
            <w:tcBorders/>
            <w:shd w:fill="CCEEFF" w:val="clear"/>
            <w:vAlign w:val="bottom"/>
          </w:tcPr>
          <w:p>
            <w:pPr>
              <w:pStyle w:val="TableContents"/>
              <w:bidi w:val="0"/>
              <w:spacing w:before="0" w:after="283"/>
              <w:jc w:val="right"/>
              <w:rPr/>
            </w:pPr>
            <w:r>
              <w:rPr/>
              <w:t>2,203,406</w:t>
            </w:r>
          </w:p>
        </w:tc>
        <w:tc>
          <w:tcPr>
            <w:tcW w:w="64" w:type="dxa"/>
            <w:tcBorders/>
            <w:shd w:fill="CCEEFF" w:val="clear"/>
            <w:vAlign w:val="bottom"/>
          </w:tcPr>
          <w:p>
            <w:pPr>
              <w:pStyle w:val="TableContents"/>
              <w:bidi w:val="0"/>
              <w:spacing w:before="0" w:after="283"/>
              <w:jc w:val="left"/>
              <w:rPr/>
            </w:pPr>
            <w:r>
              <w:rPr/>
              <w:t> </w:t>
            </w:r>
          </w:p>
        </w:tc>
      </w:tr>
      <w:tr>
        <w:trPr/>
        <w:tc>
          <w:tcPr>
            <w:tcW w:w="5495"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443,734</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350,238</w:t>
            </w:r>
          </w:p>
        </w:tc>
        <w:tc>
          <w:tcPr>
            <w:tcW w:w="155" w:type="dxa"/>
            <w:tcBorders/>
            <w:vAlign w:val="bottom"/>
          </w:tcPr>
          <w:p>
            <w:pPr>
              <w:pStyle w:val="TableContents"/>
              <w:bidi w:val="0"/>
              <w:spacing w:before="0" w:after="283"/>
              <w:jc w:val="left"/>
              <w:rPr/>
            </w:pPr>
            <w:r>
              <w:rPr/>
              <w:t> </w:t>
            </w:r>
          </w:p>
        </w:tc>
        <w:tc>
          <w:tcPr>
            <w:tcW w:w="3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5" w:type="dxa"/>
            <w:tcBorders/>
            <w:vAlign w:val="bottom"/>
          </w:tcPr>
          <w:p>
            <w:pPr>
              <w:pStyle w:val="TableContents"/>
              <w:bidi w:val="0"/>
              <w:spacing w:before="0" w:after="283"/>
              <w:jc w:val="right"/>
              <w:rPr/>
            </w:pPr>
            <w:r>
              <w:rPr/>
              <w:t>586,096</w:t>
            </w:r>
          </w:p>
        </w:tc>
        <w:tc>
          <w:tcPr>
            <w:tcW w:w="64" w:type="dxa"/>
            <w:tcBorders/>
            <w:vAlign w:val="bottom"/>
          </w:tcPr>
          <w:p>
            <w:pPr>
              <w:pStyle w:val="TableContents"/>
              <w:bidi w:val="0"/>
              <w:spacing w:before="0" w:after="283"/>
              <w:jc w:val="left"/>
              <w:rPr/>
            </w:pPr>
            <w:r>
              <w:rPr/>
              <w:t> </w:t>
            </w:r>
          </w:p>
        </w:tc>
      </w:tr>
      <w:tr>
        <w:trPr/>
        <w:tc>
          <w:tcPr>
            <w:tcW w:w="10141" w:type="dxa"/>
            <w:gridSpan w:val="12"/>
            <w:tcBorders/>
            <w:shd w:fill="CCEEFF" w:val="clear"/>
          </w:tcPr>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 Cash and cash equivalents excludes restricted cash.</w:t>
            </w:r>
          </w:p>
          <w:p>
            <w:pPr>
              <w:pStyle w:val="TableContents"/>
              <w:bidi w:val="0"/>
              <w:spacing w:before="0" w:after="20"/>
              <w:jc w:val="left"/>
              <w:rPr>
                <w:rFonts w:ascii="Times New Roman" w:hAnsi="Times New Roman"/>
                <w:sz w:val="20"/>
              </w:rPr>
            </w:pPr>
            <w:r>
              <w:rPr>
                <w:rFonts w:ascii="Times New Roman" w:hAnsi="Times New Roman"/>
                <w:sz w:val="20"/>
              </w:rPr>
              <w:t>(b) Working capital represents current assets less current liabilities.</w:t>
            </w:r>
          </w:p>
        </w:tc>
        <w:tc>
          <w:tcPr>
            <w:tcW w:w="64" w:type="dxa"/>
            <w:tcBorders/>
            <w:shd w:fill="CCEEFF" w:val="clear"/>
          </w:tcPr>
          <w:p>
            <w:pPr>
              <w:pStyle w:val="TableContents"/>
              <w:bidi w:val="0"/>
              <w:spacing w:before="0" w:after="0"/>
              <w:jc w:val="left"/>
              <w:rPr/>
            </w:pPr>
            <w:r>
              <w:rPr/>
              <w:t> </w:t>
            </w:r>
          </w:p>
          <w:p>
            <w:pPr>
              <w:pStyle w:val="TableContents"/>
              <w:bidi w:val="0"/>
              <w:spacing w:before="0" w:after="0"/>
              <w:jc w:val="left"/>
              <w:rPr/>
            </w:pPr>
            <w:r>
              <w:rPr/>
              <w:t>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Non-GAAP Financial Measures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To supplement our consolidated financial statements presented in accordance with Generally Accepted Accounting Principles (GAAP), we consider Adjusted Net Income and Adjusted EBITDA, financial measures that are not based on any standardized methodology prescribed by GAAP.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define Adjusted Net Income as net income (loss) before amortization and certain other adjustments that we do not consider in our evaluation of our ongoing operating performance from period to period as discussed further below. We define Adjusted EBITDA as Adjusted Net Income before interest expense, depreciation (including depreciation of Co-60 used in our operations) and income tax provision applicable to Adjusted Net Income.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use Adjusted Net Income and Adjusted EBITDA, non-GAAP financial measures, as the principal measures of our operating performance. Management believes Adjusted Net Income and Adjusted EBITDA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useful because they allow management to more effectively evaluate our operating performance and compare the results of our operations from period to period without the impact of certain non-cash items and non-routine items that we do not expect to continue at the same level in the future and other items that are not core to our operations. We believe that these measures are useful to our investors because they provide a more complete understanding of the factors and trends affecting our business than could be obtained absent this disclosure. In addition, we believe Adjusted Net Income and Adjusted EBITDA will assist investors in making comparisons to our historical operating results and analyzing the underlying performance of our operations for the periods presented. Our management also uses Adjusted Net Income and Adjusted EBITDA in their financial analysis and operational decision-making and Adjusted EBITDA serves as the basis for the metric we utilize to determine attainment of our primary annual incentive program. Adjusted Net Income and Adjusted EBITDA may be calculated differently from, and therefore may not be comparable to, a similarly titled measure used by other companies.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Adjusted Net Income and Adjusted EBITDA should not be considered in isolation from, or as a substitute for, financial information prepared in accordance with GAAP. There are a number of limitations related to the use of Adjusted Net Income and Adjusted EBITDA rather than net income (loss), the nearest GAAP equivalent. For example, Adjusted Net Income and Adjusted EBITDA primarily exclude: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recurring non-cash charges such as depreciation of fixed assets, although these assets may have to be replaced in the future, as well as amortization of acquired intangible assets and asset retirement obligations;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of acquiring and integrating businesses, which will continue to be a part of our growth strategy;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non-cash gains or losses from fluctuations in foreign currency exchange rates, and the mark-to-fair value of derivatives not designated as hedging instruments, which includes embedded derivatives relating to certain customer and supply contracts at Nordion;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long-lived assets, intangible assets and investments accounted for under the equity method;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loss on extinguishment of debt incurred in connection with refinancing or early extinguishment of long-term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expenses and charges related to the litigation, settlement agreements, and other activities associated with our ethylene oxide sterilization facilities, including those in Willowbrook, Illinois, Atlanta, Georgia and Santa Teresa, New Mexico, even though that litigation remains ongoing;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Adjusted EBITDA, interest expense or the cash requirements necessary to service interest or principal payments on our indebtedness;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share-based compensation expense, which has been, and will continue to be for the foreseeable future, a significant recurring expense and an important part of our compensation strategy.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evaluating Adjusted Net Income and Adjusted EBITDA, you should be aware that in the future, we will incur expenses similar to the adjustments in this presentation. Our presentations of Adjusted Net Income and Adjusted EBITDA should not be construed as suggesting that our future results will be unaffected by these expenses or any unusual or non-recurring items. When evaluating our performance, you should consider Adjusted Net Income and Adjusted EBITDA alongside other financial performance measures, including our net income and other GAAP measures.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presents a reconciliation of net income (loss), the most directly comparable financial measure calculated and presented in accordance with GAAP to Adjusted Net Income and Adjusted EBITDA, for each of the periods indicated: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7443"/>
        <w:gridCol w:w="230"/>
        <w:gridCol w:w="140"/>
        <w:gridCol w:w="840"/>
        <w:gridCol w:w="165"/>
        <w:gridCol w:w="198"/>
        <w:gridCol w:w="140"/>
        <w:gridCol w:w="880"/>
        <w:gridCol w:w="169"/>
      </w:tblGrid>
      <w:tr>
        <w:trPr/>
        <w:tc>
          <w:tcPr>
            <w:tcW w:w="7443"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443"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236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w:t>
              <w:br/>
              <w:t>December 31,</w:t>
            </w:r>
          </w:p>
        </w:tc>
        <w:tc>
          <w:tcPr>
            <w:tcW w:w="169" w:type="dxa"/>
            <w:tcBorders/>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i/>
              </w:rPr>
            </w:pPr>
            <w:r>
              <w:rPr>
                <w:i/>
              </w:rPr>
              <w:t>(in thousands)</w:t>
            </w:r>
          </w:p>
        </w:tc>
        <w:tc>
          <w:tcPr>
            <w:tcW w:w="23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0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income (loss)</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51,376</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(233,570</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Amortization of intangibles</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81,348</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81,554</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Share-based compensation(a)</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32,364</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21,211</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Loss (gain) on foreign currency and derivatives not designated as hedging instruments, net(b)</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(1,552</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3,150</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Acquisition and divestiture related charges, net(c)</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937</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1,398</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Business optimization project expenses(d)</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7,310</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2,226</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Plant closure expenses(e)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(585</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4,730</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Impairment of investment in unconsolidated affiliate(f)</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9,613</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Professional services relating to EO sterilization facilities(g)</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72,122</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72,639</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Illinois EO litigation settlement(h)</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  </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408,000</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Georgia EO litigation settlement(i)</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35,000</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  </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Accretion of asset retirement obligations(j)</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2,413</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2,194</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COVID-19 expenses(k)</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155</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benefit associated with pre-tax adjustments(l)</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(50,617</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(103,081</w:t>
            </w:r>
          </w:p>
        </w:tc>
        <w:tc>
          <w:tcPr>
            <w:tcW w:w="169" w:type="dxa"/>
            <w:tcBorders/>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Adjusted Net Income</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230,116</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270,219</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expense, net(m)</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116,068</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78,490</w:t>
            </w:r>
          </w:p>
        </w:tc>
        <w:tc>
          <w:tcPr>
            <w:tcW w:w="169" w:type="dxa"/>
            <w:tcBorders/>
            <w:vAlign w:val="bottom"/>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Depreciation(n)</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40" w:type="dxa"/>
            <w:tcBorders/>
            <w:shd w:fill="CCEEFF" w:val="clear"/>
            <w:vAlign w:val="bottom"/>
          </w:tcPr>
          <w:p>
            <w:pPr>
              <w:pStyle w:val="TableContents"/>
              <w:bidi w:val="0"/>
              <w:spacing w:before="0" w:after="283"/>
              <w:jc w:val="right"/>
              <w:rPr/>
            </w:pPr>
            <w:r>
              <w:rPr/>
              <w:t>76,577</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64,000</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tcPr>
          <w:p>
            <w:pPr>
              <w:pStyle w:val="TableContents"/>
              <w:bidi w:val="0"/>
              <w:spacing w:before="0" w:after="0"/>
              <w:jc w:val="left"/>
              <w:rPr>
                <w:rFonts w:ascii="Times New Roman" w:hAnsi="Times New Roman"/>
                <w:sz w:val="20"/>
              </w:rPr>
            </w:pPr>
            <w:r>
              <w:rPr>
                <w:rFonts w:ascii="Times New Roman" w:hAnsi="Times New Roman"/>
                <w:sz w:val="20"/>
              </w:rPr>
              <w:t>Income tax provision applicable to Adjusted Net Income(o)</w:t>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40" w:type="dxa"/>
            <w:tcBorders/>
            <w:vAlign w:val="bottom"/>
          </w:tcPr>
          <w:p>
            <w:pPr>
              <w:pStyle w:val="TableContents"/>
              <w:bidi w:val="0"/>
              <w:spacing w:before="0" w:after="283"/>
              <w:jc w:val="right"/>
              <w:rPr/>
            </w:pPr>
            <w:r>
              <w:rPr/>
              <w:t>105,268</w:t>
            </w:r>
          </w:p>
        </w:tc>
        <w:tc>
          <w:tcPr>
            <w:tcW w:w="165"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93,540</w:t>
            </w:r>
          </w:p>
        </w:tc>
        <w:tc>
          <w:tcPr>
            <w:tcW w:w="169" w:type="dxa"/>
            <w:tcBorders/>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4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r>
        <w:trPr/>
        <w:tc>
          <w:tcPr>
            <w:tcW w:w="74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b/>
                <w:sz w:val="20"/>
              </w:rPr>
              <w:t>Adjusted EBITDA</w:t>
            </w:r>
            <w:r>
              <w:rPr>
                <w:rFonts w:ascii="Times New Roman" w:hAnsi="Times New Roman"/>
                <w:sz w:val="13"/>
              </w:rPr>
              <w:t>(p)</w:t>
            </w:r>
          </w:p>
        </w:tc>
        <w:tc>
          <w:tcPr>
            <w:tcW w:w="2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40" w:type="dxa"/>
            <w:tcBorders/>
            <w:shd w:fill="CCEEFF" w:val="clear"/>
            <w:vAlign w:val="bottom"/>
          </w:tcPr>
          <w:p>
            <w:pPr>
              <w:pStyle w:val="TableContents"/>
              <w:bidi w:val="0"/>
              <w:spacing w:before="0" w:after="283"/>
              <w:jc w:val="right"/>
              <w:rPr/>
            </w:pPr>
            <w:r>
              <w:rPr/>
              <w:t>528,029</w:t>
            </w:r>
          </w:p>
        </w:tc>
        <w:tc>
          <w:tcPr>
            <w:tcW w:w="165"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80" w:type="dxa"/>
            <w:tcBorders/>
            <w:shd w:fill="CCEEFF" w:val="clear"/>
            <w:vAlign w:val="bottom"/>
          </w:tcPr>
          <w:p>
            <w:pPr>
              <w:pStyle w:val="TableContents"/>
              <w:bidi w:val="0"/>
              <w:spacing w:before="0" w:after="283"/>
              <w:jc w:val="right"/>
              <w:rPr/>
            </w:pPr>
            <w:r>
              <w:rPr/>
              <w:t>506,249</w:t>
            </w:r>
          </w:p>
        </w:tc>
        <w:tc>
          <w:tcPr>
            <w:tcW w:w="169" w:type="dxa"/>
            <w:tcBorders/>
            <w:shd w:fill="CCEEFF" w:val="clear"/>
            <w:vAlign w:val="bottom"/>
          </w:tcPr>
          <w:p>
            <w:pPr>
              <w:pStyle w:val="TableContents"/>
              <w:bidi w:val="0"/>
              <w:spacing w:before="0" w:after="283"/>
              <w:jc w:val="left"/>
              <w:rPr/>
            </w:pPr>
            <w:r>
              <w:rPr/>
              <w:t> </w:t>
            </w:r>
          </w:p>
        </w:tc>
      </w:tr>
      <w:tr>
        <w:trPr/>
        <w:tc>
          <w:tcPr>
            <w:tcW w:w="7443" w:type="dxa"/>
            <w:tcBorders/>
            <w:vAlign w:val="bottom"/>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4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169"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share-based compensation expense to employees and non-employee directors.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effects of (i) fluctuations in foreign currency exchange rates, (ii) non-cash mark-to-fair value of embedded derivatives relating to certain customer and supply contracts at Nordion, and (iii) unrealized gains and losses on interest rate derivatives not designated as hedging instruments.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(i) certain direct and incremental costs related to the acquisitions of RCA and BioSciences Labs and certain related integration efforts as a result of those acquisitions, (ii) the earnings impact of fair value adjustments (excluding those recognized within amortization expense) resulting from the businesses acquired, and (iii) transition services income and non-cash deferred lease income associated with the terms of the divestiture of the Medical Isotopes business in 2018.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(d)</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professional fees exit costs, severance and other payroll costs, and other costs associated with business optimization and cost savings projects, operating structure realignment and other process enhancement projects.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professional fees, severance and other payroll costs, and other costs including ongoing lease and utility expenses associated with the closure of the Willowbrook, Illinois facility. The year ended December 31, 2023 also includes a $1.0 million cancellation fee received from a tenant connection with the termination of an office space lease at the Nordion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(f)</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an impairment charge on an equity method investment in a joint venture.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(g)</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litigation and other professional fees associated with our EO sterilization facilities. This includes $26.8 million of interest expense, net for the year ended December 31, 2023 associated with Term Loan B that was issued to finance the $408.0 million settlement of 880 pending and threatened EO claims against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Sterigenics U.S., LLC and Sotera Health LLC (the Defendant Subsidiaries) in Illinois under Settlement Agreements entered into on March 28, 2023.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(h)</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880 pending and threatened EO claims against the Defendant Subsidiaries in Illinois pursuant to Settlement Agreements entered into on March 28,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(i)</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cost to settle 79 pending EO claims against the Defendant Subsidiaries in Georgia under a Settlement Term Sheet entered into on December 21,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(j)</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non-cash accretion of asset retirement obligations related to Co-60 gamma and EO processing facilities, which are based on estimated site remediation costs for any future decommissioning of these facilities and are accreted over the life of the asset.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(k)</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non-recurring costs associated with the COVID-19 pandemic, including incremental costs to implement workplace health and safety measures.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(l)</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income tax impact of adjustments calculated based on the tax rate applicable to each item. We eliminate the effect of tax rate changes as applied to tax assets and liabilities, and unusual items from our presentation of adjusted net income.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(m)</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year ended December 31, 2023 excludes $26.8 million of interest expense, net, on Term Loan B attributable to the loan proceeds that were used to fund the $408.0 million cost of the Illinois EO Litigation settlement. The year ended December 31, 2022 excludes $1.7 million of unrealized loss on interest rate derivatives not designated as hedging instruments.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(n)</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depreciation of Co-60 held at gamma irradiation sites.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(o)</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difference between the income tax provision/benefit as determined under U.S. GAAP and the income tax benefit associated with pre-tax adjustments described in footnote (l).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(p)</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$94.1 million and $83.6 million of the adjustments for the year ended December 31, 2023 and 2022, respectively, are included in cost of revenues, primarily consisting of amortization of intangible assets, depreciation, and accretion of asset retirement obligations.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suptx798575_5"/>
      <w:bookmarkEnd w:id="9"/>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You should carefully consider the following risks together will the other information included or incorporated by reference in this prospectus supplement and the accompanying prospectus before deciding to invest in our common stock, including the risks described under Risk Factors in Part I, Item. 1A of our Annual Report. The occurrence of any of the following risks could harm our business, revenue and financial results. In addition, risks and uncertainties that are not presently known to us or that we currently believe are immaterial could also harm our business, revenue and financial results. If any of these risks occur, the value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and Our 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market and trading volume of our common stock may be volatile, and you could lose all or part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market price of our common stock may fluctuate or decline significantly in the future. Some of the factors that could negatively affect our share price or result in fluctuations in the price or trading volume of our common stock include those listed in the related Risk Factors described under Risk FactorsRisks Related to the Company and Risks Related to Our Indebtedness and Liquidity in our Annual Report and the following, some of which are beyond our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or economic downturns in the markets in which we, our suppliers or our customers are located caused by pandemics, including the COVID-19 pandemic, and related policies and restrictions undertaken to contain the spread of such pandemics or potential pandemics;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in our litigation matters and governmental investigations or additional significant lawsuits or governmental investigations relating to our services or facilities, including our susceptibility as a publicly-traded company to enforcement proceedings and civil litigation alleging that our disclosures have not complied with federal and state securities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or legal developments in the jurisdictions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publicity about us or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variations in our quarterly or annual results of operations, or in those of our competitors or of companies in the medical device and pharmaceutical industries;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financial projections we may provide to the public, any changes in these projections or our failure to meet these projections;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sales of our common stock by us or our stockholders in the future or the perception that such sales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publication of research reports about the industries in which we participate;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analysts estimates, investors perceptions, recommendations by securities analysts, our failure to achieve analysts estimates or failure of analysts to maintain coverage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volatility in the trading prices and trading volumes of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operating performance and stock market valuations of companies in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accounting principles, policies, guidance, interpretations or standards;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and other factors unrelated to our operating performance or the operating performance of our competitors.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Certain broad market and industry factors may decrease the market price of our common stock, regardless of our actual operating performance. The stock market in general has from time to time experienced extreme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price and volume fluctuations. In addition, in the past, following periods of volatility in the overall market and the market price of a companys securities, securities class action litigation has often been instituted against these companies, and a putative class action of this kind is currently pending against us. See Note 20, Commitments and Contingencies to our consolidated financial statements under the heading Stockholder Lawsuit in our Annual Report. Such litigation could result in substantial costs and a diversion of our managements attention and resources.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future issuance of additional common stock in connection with our incentive plans, acquisitions or otherwise will dilute all other stockholdings.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20, 2024, we had an aggregate of 886,109,800 shares of common stock that are not currently reserved for issuance under our 2020 Plan, as well as 3,204,952 treasury shares. We may issue all of these shares of common stock without any action or approval by our stockholders, subject to certain exceptions. We also intend to continue to evaluate acquisition opportunities and may issue common stock in connection with these acquisitions. Any common stock issued in connection with our incentive plans, acquisitions or otherwise would dilute the percentage ownership held by the investors who own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offerings of debt or equity securities by us may adversely affect the market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attempt to obtain financing or to further increase our capital resources by issuing additional shares of our common stock or offering debt or other equity securities. Future acquisitions could require substantial additional capital in excess of cash from operations. We would expect to finance any future acquisitions requiring substantial additional capital through a combination of additional issuances of equity, corporate indebtedness, asset-backed acquisition financing and/or cash from operations. </w:t>
      </w:r>
    </w:p>
    <w:p>
      <w:pPr>
        <w:pStyle w:val="TextBody"/>
        <w:bidi w:val="0"/>
        <w:spacing w:before="240" w:after="0"/>
        <w:jc w:val="left"/>
        <w:rPr>
          <w:rFonts w:ascii="Times New Roman" w:hAnsi="Times New Roman"/>
          <w:sz w:val="20"/>
        </w:rPr>
      </w:pPr>
      <w:r>
        <w:rPr>
          <w:rFonts w:ascii="Times New Roman" w:hAnsi="Times New Roman"/>
          <w:sz w:val="20"/>
        </w:rPr>
        <w:t xml:space="preserve">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or nature of our future offerings. Thus, holders of our common stock bear the risk that our future offerings may reduce the market price of our common stock and dilute their stockholdings in us.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sale of a substantial number of shares of our common stock, or the perception that such sales might occur, may cause the price of our common stock to decline. </w:t>
      </w:r>
    </w:p>
    <w:p>
      <w:pPr>
        <w:pStyle w:val="TextBody"/>
        <w:bidi w:val="0"/>
        <w:spacing w:before="120" w:after="0"/>
        <w:jc w:val="left"/>
        <w:rPr>
          <w:rFonts w:ascii="Times New Roman" w:hAnsi="Times New Roman"/>
          <w:sz w:val="20"/>
        </w:rPr>
      </w:pPr>
      <w:r>
        <w:rPr>
          <w:rFonts w:ascii="Times New Roman" w:hAnsi="Times New Roman"/>
          <w:sz w:val="20"/>
        </w:rPr>
        <w:t xml:space="preserve">Future sales of substantial amounts of our common stock in the public market, or the perception that such sales might occur, could cause the trading price of our common stock to decline. These sales, or the possibility that these sales may occur, also might make it more difficult for us to sell equity securities in the future at a time and at a price that we deem appropriate.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our initial public offering (IPO), we entered into a stockholders agreement with certain holders of our common stock, including investment funds and entities affiliated with either Warburg Pincus or GTCR and members of our management team, which we refer to as the Stockholders Agreement. Under the Stockholders Agreement, individual stockholders who were members of our management before the IPO, and other persons related to these individuals, are subject to contractual restrictions on transfer of shares of our common stock until November 19, 2026. These restrictions apply to approximately 26,130,422 shares as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February 20, 2024, but may be waived at any time by a majority of the members of the leadership development and compensation committee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As of February 20, 2024, the Sponsors own approximately 62.1% of our outstanding common stock, and following completion of this offering, assuming no exercise of the underwriters option to purchase additional shares, will own approximately 53.6%, and have rights to require us to file registration statements covering their shares. The Sponsors and certain other stockholders could also require us to include their shares in registration statements that we may file for ourselves or our stockholders. Additionally, the Sponsors and our officers and directors may sell shares into the public markets in accordance with the requirements of Rule 144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sales of securities by any of our stockholders described above could have a material adverse effect on the market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future, we may also issue securities in connection with investments or acquisitions. In particular, the number of shares of our common stock issued in connection with an investment or acquisition could constitute a material portion of our then- outstanding shares of our common stock. Any such issuance of additional securities in the future may result in additional dilution to you or may adversely impact the price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Although we do not currently rely on the controlled company exemption, we are a controlled company within the meaning of the Nasdaq corporate governance standards and qualify for exemptions from certain corporate governance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Because the Sponsors own a majority of our outstanding common stock, we are presently a controlled company as that term is set forth in the Nasdaq corporate governance standards. Under these rules, a company of which more than 50% of the voting power is held by another person or group of persons acting together is a controlled company and may elect not to comply with certain corporate governance requirements,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a majority of our board of directors consist of independent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our director nominations be made, or recommended to the full board of directors, by our independent directors or by a nominations committee that is comprised entirely of independent directors with a written charter addressing the committees purpose and responsibilities;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our compensation committee be composed entirely of independent directors with a written charter addressing the committees purpose and responsibilities;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requirement that we conduct an annual performance evaluation of the nominating and corporate governance and compensation committees.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Although we presently qualify as a controlled company, we are not currently relying on this exemption and intend to continue to comply fully with all corporate governance requirements for non-controlled companies under the Nasdaq corporate governance standards. If we were to elect at some point in the future to utilize some or all of these exemptions, however, our stockholders may not have the same protections afforded to stockholders of companies that are subject to all of the Nasdaq corporate governance requirements and investors perceptions of our corporate governance could be adversely affected by the Sponsors significant ownership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the ownership of our common stock continues to be highly concentrated, it may prevent minority stockholders from influencing significant corporate decisions and may result in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As of February 20, 2024, the Sponsors own approximately 62.1% of our outstanding common stock, and following completion of this offering, assuming no exercise of the underwriters option to purchase additional shares, will own approximately 53.6%, and retain the right to designate over a majority of our directors.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result, the Sponsors own shares sufficient for the majority vote over all matters requiring a stockholder vote. Our Stockholders Agreement contains agreements with respect to certain other matters, including the election of directors; mergers, consolidations and acquisitions; the sale of all or substantially all of our assets and other decisions affecting our capital structure; the amendment of our amended and restated certificate of incorporation and our amended and restated bylaws; the termination of our chief executive officer or designation of a new chief executive officer; changes in the composition of committees of our board of directors; entry into or changes to certain compensation agreements; and the issuance of additional shares of our common stock. This concentration of ownership, together with the Sponsors rights under our Stockholders Agreement, may delay, deter or prevent acts that would be favored by our other stockholders. The interests of the Sponsors may not always coincide with our interests or the interests of our other stockholders. For example, because the Sponsors purchased their shares at prices substantially below the price at which shares were sold to the public in our IPO and have held their shares for a longer period, they may be more interested in selling our Company to an acquirer than other investors or may want us to pursue strategies that deviate from the interests of other stockholders. In addition, under the Stockholders Agreement we have agreed, subject to certain exceptions, to indemnify the Sponsors, and various affiliated persons and indirect equity holders of the Sponsors, from losses arising out of any threatened or actual litigation by reason of the fact that the indemnified person is or was a holder of our common stock or of equity interests in Sotera Health Company. Public stockholders will not benefit from this indemnification provision. </w:t>
      </w:r>
    </w:p>
    <w:p>
      <w:pPr>
        <w:pStyle w:val="TextBody"/>
        <w:bidi w:val="0"/>
        <w:spacing w:before="240" w:after="0"/>
        <w:jc w:val="left"/>
        <w:rPr>
          <w:rFonts w:ascii="Times New Roman" w:hAnsi="Times New Roman"/>
          <w:sz w:val="20"/>
        </w:rPr>
      </w:pPr>
      <w:r>
        <w:rPr>
          <w:rFonts w:ascii="Times New Roman" w:hAnsi="Times New Roman"/>
          <w:sz w:val="20"/>
        </w:rPr>
        <w:t xml:space="preserve">This concentration of ownership, together with the Sponsors rights under our Stockholders Agreement, may also have the effect of delaying, preventing or deterring a change in control. As a result, the market price of our common stock could decline or stockholders might not receive a premium over the then-current market price of our common stock upon a change in control. In addition, this concentration of ownership, together with the Sponsors rights under our Stockholders Agreement, may adversely affect the trading price of our common stock because investors may perceive disadvantages in owning shares in a company with significant stockholders with correspondingly significant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of our stockholders have the right to engage or invest in the same or similar businesses as us. </w:t>
      </w:r>
    </w:p>
    <w:p>
      <w:pPr>
        <w:pStyle w:val="TextBody"/>
        <w:bidi w:val="0"/>
        <w:spacing w:before="120" w:after="0"/>
        <w:jc w:val="left"/>
        <w:rPr>
          <w:rFonts w:ascii="Times New Roman" w:hAnsi="Times New Roman"/>
          <w:sz w:val="20"/>
        </w:rPr>
      </w:pPr>
      <w:r>
        <w:rPr>
          <w:rFonts w:ascii="Times New Roman" w:hAnsi="Times New Roman"/>
          <w:sz w:val="20"/>
        </w:rPr>
        <w:t xml:space="preserve">The Sponsors have other investments and business activities in addition to their ownership of us. The Sponsors have the right, and have no duty to abstain from exercising such right, to engage or invest in the same or similar businesses as us, do business with any of our customers or suppliers or employ or otherwise engage any of our officers, directors or employees. If the Sponsors or any of their officers, directors or employees acquire knowledge of a potential transaction that could be a corporate opportunity, they have no duty, to the fullest extent permitted by law, to offer such corporate opportunity to us, our stockholders or our affiliates. This right could adversely impact our business, prospects, financial condition or results of operations if attractive business opportunities are procured by the Sponsors or another party for their own benefit rather than for ours.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any of our directors who is also a director, officer or employee of any Sponsor acquires knowledge of a corporate opportunity or is offered a corporate opportunity, such person is deemed to have fully satisfied such persons fiduciary duties owed to us and is not liable to us, to the fullest extent permitted by law, if such Sponsor pursues or acquires the corporate opportunity or does not present the corporate opportunity to us, provided that this knowledge was not acquired solely in such persons capacity as our director and such person acts in good faith.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provisions in our amended and restated certificate of incorporation, amended and restated bylaws and our Stockholders Agreement, as well as Delaware law, could discourage a change in control of our company or a change in our management.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and amended and restated bylaws, our Stockholders Agreement and Delaware law contain provisions that might discourage, delay or prevent a merger, acquisition, or other change in control that stockholders may consider favorable, including transactions in which our stockholders might otherwise receive a premium for shares of our common stock. These provisions may also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prevent or frustrate attempts by our stockholders to replace or remove our management. 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liability of, and providing indemnification to, our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establishing a classified board of directors with three-year staggered terms, which could delay the ability of stockholders to change the membership of a majority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directors may be removed only for cause by the affirmative vote of the holders of at least 75% of the voting power of our outstanding common stock; provided that so long as investment funds and entities affiliated with either Warburg Pincus or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determination of the number of directors on our board of directors and the filling of vacancies or newly created seats on the board to our board of directors then in office; provided that for so long as investment funds and entities affiliated with either Warburg Pincus or GTCR have the right to designate at least one director for election to our board of directors, (i) any vacancies will be filled in accordance with the designation provisions set forth in the Stockholders Agreement and (ii) the number of directors shall not exceed eleven without the consent of Warburg Pincus or GTCR;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advance notice requirements applicable to stockholders for matters to be brought before a meeting of stockholders and requirements as to the form and content of a stockholders notice; provided that no advance notice shall be required for nominations of candidates for election to our board of directors pursuant to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requiring the affirmative vote of at least 66 2/3% of the voting power of our outstanding common stock to amend certain provisions of our amended and restated certificate of incorporation and amended and restated bylaws; provided that so long as investment funds and entities affiliated with either Warburg Pincus or GTCR, collectively, hold at least a majority of our outstanding capital stock, only a majority stockholder vote requirement would apply to such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either Warburg Pincus or GTCR have the right (individually) to designate at least three directors for election to our board of directors, certain board approvals, including amendments to our amended and restated certificate of incorporation or amended and restated bylaws and certain specified corporate transactions, including certain acquisitions, mergers, other business combination transactions and dispositions, may be effected only with the affirmative vote of 75% of our board of directors, in addition to any other vote required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providing that for so long as investment funds and entities affiliated with Warburg Pincus have the right to designate at least one director for election to our board of directors and for so long as investment funds and entities affiliated with GTCR have the right to designate one director for election to our board of directors, in each case, a quorum of our board of directors (and committees of the board of directors on which a director designated by Warburg Pincus or GTCR will serve) will not exist without at least one director designee of each of Warburg Pincus and GTCR present at such meeting; provided that if a meeting of our board of directors (or a committee of the board of directors) fails to achieve a quorum due to the absence of a director designee of Warburg Pincus or GTCR, as applicable, the presence of a director designee of Warburg Pincus or GTCR, as applicable, will not be required in order for a quorum to exist at the next duly noticed meeting of our board of directors (or a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to issue blank check preferred stock without stockholder approval, which could be used to dilute the stock ownership of a potential hostile acquirer or adopt a stockholder rights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requirement that our stockholders may only take action at annual or special meetings of our stockholders and may not act by written consent; provided that, for so long as investment funds and entities affiliated with either Warburg Pincus or GTCR, collectively, beneficially own a majority of our outstanding capital stock,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ability of stockholders to call and bring business before special meetings; provided that for so long as investment funds and entities affiliated with either Warburg Pincus or GTCR, collectively, beneficially own a majority of our outstanding capital stock, special meetings of our stockholders may be called by the affirmative vote of the holders of a majority of our outstanding voting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the forum to the Delaware Court of Chancery or Federal Court for certain types of actions and proceedings that may be initiated against us by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contains a provision that provides us with protections similar to Section 203 of the Delaware General Corporation Law (DGCL), and prevents us from engaging in a business combination with a person (excluding the Sponsors and any of their respective direct or indirect transferees and any group as to which such persons are a party) who acquires at least 15% of our common stock for a period of three years from the date such person acquired such common stock, unless board or stockholder approval is obtained prior to the acquisition.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might discourage, delay or prevent a change in control of our company or a change in our management. For example, because investment funds and entities affiliated with either Warburg Pincus or GTCR together own a majority of the voting power of our common stock, they could prevent a third party from acquiring us, even if the third partys offer may be considered beneficial by many of our stockholders. The existence of these provisions could adversely affect the voting power of holders of common stock and limit the price that investors might be willing to pay in the future for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amended and restated certificate of incorporation designates specific courts as the exclusive forum for certain litigation that may be initiated by our stockholders, which could limit our stockholders abilities to obtain a favorable judicial forum for disputes with us or our directors, officers or employees.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(the Delaware Forum Provision). Notwithstanding the foregoing, our amended and restated certificate of incorporation provides that the Delaware Forum Provision will not apply to suits brought to enforce a duty or liability created by the Exchange Act of 1934, as amended (the Exchange Act). Section 27 of the Exchange Act creates exclusive federal jurisdiction over all suits brought to enforce any duty or liability created by the Exchange Act or the rules and regulations thereunder. Our amended and restated certificate of incorporation further provides that unless we consent in writing to the selection of an alternative forum, the federal district courts of the United States of America shall, to the fullest extent permitted by law, be the sole and exclusive forum for resolving any complaint asserting a cause of action arising under the Securities Act (the Federal Forum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Delaware Forum Provision and the Federal Forum Provision may limit a stockholders ability to bring a claim in a judicial forum that the stockholder believes might be favorable for disputes with us or our directors, officers or other employees, which may discourage lawsuits against us and our directors, officers and other employees. Alternatively, if a court were to find the Delaware Forum Provision or the Federal Forum Provision to be inapplicable or unenforceable in an action, we may incur additional costs associated with resolving such action in other jurisdictions, which could harm our business, financial condition or results of operations. Any person or entity purchasing or otherwise acquiring any interest in our shares of capital stock shall be deemed to have notice of and consented to the Delaware Forum Provision and the Federal Forum Provision, but will not be deemed to have waived our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do not anticipate paying any dividends on our common stock in the foreseeable future, and, consequently, stockholders ability to achieve a return on their investment will depend on appreciation in the price of our common stock. </w:t>
      </w:r>
    </w:p>
    <w:p>
      <w:pPr>
        <w:pStyle w:val="TextBody"/>
        <w:bidi w:val="0"/>
        <w:spacing w:before="120" w:after="0"/>
        <w:jc w:val="left"/>
        <w:rPr>
          <w:rFonts w:ascii="Times New Roman" w:hAnsi="Times New Roman"/>
          <w:sz w:val="20"/>
        </w:rPr>
      </w:pPr>
      <w:r>
        <w:rPr>
          <w:rFonts w:ascii="Times New Roman" w:hAnsi="Times New Roman"/>
          <w:sz w:val="20"/>
        </w:rPr>
        <w:t xml:space="preserve">We do not expect to declare or pay dividends on our common stock in the foreseeable future. We currently expect to use any cash flow generated by operations to pay for our operations, repay existing indebtedness and grow our business. Any decisions to declare and pay dividends in the future will be made at the discretion of our board of directors and will depend on, among other things, our results of operations, financial condition, cash requirements, contractual restrictions, restrictions imposed by applicable law and other factors that our board of directors may deem relevant. Our ability to pay dividends on our common stock is limited by the terms of our senior secured first lien credit facilities (the Senior Secured Credit Facilities). As a result, capital appreciation, if any, of our common stock will be the sole source of potential gain for the foreseeable future, and stockholders will have to sell some or all of their common stock holdings to generate cash flow from their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suptx798575_6"/>
      <w:bookmarkEnd w:id="10"/>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and any documents incorporated by reference in this prospectus supplement and accompanying prospectus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and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supplement and accompanying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1" w:name="suptx798575_7"/>
      <w:bookmarkEnd w:id="11"/>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supplement by each of the selling stockholders covered by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supplement and common stock issuable in connection with outstanding RSUs, which will vest within 60 days of this prospectus supplement,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2915" w:type="dxa"/>
        <w:jc w:val="center"/>
        <w:tblInd w:w="0" w:type="dxa"/>
        <w:tblLayout w:type="fixed"/>
        <w:tblCellMar>
          <w:top w:w="0" w:type="dxa"/>
          <w:left w:w="0" w:type="dxa"/>
          <w:bottom w:w="0" w:type="dxa"/>
          <w:right w:w="0" w:type="dxa"/>
        </w:tblCellMar>
      </w:tblPr>
      <w:tblGrid>
        <w:gridCol w:w="3170"/>
        <w:gridCol w:w="120"/>
        <w:gridCol w:w="60"/>
        <w:gridCol w:w="1220"/>
        <w:gridCol w:w="60"/>
        <w:gridCol w:w="120"/>
        <w:gridCol w:w="60"/>
        <w:gridCol w:w="560"/>
        <w:gridCol w:w="275"/>
        <w:gridCol w:w="60"/>
        <w:gridCol w:w="60"/>
        <w:gridCol w:w="1100"/>
        <w:gridCol w:w="60"/>
        <w:gridCol w:w="120"/>
        <w:gridCol w:w="60"/>
        <w:gridCol w:w="1100"/>
        <w:gridCol w:w="60"/>
        <w:gridCol w:w="120"/>
        <w:gridCol w:w="60"/>
        <w:gridCol w:w="560"/>
        <w:gridCol w:w="275"/>
        <w:gridCol w:w="60"/>
        <w:gridCol w:w="60"/>
        <w:gridCol w:w="1100"/>
        <w:gridCol w:w="60"/>
        <w:gridCol w:w="120"/>
        <w:gridCol w:w="60"/>
        <w:gridCol w:w="1100"/>
        <w:gridCol w:w="60"/>
        <w:gridCol w:w="120"/>
        <w:gridCol w:w="60"/>
        <w:gridCol w:w="560"/>
        <w:gridCol w:w="275"/>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35" w:type="dxa"/>
            <w:gridSpan w:val="22"/>
            <w:tcBorders>
              <w:bottom w:val="single" w:sz="8" w:space="0" w:color="000000"/>
            </w:tcBorders>
            <w:tcMar>
              <w:bottom w:w="28" w:type="dxa"/>
            </w:tcMar>
            <w:vAlign w:val="bottom"/>
          </w:tcPr>
          <w:p>
            <w:pPr>
              <w:pStyle w:val="TableContents"/>
              <w:bidi w:val="0"/>
              <w:spacing w:before="0" w:after="283"/>
              <w:jc w:val="center"/>
              <w:rPr>
                <w:b/>
              </w:rPr>
            </w:pPr>
            <w:r>
              <w:rPr>
                <w:b/>
              </w:rPr>
              <w:t>Shares Beneficially Owned After the Offering</w:t>
            </w:r>
          </w:p>
        </w:tc>
        <w:tc>
          <w:tcPr>
            <w:tcW w:w="27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 xml:space="preserve">Shares Beneficially </w:t>
              <w:br/>
              <w:t xml:space="preserve">Owned Prior to </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Assuming No Exercise</w:t>
              <w:br/>
              <w:t xml:space="preserve">of Underwriters </w:t>
              <w:br/>
              <w:t>Option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30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 xml:space="preserve">Assuming Full Exercise </w:t>
              <w:br/>
              <w:t>of Underwriters Option</w:t>
            </w:r>
          </w:p>
        </w:tc>
        <w:tc>
          <w:tcPr>
            <w:tcW w:w="275" w:type="dxa"/>
            <w:tcBorders/>
            <w:vAlign w:val="bottom"/>
          </w:tcPr>
          <w:p>
            <w:pPr>
              <w:pStyle w:val="TableContents"/>
              <w:bidi w:val="0"/>
              <w:spacing w:before="0" w:after="283"/>
              <w:jc w:val="left"/>
              <w:rPr/>
            </w:pPr>
            <w:r>
              <w:rPr/>
              <w:t> </w:t>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Held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w:t>
              <w:br/>
              <w:t>Offered</w:t>
              <w:br/>
              <w:t>Hereby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br/>
              <w:t>of Shares</w:t>
              <w:br/>
              <w:t>Held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r>
          </w:p>
        </w:tc>
        <w:tc>
          <w:tcPr>
            <w:tcW w:w="27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18"/>
              </w:rPr>
            </w:pPr>
            <w:r>
              <w:rPr>
                <w:rFonts w:ascii="Times New Roman" w:hAnsi="Times New Roman"/>
                <w:b/>
                <w:sz w:val="18"/>
              </w:rPr>
              <w:t>5% Stockholders:</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18"/>
              </w:rPr>
            </w:pPr>
            <w:r>
              <w:rPr>
                <w:rFonts w:ascii="Times New Roman" w:hAnsi="Times New Roman"/>
                <w:sz w:val="18"/>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14,429,880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90,987,435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32.17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16,594,363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88,822,952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31.40</w:t>
            </w:r>
          </w:p>
        </w:tc>
        <w:tc>
          <w:tcPr>
            <w:tcW w:w="27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9,619,920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60,658,289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21.45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11,062,908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59,215,301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20.94</w:t>
            </w:r>
          </w:p>
        </w:tc>
        <w:tc>
          <w:tcPr>
            <w:tcW w:w="27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18"/>
              </w:rPr>
            </w:pPr>
            <w:r>
              <w:rPr>
                <w:rFonts w:ascii="Times New Roman" w:hAnsi="Times New Roman"/>
                <w:b/>
                <w:sz w:val="18"/>
              </w:rPr>
              <w:t>Other Selling Stockholders: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6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Michael B. Petras, Jr.(4)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872,931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7,714,924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1,003,870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7,583,985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2.68</w:t>
            </w:r>
          </w:p>
        </w:tc>
        <w:tc>
          <w:tcPr>
            <w:tcW w:w="275"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18"/>
              </w:rPr>
            </w:pPr>
            <w:r>
              <w:rPr>
                <w:rFonts w:ascii="Times New Roman" w:hAnsi="Times New Roman"/>
                <w:sz w:val="18"/>
              </w:rPr>
              <w:t>Michael P. Rutz(5)</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72,269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637,067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83,109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626,227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Ann R. Klee(6)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5,750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71,023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the date of this prospectus supplement.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the date of this prospectus supplement.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2" w:name="suptx798575_8"/>
      <w:bookmarkEnd w:id="12"/>
      <w:r>
        <w:rPr>
          <w:rFonts w:ascii="Times New Roman" w:hAnsi="Times New Roman"/>
          <w:b/>
          <w:sz w:val="20"/>
        </w:rPr>
        <w:t xml:space="preserve">MATERIAL U.S. FEDERAL INCOME TAX CONSIDERATIONS FOR NON-U.S. 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describes the material U.S. federal income tax considerations that are likely to be relevant to the purchase, ownership, and disposition of shares of our common stock. This discussion deals only with shares of our common stock held as capital assets by investors who purchased shares of our common stock in this offering. This discussion does not cover all aspects of U.S. federal taxation that may be relevant to the purchase, ownership or disposition of shares of our common stock by prospective investors in light of their specific facts and circumstances. In particular, this discussion does not address all of the tax considerations that may be relevant to persons in special tax situations, including banks, insurance companies or other financial institutions, dealers in securities, persons that will hold (actually or constructively) more than 5% of our common stock, certain former citizens or residents of the United States, a person that is a controlled foreign corporation, a person that is a passive foreign investment company, persons holding shares of our common stock as part of a hedge, straddle, conversion or other integrated financial transaction, entities that are treated as partnerships for U.S. federal income tax purposes (or partners therein) or persons that are otherwise subject to special treatment under the Internal Revenue Code of 1986, as amended (the Code). This section does not address any other U.S. federal tax considerations (such as estate tax, gift taxes or the Medicare tax on net investment income) or any state, local or non-U.S. tax considerations. Except with respect to the discussion in Information Reporting and Backup Withholding, this section addresses only Non-U.S. Holders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You should consult your own tax advisors about the tax consequences of the purchase, ownership and disposition of shares of our common stock in light of your own particular circumstances, including the tax consequences under state, local, non-U.S. and other tax laws and the possible effects of any changes in applicable tax laws.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means a beneficial owner of shares of our common stock that is an individual citizen or resident of the United States, a domestic corporation or otherwise subject to U.S. federal income tax on a net basis with respect to income from our common stock. A Non-U.S. Holder means any beneficial owner of shares of our common stock that is not a U.S. Holder and is not an entity that is treated as a partnership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the tax laws of the United States, including the Code, existing and proposed regulations, and administrative and judicial interpretations, all as currently in effect. Such authorities may be repealed, revoked, modified or subject to differing interpretations, possibly on a retroactive basis, so as to result in U.S. federal income tax consequences different from those discussed below. </w:t>
      </w:r>
    </w:p>
    <w:p>
      <w:pPr>
        <w:pStyle w:val="TextBody"/>
        <w:bidi w:val="0"/>
        <w:spacing w:before="360" w:after="0"/>
        <w:jc w:val="left"/>
        <w:rPr>
          <w:rFonts w:ascii="Times New Roman" w:hAnsi="Times New Roman"/>
          <w:b/>
          <w:sz w:val="20"/>
        </w:rPr>
      </w:pPr>
      <w:r>
        <w:rPr>
          <w:rFonts w:ascii="Times New Roman" w:hAnsi="Times New Roman"/>
          <w:b/>
          <w:sz w:val="20"/>
        </w:rPr>
        <w:t xml:space="preserve">Dividends </w:t>
      </w:r>
    </w:p>
    <w:p>
      <w:pPr>
        <w:pStyle w:val="TextBody"/>
        <w:bidi w:val="0"/>
        <w:spacing w:before="120" w:after="0"/>
        <w:jc w:val="left"/>
        <w:rPr>
          <w:rFonts w:ascii="Times New Roman" w:hAnsi="Times New Roman"/>
          <w:sz w:val="20"/>
        </w:rPr>
      </w:pPr>
      <w:r>
        <w:rPr>
          <w:rFonts w:ascii="Times New Roman" w:hAnsi="Times New Roman"/>
          <w:sz w:val="20"/>
        </w:rPr>
        <w:t xml:space="preserve">A distribution of cash or property with respect to shares of our common stock generally will be treated as a dividend to the extent paid out of our current or accumulated earnings and profits, as determined under U.S. federal income tax principles. If such a distribution exceeds our current and accumulated earnings and profits, the excess will be first treated as a tax-free return of the Non-U.S. Holders investment, up to the Non-U.S. Holders tax basis in the shares of our common stock, and thereafter as a capital gain subject to the tax treatment described below in Sale, Exchange or Other Taxable Disposition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generally will be subject to withholding of U.S. federal income tax at a 30% rate, or such lower rate as may be specified by an applicable tax treaty. </w:t>
      </w:r>
    </w:p>
    <w:p>
      <w:pPr>
        <w:pStyle w:val="TextBody"/>
        <w:bidi w:val="0"/>
        <w:spacing w:before="240" w:after="0"/>
        <w:jc w:val="left"/>
        <w:rPr>
          <w:rFonts w:ascii="Times New Roman" w:hAnsi="Times New Roman"/>
          <w:sz w:val="20"/>
        </w:rPr>
      </w:pPr>
      <w:r>
        <w:rPr>
          <w:rFonts w:ascii="Times New Roman" w:hAnsi="Times New Roman"/>
          <w:sz w:val="20"/>
        </w:rPr>
        <w:t xml:space="preserve">Even if a Non-U.S. Holder is eligible for a lower treaty rate, a withholding agent generally will be required to withhold at a 30% rate (rather than the lower treaty rate) unless the Non-U.S. Holder has furnished a valid Internal Revenue Service (IRS) Form W-8BEN or W-8BEN-E, or other documentary evidence establishing the Non-U.S. Holders entitlement to the lower treaty rate with respect to such dividend payments, and the withholding agent does not have actual knowledge or reason to know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under the U.S. tax rules known as the Foreign Account Tax Compliance Act (FATCA), a Non-U.S. Holder will generally be subject to a 30% U.S. withholding tax on dividends in respect of our common stock if the Non-U.S. Holder is not FATCA compliant or holds its common stock through a foreign financial institution that is not FATCA compliant.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is eligible for a reduced rate of U.S. federal withholding tax pursuant to an applicable income tax treaty or otherwise, the Non-U.S. Holder may obtain a refund of any excess amounts withheld by timely filing an appropriate claim for refund with the IRS. </w:t>
      </w:r>
    </w:p>
    <w:p>
      <w:pPr>
        <w:pStyle w:val="TextBody"/>
        <w:bidi w:val="0"/>
        <w:spacing w:before="240" w:after="0"/>
        <w:jc w:val="left"/>
        <w:rPr>
          <w:rFonts w:ascii="Times New Roman" w:hAnsi="Times New Roman"/>
          <w:sz w:val="20"/>
        </w:rPr>
      </w:pPr>
      <w:r>
        <w:rPr>
          <w:rFonts w:ascii="Times New Roman" w:hAnsi="Times New Roman"/>
          <w:sz w:val="20"/>
        </w:rPr>
        <w:t xml:space="preserve">Investors should consult their own tax advisors about how these information reporting and withholding tax rules may apply to their investment in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Taxable Disposition of Common Stock </w:t>
      </w:r>
    </w:p>
    <w:p>
      <w:pPr>
        <w:pStyle w:val="TextBody"/>
        <w:bidi w:val="0"/>
        <w:spacing w:before="120" w:after="0"/>
        <w:jc w:val="left"/>
        <w:rPr>
          <w:rFonts w:ascii="Times New Roman" w:hAnsi="Times New Roman"/>
          <w:sz w:val="20"/>
        </w:rPr>
      </w:pPr>
      <w:r>
        <w:rPr>
          <w:rFonts w:ascii="Times New Roman" w:hAnsi="Times New Roman"/>
          <w:sz w:val="20"/>
        </w:rPr>
        <w:t xml:space="preserve">Non-U.S. Holders generally will not be subject to U.S. federal income tax with respect to gain recognized on a sale, exchange or other taxable disposition of shares of our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are required to be filed with the IRS with respect to payments made to certain U.S. and Non-U.S. Holders in connection with distributions or the sale or other disposition of our common stock. In addition, certain U.S. Holders may be subject to backup withholding tax in respect of such payments if they do not provide their taxpayer identification numbers to the applicable withholding agent, fail to certify that they are not subject to backup withholding tax or otherwise fail to comply with applicable backup withholding tax rules. Non-U.S. Holders may be required to comply with applicable certification procedures to establish that they are Non-U.S. Holders in order to avoid the application of certain information reporting requirements or backup withholding tax. Any amount paid as backup withholding may be creditable against the holders U.S. federal income tax liability or allowed as a refund, provided that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3" w:name="suptx798575_9"/>
      <w:bookmarkEnd w:id="13"/>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do not currently expect to pay any dividends on our common stock. Instead, we intend to use any future earnings for the operation and growth of our business and the repayment of indebtedness. </w:t>
      </w:r>
    </w:p>
    <w:p>
      <w:pPr>
        <w:pStyle w:val="TextBody"/>
        <w:bidi w:val="0"/>
        <w:spacing w:before="240" w:after="0"/>
        <w:jc w:val="left"/>
        <w:rPr>
          <w:rFonts w:ascii="Times New Roman" w:hAnsi="Times New Roman"/>
          <w:sz w:val="20"/>
        </w:rPr>
      </w:pPr>
      <w:r>
        <w:rPr>
          <w:rFonts w:ascii="Times New Roman" w:hAnsi="Times New Roman"/>
          <w:sz w:val="20"/>
        </w:rPr>
        <w:t xml:space="preserve">Future cash dividends, if any, will be at the discretion of our board of directors and will depend upon, among other things, our financial condition, earnings, capital requirements, level of indebtedness, statutory and contractual restrictions applicable to the payment of dividends and other considerations that our board of directors may deem relevant. The timing and amount of future dividend payments will be at the discretion of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holding company and have no direct operations, we will only be able to pay dividends from our available cash on hand and any funds we receive from our subsidiaries. The agreements governing our existing indebtedness contain negative covenants that limit, among other things, our ability to pay cash dividends on our common stock, and the terms of any future loan agreement into which we may enter or any additional debt securities we may issue are likely to contain similar restrictions on the payment of dividends. In addition, Delaware law imposes requirements that may restrict our ability to pay dividends. See Risk FactorsRisks Related to this Offering and Ownership of Our Common StockWe do not anticipate paying any dividends on our common stock in the foreseeable future, and, consequently, your ability to achieve a return on your investment will depend on appreciation in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For a discussion of the application of withholding taxes on dividends, see Material U.S. Federal Income Tax Considerations for Non-U.S.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4" w:name="suptx798575_10"/>
      <w:bookmarkEnd w:id="14"/>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are offering the shares of common stock described in this prospectus supplement through a number of underwriters. J.P. Morgan Securities LLC Goldman Sachs &amp; Co. LLC, Citigroup Global Markets Inc. and Jefferies LLC are acting as representatives of the underwriters. We and the selling stockholders have entered into an underwriting agreement with the underwriters. Subject to the terms and conditions of the underwriting agreement, the selling stockholders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27"/>
        <w:gridCol w:w="280"/>
        <w:gridCol w:w="1132"/>
      </w:tblGrid>
      <w:tr>
        <w:trPr/>
        <w:tc>
          <w:tcPr>
            <w:tcW w:w="5527" w:type="dxa"/>
            <w:tcBorders/>
            <w:vAlign w:val="center"/>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5527" w:type="dxa"/>
            <w:tcBorders/>
            <w:vAlign w:val="bottom"/>
          </w:tcPr>
          <w:p>
            <w:pPr>
              <w:pStyle w:val="TableContents"/>
              <w:bidi w:val="0"/>
              <w:spacing w:before="0" w:after="283"/>
              <w:jc w:val="left"/>
              <w:rPr>
                <w:b/>
              </w:rPr>
            </w:pPr>
            <w:r>
              <w:rPr>
                <w:b/>
              </w:rPr>
              <w:t>Name</w:t>
            </w:r>
          </w:p>
        </w:tc>
        <w:tc>
          <w:tcPr>
            <w:tcW w:w="280" w:type="dxa"/>
            <w:tcBorders/>
            <w:vAlign w:val="bottom"/>
          </w:tcPr>
          <w:p>
            <w:pPr>
              <w:pStyle w:val="TableContents"/>
              <w:bidi w:val="0"/>
              <w:spacing w:before="0" w:after="283"/>
              <w:jc w:val="left"/>
              <w:rPr/>
            </w:pPr>
            <w:r>
              <w:rPr/>
              <w:t>  </w:t>
            </w:r>
          </w:p>
        </w:tc>
        <w:tc>
          <w:tcPr>
            <w:tcW w:w="1132" w:type="dxa"/>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r>
      <w:tr>
        <w:trPr/>
        <w:tc>
          <w:tcPr>
            <w:tcW w:w="55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28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left"/>
              <w:rPr>
                <w:sz w:val="4"/>
                <w:szCs w:val="4"/>
              </w:rPr>
            </w:pPr>
            <w:r>
              <w:rPr>
                <w:sz w:val="4"/>
                <w:szCs w:val="4"/>
              </w:rPr>
            </w:r>
          </w:p>
        </w:tc>
      </w:tr>
      <w:tr>
        <w:trPr/>
        <w:tc>
          <w:tcPr>
            <w:tcW w:w="55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8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sz w:val="4"/>
                <w:szCs w:val="4"/>
              </w:rPr>
            </w:pPr>
            <w:r>
              <w:rPr>
                <w:sz w:val="4"/>
                <w:szCs w:val="4"/>
              </w:rPr>
            </w:r>
          </w:p>
        </w:tc>
      </w:tr>
      <w:tr>
        <w:trPr/>
        <w:tc>
          <w:tcPr>
            <w:tcW w:w="55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8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left"/>
              <w:rPr>
                <w:sz w:val="4"/>
                <w:szCs w:val="4"/>
              </w:rPr>
            </w:pPr>
            <w:r>
              <w:rPr>
                <w:sz w:val="4"/>
                <w:szCs w:val="4"/>
              </w:rPr>
            </w:r>
          </w:p>
        </w:tc>
      </w:tr>
      <w:tr>
        <w:trPr/>
        <w:tc>
          <w:tcPr>
            <w:tcW w:w="552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0" w:type="dxa"/>
            <w:tcBorders/>
            <w:vAlign w:val="bottom"/>
          </w:tcPr>
          <w:p>
            <w:pPr>
              <w:pStyle w:val="TableContents"/>
              <w:bidi w:val="0"/>
              <w:spacing w:before="0" w:after="283"/>
              <w:jc w:val="left"/>
              <w:rPr/>
            </w:pPr>
            <w:r>
              <w:rPr/>
              <w:t>  </w:t>
            </w:r>
          </w:p>
        </w:tc>
        <w:tc>
          <w:tcPr>
            <w:tcW w:w="1132" w:type="dxa"/>
            <w:tcBorders/>
            <w:vAlign w:val="bottom"/>
          </w:tcPr>
          <w:p>
            <w:pPr>
              <w:pStyle w:val="TableContents"/>
              <w:bidi w:val="0"/>
              <w:spacing w:before="0" w:after="283"/>
              <w:jc w:val="left"/>
              <w:rPr>
                <w:sz w:val="4"/>
                <w:szCs w:val="4"/>
              </w:rPr>
            </w:pPr>
            <w:r>
              <w:rPr>
                <w:sz w:val="4"/>
                <w:szCs w:val="4"/>
              </w:rPr>
            </w:r>
          </w:p>
        </w:tc>
      </w:tr>
      <w:tr>
        <w:trPr/>
        <w:tc>
          <w:tcPr>
            <w:tcW w:w="552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132" w:type="dxa"/>
            <w:tcBorders/>
            <w:vAlign w:val="bottom"/>
          </w:tcPr>
          <w:p>
            <w:pPr>
              <w:pStyle w:val="TableContents"/>
              <w:pBdr>
                <w:top w:val="single" w:sz="2" w:space="1" w:color="000000"/>
              </w:pBdr>
              <w:bidi w:val="0"/>
              <w:spacing w:before="0" w:after="0"/>
              <w:jc w:val="left"/>
              <w:rPr/>
            </w:pPr>
            <w:r>
              <w:rPr/>
              <w:t> </w:t>
            </w:r>
          </w:p>
        </w:tc>
      </w:tr>
      <w:tr>
        <w:trPr/>
        <w:tc>
          <w:tcPr>
            <w:tcW w:w="552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0" w:type="dxa"/>
            <w:tcBorders/>
            <w:shd w:fill="CCEEFF" w:val="clear"/>
            <w:vAlign w:val="bottom"/>
          </w:tcPr>
          <w:p>
            <w:pPr>
              <w:pStyle w:val="TableContents"/>
              <w:bidi w:val="0"/>
              <w:spacing w:before="0" w:after="283"/>
              <w:jc w:val="left"/>
              <w:rPr/>
            </w:pPr>
            <w:r>
              <w:rPr/>
              <w:t>  </w:t>
            </w:r>
          </w:p>
        </w:tc>
        <w:tc>
          <w:tcPr>
            <w:tcW w:w="1132" w:type="dxa"/>
            <w:tcBorders/>
            <w:shd w:fill="CCEEFF" w:val="clear"/>
            <w:vAlign w:val="bottom"/>
          </w:tcPr>
          <w:p>
            <w:pPr>
              <w:pStyle w:val="TableContents"/>
              <w:bidi w:val="0"/>
              <w:spacing w:before="0" w:after="283"/>
              <w:jc w:val="center"/>
              <w:rPr/>
            </w:pPr>
            <w:r>
              <w:rPr/>
              <w:t>25,000,000</w:t>
            </w:r>
          </w:p>
        </w:tc>
      </w:tr>
      <w:tr>
        <w:trPr/>
        <w:tc>
          <w:tcPr>
            <w:tcW w:w="5527"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pPr>
            <w:r>
              <w:rPr/>
              <w:t>  </w:t>
            </w:r>
          </w:p>
        </w:tc>
        <w:tc>
          <w:tcPr>
            <w:tcW w:w="1132" w:type="dxa"/>
            <w:tcBorders/>
            <w:vAlign w:val="bottom"/>
          </w:tcPr>
          <w:p>
            <w:pPr>
              <w:pStyle w:val="TableContents"/>
              <w:pBdr>
                <w:top w:val="double" w:sz="6" w:space="1" w:color="000000"/>
              </w:pBdr>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are committed to purchase all the common shares offered by the selling stockholders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propose to offer the common shares directly to the public at the public offering price set forth on the cover page of this prospectus supplement and to certain dealers at that price less a concession not in excess of $    per share. After the offering of the shares to the public, if all of the common shares are not sold at the public offering price, the underwriters may change the offering price and the other selling terms. The offering of the shares by the underwriters is subject to receipt and acceptance and subject to the underwriters right to reject any order in whole or in part. Sales of any shares made outside of the United States may be made by affiliates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an option to buy up to 3,750,000 additional shares of common stock from the selling stockholders to cover sales of shares by the underwriters which exceed the number of shares specified in the table above.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underwriting fee is equal to the public offering price per share of common stock less the amount paid by the underwriters to the selling stockholders per share of common stock. The underwriting fee is $    per share. The following table shows the per share and total underwriting discounts and commissions to be paid by the selling stockholders to the underwriters assuming both no exercise and full exercise of the underwriters option to purchase additional shares.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351"/>
        <w:gridCol w:w="593"/>
        <w:gridCol w:w="208"/>
        <w:gridCol w:w="839"/>
        <w:gridCol w:w="60"/>
        <w:gridCol w:w="593"/>
        <w:gridCol w:w="208"/>
        <w:gridCol w:w="839"/>
        <w:gridCol w:w="64"/>
      </w:tblGrid>
      <w:tr>
        <w:trPr/>
        <w:tc>
          <w:tcPr>
            <w:tcW w:w="4351" w:type="dxa"/>
            <w:tcBorders/>
            <w:vAlign w:val="center"/>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351"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 to</w:t>
              <w:br/>
              <w:t>purchase</w:t>
              <w:br/>
              <w:t>additional</w:t>
              <w:br/>
              <w:t>shares</w:t>
              <w:br/>
              <w:t>exercise</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  </w:t>
            </w:r>
          </w:p>
        </w:tc>
        <w:tc>
          <w:tcPr>
            <w:tcW w:w="10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 full</w:t>
              <w:br/>
              <w:t>option to</w:t>
              <w:br/>
              <w:t>purchase</w:t>
              <w:br/>
              <w:t>additional</w:t>
              <w:br/>
              <w:t>shares</w:t>
              <w:br/>
              <w:t>exercise</w:t>
            </w:r>
          </w:p>
        </w:tc>
        <w:tc>
          <w:tcPr>
            <w:tcW w:w="64" w:type="dxa"/>
            <w:tcBorders/>
            <w:vAlign w:val="bottom"/>
          </w:tcPr>
          <w:p>
            <w:pPr>
              <w:pStyle w:val="TableContents"/>
              <w:bidi w:val="0"/>
              <w:spacing w:before="0" w:after="283"/>
              <w:jc w:val="left"/>
              <w:rPr/>
            </w:pPr>
            <w:r>
              <w:rPr/>
              <w:t> </w:t>
            </w:r>
          </w:p>
        </w:tc>
      </w:tr>
      <w:tr>
        <w:trPr/>
        <w:tc>
          <w:tcPr>
            <w:tcW w:w="435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Share</w:t>
            </w:r>
          </w:p>
        </w:tc>
        <w:tc>
          <w:tcPr>
            <w:tcW w:w="59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593"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839"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83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351"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9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w:t>
            </w:r>
          </w:p>
        </w:tc>
        <w:tc>
          <w:tcPr>
            <w:tcW w:w="83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4351" w:type="dxa"/>
            <w:tcBorders/>
            <w:vAlign w:val="bottom"/>
          </w:tcPr>
          <w:p>
            <w:pPr>
              <w:pStyle w:val="TableContents"/>
              <w:bidi w:val="0"/>
              <w:spacing w:before="0" w:after="283"/>
              <w:jc w:val="left"/>
              <w:rPr>
                <w:sz w:val="4"/>
                <w:szCs w:val="4"/>
              </w:rPr>
            </w:pPr>
            <w:r>
              <w:rPr>
                <w:sz w:val="4"/>
                <w:szCs w:val="4"/>
              </w:rPr>
            </w:r>
          </w:p>
        </w:tc>
        <w:tc>
          <w:tcPr>
            <w:tcW w:w="59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93"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83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estimate that the total expenses of this offering, including registration, filing and listing fees, printing fees and legal and accounting expenses, but excluding the underwriting discounts and commissions, will be approximately $   million. </w:t>
      </w:r>
    </w:p>
    <w:p>
      <w:pPr>
        <w:pStyle w:val="TextBody"/>
        <w:bidi w:val="0"/>
        <w:spacing w:before="240" w:after="0"/>
        <w:jc w:val="left"/>
        <w:rPr>
          <w:rFonts w:ascii="Times New Roman" w:hAnsi="Times New Roman"/>
          <w:sz w:val="20"/>
        </w:rPr>
      </w:pPr>
      <w:r>
        <w:rPr>
          <w:rFonts w:ascii="Times New Roman" w:hAnsi="Times New Roman"/>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that, subject to certain exceptions, we will not, without the prior written consent of J.P. Morgan Securities LLC for a period of 60 days after the date of this prospectus supplement, (i) offer, pledge, sell, contract to sell, sell any option or contract to purchase, purchase any option or contract to sell, grant any option, right or warrant to purchase, lend, or otherwise transfer or dispose of, directly or indirectly, or publicly file with, the SEC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common stock or any such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executive officers, directors and the selling stockholders have entered into lock-up agreements with the underwriters pursuant to which each of them, subject to certain exceptions, for a period of 60 days after the date of this prospectus supplement, may not, without the prior written consent of J.P. Morgan Securities LLC, (i)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(ii) enter into any hedging, swap, or other agreement or transaction that transfers, in whole or in part, any of the economic consequences of ownership of the common stock or such other securities; (iii) make any demand for or exercise any right with respect to the registration of any shares of our common stock or any security convertible into or exercisable or exchangeable for our common stock, except as those demands or exercises do not involve any public disclosure or filing; or (iv) publicly disclose the intention to undertake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lock-up restrictions described in the immediately preceding paragraph are subject to certain exceptions including, without limitation: (i) transfers as part of a sale of lock-up securities in open market transactions after the closing of this offering, (ii) transfers to us in connection with the vesting, settlement, or exercise of restricted stock units, shares of restricted stock, options, warrants or other rights to purchase shares of common stock, (iii) transfers pursuant to an order of a court or regulatory agency related to the lock-up partys ownership of the lock-up securities; and (iv) transfers by pledging, hypothecating or otherwise granting a security interest in any lock-up securities as collateral and transfer such lock-up securities upon foreclosure, among others. </w:t>
      </w:r>
    </w:p>
    <w:p>
      <w:pPr>
        <w:pStyle w:val="TextBody"/>
        <w:bidi w:val="0"/>
        <w:spacing w:before="240" w:after="0"/>
        <w:jc w:val="left"/>
        <w:rPr>
          <w:rFonts w:ascii="Times New Roman" w:hAnsi="Times New Roman"/>
          <w:sz w:val="20"/>
        </w:rPr>
      </w:pPr>
      <w:r>
        <w:rPr>
          <w:rFonts w:ascii="Times New Roman" w:hAnsi="Times New Roman"/>
          <w:sz w:val="20"/>
        </w:rPr>
        <w:t xml:space="preserve">We and the selling stockholders have agreed to indemnify the underwriters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the selling stockholders, nor the underwriters make any representation or prediction as to the direction or magnitude of any effect that the transactions described above may have on the price of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Certain of the underwriters and/or certain of their affiliates are lenders, and/or act as agents or arrangers, under our Senior Secured Credit Facilities.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their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underwriters and their respective affiliates have provided, and may in the future provide, a variety of these services to the issuer and to persons and entities with relationships with the issuer, for which they received or will receive customary 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240" w:after="0"/>
        <w:jc w:val="left"/>
        <w:rPr>
          <w:rFonts w:ascii="Times New Roman" w:hAnsi="Times New Roman"/>
          <w:sz w:val="20"/>
        </w:rPr>
      </w:pPr>
      <w:r>
        <w:rPr>
          <w:rFonts w:ascii="Times New Roman" w:hAnsi="Times New Roman"/>
          <w:sz w:val="20"/>
        </w:rPr>
        <w:t xml:space="preserve">Other than in the United States, no action has been taken by us, the selling stockholders or the underwriters that would permit a public offering of the securities offered by this prospectus supplement in any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offers of shares may be made to the public in that Relevant Member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1(4) of the Prospectus Regulation, provided that no such offer of shares shall require the company or any underwriter to publish a prospectus pursuant to Article 3 of the Prospectus Regulation or supplement a prospectus pursuant to Article 23 of the Prospectus Regulation.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person in a Relevant Member State (other than a Relevant Member State where there is a permitted public offer) who initially acquires any shares or to whom any offer is made will be deemed to have represented, acknowledged and agreed to and with the company and the underwriters that it is a qualified investor within the meaning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Member State to qualified investors,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An offer to the public of any shares may not be made in the United Kingdom, except that an offer to the public in the United Kingdom of any shares may be made at any time under the following exemptions under the UK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legal entity which is a qualified investor as defined under the UK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150 natural or legal persons (other than qualified investors as defined under the UK Prospectus Regulation), subject to obtaining the prior consent of the representatives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section 86 of the Financial Services and Markets Act 2000 (as amended, FSMA);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Shares shall result in a requirement for the Issuer or any underwriter to publish a prospectus pursuant to section 85 of the FSMA or a supplemental prospectus pursuant to Article 23 of the UK Prospectus Regulation and each person who initially acquires any shares or to whom any offer is made will be deemed to have represented, acknowledged and agreed to the company and the underwriters that it is a qualified investor within the meaning of Article 2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shares being offered to a financial intermediary as that term is used in Article 1(4) of the UK Prospectus Regulation, each such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United Kingdom to qualified investors, in circumstances in which the prior consent of the underwriters has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The company, the underwriters and their affiliates will rely upon the truth and accuracy of the foregoing representations, acknowledgements and agreements.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FSMA. </w:t>
      </w:r>
    </w:p>
    <w:p>
      <w:pPr>
        <w:pStyle w:val="TextBody"/>
        <w:bidi w:val="0"/>
        <w:spacing w:before="240" w:after="0"/>
        <w:jc w:val="left"/>
        <w:rPr>
          <w:rFonts w:ascii="Times New Roman" w:hAnsi="Times New Roman"/>
          <w:sz w:val="20"/>
        </w:rPr>
      </w:pPr>
      <w:r>
        <w:rPr>
          <w:rFonts w:ascii="Times New Roman" w:hAnsi="Times New Roman"/>
          <w:sz w:val="20"/>
        </w:rPr>
        <w:t xml:space="preserve">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 </w:t>
      </w:r>
    </w:p>
    <w:p>
      <w:pPr>
        <w:pStyle w:val="TextBody"/>
        <w:bidi w:val="0"/>
        <w:spacing w:before="360" w:after="0"/>
        <w:jc w:val="left"/>
        <w:rPr>
          <w:rFonts w:ascii="Times New Roman" w:hAnsi="Times New Roman"/>
          <w:i/>
          <w:sz w:val="20"/>
        </w:rPr>
      </w:pPr>
      <w:r>
        <w:rPr>
          <w:rFonts w:ascii="Times New Roman" w:hAnsi="Times New Roman"/>
          <w:i/>
          <w:sz w:val="20"/>
        </w:rPr>
        <w:t xml:space="preserve">Notice of Prospective Investors in 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shares. The shares may not be publicly offered, directly or indirectly, in Switzerland within the meaning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Swiss Financial Services Act (FinSA) and no application has or will be made to admit the shares to trading on any trading venue (exchange or multilateral trading facility) in Switzerland. Neither this prospectus supplement nor any other offering or marketing material relating to the shares constitutes a prospectus pursuant to the FinSA, and neither this prospectus supplement nor any other offering or marketing material relating to the shares may be publicly distributed or otherwise made publicly available in Switzerland.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Markets Rules 2012 of the Dubai Financial Services Authority (DFSA). This prospectus supplement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Australia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 </w:t>
      </w:r>
    </w:p>
    <w:p>
      <w:pPr>
        <w:pStyle w:val="TextBody"/>
        <w:bidi w:val="0"/>
        <w:spacing w:before="240" w:after="0"/>
        <w:jc w:val="left"/>
        <w:rPr>
          <w:rFonts w:ascii="Times New Roman" w:hAnsi="Times New Roman"/>
          <w:sz w:val="20"/>
        </w:rPr>
      </w:pPr>
      <w:r>
        <w:rPr>
          <w:rFonts w:ascii="Times New Roman" w:hAnsi="Times New Roman"/>
          <w:sz w:val="20"/>
        </w:rPr>
        <w:t xml:space="preserve">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Notice to Prospective Investors in Hong Kong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Japan </w:t>
      </w:r>
    </w:p>
    <w:p>
      <w:pPr>
        <w:pStyle w:val="TextBody"/>
        <w:bidi w:val="0"/>
        <w:spacing w:before="120" w:after="0"/>
        <w:jc w:val="left"/>
        <w:rPr>
          <w:rFonts w:ascii="Times New Roman" w:hAnsi="Times New Roman"/>
          <w:sz w:val="20"/>
        </w:rPr>
      </w:pPr>
      <w:r>
        <w:rPr>
          <w:rFonts w:ascii="Times New Roman" w:hAnsi="Times New Roman"/>
          <w:sz w:val="20"/>
        </w:rPr>
        <w:t xml:space="preserve">The shares have not been and will not be registered pursuant to Article 4, Paragraph 1 of the Financial Instruments and Exchange Law of Japan.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 </w:t>
      </w:r>
    </w:p>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shares,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otherwise pursuant to, and in accordance with the conditions of, any other applicable provision of the SFA.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the shares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transferred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six months after that corporation or that trust has acquired the shares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 institutional investor or to a relevant person, or to any person arising from an offer referred to in Section 275(1A) or Section 276(4)(i)(B)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specified in Regulation 37A of the Securities and Futures (Offers of Investments) (Securities and Securities-based Derivatives Contracts) Regulations 2018.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5" w:name="suptx798575_11"/>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to be issued in this offering. Certain legal matters will be passed upon for the underwriters by Simpson Thacher &amp; Bartlett LLP, New York, New York. Certain legal matters with respect to the selling stockholders will be passed upon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6" w:name="suptx798575_12"/>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our Annual Report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7" w:name="suptx798575_13"/>
      <w:bookmarkEnd w:id="17"/>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a Form S-3 with the SEC under the Securities Act with respect to the common stock offered by this prospectus supplement and the accompanying prospectus. You should review the information and exhibits in the registration statement for further information about us and the securities that are being offered by this prospectus supplement and the accompanying prospectus. Statements in this prospectus supplement and the accompanying prospectus concerning any document we filed as an exhibit to the registration statement or that we otherwise filed with the SEC are not intended to be comprehensive and are qualified by reference to those filings. You should review the complete document to evaluate those statements.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supplement,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8" w:name="suptx798575_14"/>
      <w:bookmarkEnd w:id="18"/>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supplement the information we file with the SEC. This means that we are disclosing important information to you by referring to other documents. The information incorporated by reference is considered to be part of this prospectus supplement, except for any information superseded by information contained directly in this prospectus supplement.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pPr>
            <w:r>
              <w:rPr>
                <w:rFonts w:ascii="Times New Roman" w:hAnsi="Times New Roman"/>
                <w:sz w:val="20"/>
              </w:rPr>
              <w:t xml:space="preserve">our Definitive Proxy Statement on </w:t>
            </w:r>
            <w:hyperlink r:id="rId4">
              <w:r>
                <w:rPr>
                  <w:rStyle w:val="InternetLink"/>
                  <w:rFonts w:ascii="Times New Roman" w:hAnsi="Times New Roman"/>
                  <w:sz w:val="20"/>
                </w:rPr>
                <w:t>Schedule 14A</w:t>
              </w:r>
            </w:hyperlink>
            <w:r>
              <w:rPr>
                <w:rFonts w:ascii="Times New Roman" w:hAnsi="Times New Roman"/>
                <w:sz w:val="20"/>
              </w:rPr>
              <w:t xml:space="preserve">, filed with the SEC on April  13, 2023, as amended (solely to the extent specifically incorporated by reference into our 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2022).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supplement and we subsequently modify that statement or information with information contained in this prospectus supplement, the statement or information previously incorporated in this prospectus supplement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or oral request of such person, a copy of any or all of the documents referred to above which have been incorporated by reference in this prospectus supplement and the accompanying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supplement will not be sent, however, unless those exhibits have been specifically referenced in this prospectus supplement or the accompanying 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720" cy="584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tretch>
                      <a:fillRect/>
                    </a:stretch>
                  </pic:blipFill>
                  <pic:spPr bwMode="auto">
                    <a:xfrm>
                      <a:off x="0" y="0"/>
                      <a:ext cx="172720" cy="584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SOTERA HEALTH COMPANY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(the Company or we) may offer, issue and sell an indeterminate amount of our common stock, par value $0.01 per share (common stock), from time to time in one or more offerings. In addition, this prospectus relates to the resale of common stock of the Company that may be offered and sold from time to time in one or more offerings by the selling stockholders named in this prospectus. This prospectus describes some of the general terms that may apply to an offering of our common stock. The Company will not receive any of the proceeds from the sale of the common stock by the 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common stock may be offered in amounts, at prices and on other terms to be determined at the time of the offering and described in an accompanying prospectus supplement. You should read this prospectus, any related prospectus supplement and any documents incorporated by reference carefully before you invest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offer and sell common stock through one or more underwriters, dealers or agents, through underwriting syndicates managed or co-managed by one or more underwriters, or directly to purchasers, on a continuous or delayed basis. To the extent that any selling stockholder resells shares of our common stock, the selling stockholder may be required to provide you with this prospectus and a prospectus supplement identifying and containing specific information about the selling stockholder and the terms on which the common stock is offered. The prospectus supplement for each offering of common stock will describe in detail the plan of distribution for that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not an offer to sell our common stock, and it is not soliciting an offer to buy our common stock, in any state or other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Nasdaq Global Select Market (Nasdaq) under the symbol SHC. </w:t>
      </w:r>
    </w:p>
    <w:p>
      <w:pPr>
        <w:pStyle w:val="TextBody"/>
        <w:bidi w:val="0"/>
        <w:spacing w:before="240" w:after="0"/>
        <w:jc w:val="left"/>
        <w:rPr>
          <w:rFonts w:ascii="Times New Roman" w:hAnsi="Times New Roman"/>
          <w:b/>
          <w:sz w:val="24"/>
        </w:rPr>
      </w:pPr>
      <w:r>
        <w:rPr>
          <w:rFonts w:ascii="Times New Roman" w:hAnsi="Times New Roman"/>
          <w:b/>
          <w:sz w:val="24"/>
        </w:rPr>
        <w:t xml:space="preserve">Investing in our common stock involves a number of risks. Before you make your investment decision, you should consider the risk factors described in any applicable prospectus supplement and in the documents we file from time to time with the Securities and Exchange Commission (the SEC).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or any accompanying prospectus supplement is truthful or complete. Any representation to the contrary is a criminal offense.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February 27,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9" w:name="toc"/>
      <w:bookmarkEnd w:id="19"/>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pPr>
            <w:hyperlink w:anchor="tx798575_1">
              <w:r>
                <w:rPr>
                  <w:rStyle w:val="InternetLink"/>
                  <w:rFonts w:ascii="Times New Roman" w:hAnsi="Times New Roman"/>
                  <w:sz w:val="20"/>
                </w:rPr>
                <w:t>ABOUT THIS PROSPECTUS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i</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2">
              <w:r>
                <w:rPr>
                  <w:rStyle w:val="InternetLink"/>
                  <w:rFonts w:ascii="Times New Roman" w:hAnsi="Times New Roman"/>
                  <w:sz w:val="20"/>
                </w:rPr>
                <w:t>ABOUT SOTERA HEALTH COMPANY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3">
              <w:r>
                <w:rPr>
                  <w:rStyle w:val="InternetLink"/>
                  <w:rFonts w:ascii="Times New Roman" w:hAnsi="Times New Roman"/>
                  <w:sz w:val="20"/>
                </w:rPr>
                <w:t>CAUTIONARY NOTE REGARDING 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5">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6">
              <w:r>
                <w:rPr>
                  <w:rStyle w:val="InternetLink"/>
                  <w:rFonts w:ascii="Times New Roman" w:hAnsi="Times New Roman"/>
                  <w:sz w:val="20"/>
                </w:rPr>
                <w:t>DESCRIPTION OF COMMON STOCK</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7">
              <w:r>
                <w:rPr>
                  <w:rStyle w:val="InternetLink"/>
                  <w:rFonts w:ascii="Times New Roman" w:hAnsi="Times New Roman"/>
                  <w:sz w:val="20"/>
                </w:rPr>
                <w:t>SELLING STOCKHOLDERS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8">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9">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0">
              <w:r>
                <w:rPr>
                  <w:rStyle w:val="InternetLink"/>
                  <w:rFonts w:ascii="Times New Roman" w:hAnsi="Times New Roman"/>
                  <w:sz w:val="20"/>
                </w:rPr>
                <w:t>INCORPORATION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54" w:type="dxa"/>
            <w:tcBorders/>
          </w:tcPr>
          <w:p>
            <w:pPr>
              <w:pStyle w:val="TableContents"/>
              <w:bidi w:val="0"/>
              <w:spacing w:before="0" w:after="0"/>
              <w:jc w:val="left"/>
              <w:rPr/>
            </w:pPr>
            <w:hyperlink w:anchor="tx798575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We and the selling stockholders have not authorized anyone to provide you with information different from that contained or incorporated by reference in this prospectus, any amendment or supplement to this prospectus or in any free writing prospectus prepared by us or on our behalf. We do not accept any responsibility for, nor can we provide any assurance as to the reliability of, any information other than the information contained or incorporated by reference in this prospectus, any amendment or supplement to this prospectus or in any free writing prospectus prepared by us or on our behalf. We and the selling stockholders are not making an offer to sell these securities in any jurisdiction where the offer or sale is not permitted.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assume that the information appearing in this prospectus, any accompanying prospectus supplement or in any free writing prospectus prepared by us is accurate only as of their respective dates or on the date or dates that are specified in such documents, and that any information in documents that we have incorporated by reference is accurate only as of the date of such document incorporated by reference. Our business, financial condition, liquidity, results of operations and prospects may have changed since those dates. Information contained in our website does not constitute part of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carefully read both this prospectus, any accompanying prospectus supplement and any free writing prospectus prepared by or on behalf of us, together with the additional information described under the heading Where You Can Find More Information.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0" w:name="tx798575_1"/>
      <w:bookmarkEnd w:id="20"/>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Unless expressly indicated or the context requires otherwise, the terms Sotera Health, Company, we, us, and our in this document refer to Sotera Health Company, a Delaware corporation, and, where appropriate, its subsidiaries on a consolidated basis.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using an automatic shelf registration process as a well-known seasoned issuer as defined in Rule 405 of the Securities Act of 1933, as amended (the Securities Act). Under this shelf registration process, we and/or the selling stockholders named in this prospectus may periodically offer and sell the common stock described in this prospectus in one or more offerings. This prospectus only provides a general description of our common stock that we and/or the selling stockholders may offer. Each time we and/or any selling stockholders offer common stock, to the extent applicable, we and/or any selling stockholders may be required to provide you with this prospectus, and in certain cases, a prospectus supplement that will contain specific information about the terms of that offering. The prospectus supplement may also add, delete, update or change information, including information about us, contained in this prospectus. Therefore, before making your investment decision, you should carefully read: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documents referred to in Where You Can Find More Information and Incorporation by Reference.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1" w:name="tx798575_2"/>
      <w:bookmarkEnd w:id="21"/>
      <w:r>
        <w:rPr>
          <w:rFonts w:ascii="Times New Roman" w:hAnsi="Times New Roman"/>
          <w:b/>
          <w:sz w:val="20"/>
        </w:rPr>
        <w:t xml:space="preserve">ABOUT SOTERA HEALTH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leading global provider of mission-critical end-to-end sterilization solutions, lab testing and advisory services for the healthcare industry. We are driven by our mission: Safeguarding Global Health®. We provide end-to-end sterilization as well as microbiological and analytical lab testing and advisory services to help ensure that medical, pharmaceutical and food products are safe for healthcare practitioners, patients and consumers in the United States and around the world. Our customers include over 40 of the top 50 medical device companies and nine of the top ten global pharmaceutical companies (based on revenue). Our services are an essential aspect of our customers manufacturing process and supply chains, helping to ensure sterilized medical products reach healthcare practitioners and patients. Most of these services are necessary for our customers to satisfy applicable government requirements. </w:t>
      </w:r>
    </w:p>
    <w:p>
      <w:pPr>
        <w:pStyle w:val="TextBody"/>
        <w:bidi w:val="0"/>
        <w:spacing w:before="240" w:after="0"/>
        <w:jc w:val="left"/>
        <w:rPr>
          <w:rFonts w:ascii="Times New Roman" w:hAnsi="Times New Roman"/>
          <w:sz w:val="20"/>
        </w:rPr>
      </w:pPr>
      <w:r>
        <w:rPr>
          <w:rFonts w:ascii="Times New Roman" w:hAnsi="Times New Roman"/>
          <w:sz w:val="20"/>
        </w:rPr>
        <w:t xml:space="preserve">We are a trusted partner to approximately 5,000 customers in over 50 countries. We give our customers confidence that their products meet regulatory, safety and effectiveness requirements. With our industry-recognized scientific and technological expertise, we help to ensure the safety of millions of patients and healthcare practitioners around the world every year. Across our 63 facilities worldwide, we have over 3,000 employees who are dedicated to safety and quality. </w:t>
      </w:r>
    </w:p>
    <w:p>
      <w:pPr>
        <w:pStyle w:val="TextBody"/>
        <w:bidi w:val="0"/>
        <w:spacing w:before="240" w:after="0"/>
        <w:jc w:val="left"/>
        <w:rPr>
          <w:rFonts w:ascii="Times New Roman" w:hAnsi="Times New Roman"/>
          <w:sz w:val="20"/>
        </w:rPr>
      </w:pPr>
      <w:r>
        <w:rPr>
          <w:rFonts w:ascii="Times New Roman" w:hAnsi="Times New Roman"/>
          <w:sz w:val="20"/>
        </w:rPr>
        <w:t xml:space="preserve">Sotera Health Company was incorporated in Delaware in November 2017 as the parent company for Sterigenics, Nordion and Nelson Labs. Our corporate headquarters and principal executive offices are located at 9100 South Hills Boulevard, Suite 300, Broadview Heights, Ohio 44147. Our telephone number is (440) 262-1410.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2" w:name="tx798575_3"/>
      <w:bookmarkEnd w:id="22"/>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any accompanying prospectus supplement and any documents incorporated by reference may contain or incorporate by reference forward-looking statements within the meaning of the Private Securities Litigation Reform Act of 1995. Forward-looking statements are often characterized by the use of words such as believes, estimates, expects, projects, may, intends, plans or anticipates, or by discussions of strategy, plans or intentions. Such forward-looking statements involve known and unknown risks, uncertainties and other important factors that could cause our actual results, performance or achievements, or industry results, to differ materially from historical results or any future results, performance or achievements expressed, suggested or implied by such forward-looking statements. Such risks and uncertainties include, but are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disruption in the availability or supply of, or increases in the price of, ethylene oxide (EO), Cobalt-60 (Co-60) or our other direct materials, services and supplies, including as a result of geopolitical instability and/or sanctions against Russia by the United States, Canada, United Kingdom and European Union;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in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environmental, health and safety regulations or preferences, and general economic, social and business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and safety risks associated with the use, storage, transportation and disposal of potentially hazardous materials such as EO and Co-60;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and outcome of current and future legal proceedings and liability claims, including litigation related to the use, emissions and releases of EO from our facilities in Illinois, Georgia and New Mexico and the possibility that other claims will be made in the future relating to these or other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allegations of our failure to properly perform services and potential product liability claims, recalls, penalties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the extensive regulatory requirements to which we are subject, the related costs, and any failures to receive or maintain, or delays in receiving, required clearances or approvals;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in industry trends;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we face;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changes, including inflationary trends, that impact our long-term supply contracts with variable price clauses and increase our cost of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business continuity hazards, including supply chain disruptions and other risks associated with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of doing business internationally, including global and regional economic and political instability and compliance with numerous and sometimes inconsistent laws and regulations in multiple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increase capacity at existing facilities, build new facilities in a timely and cost-effective manner and renew leases for our leased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qualified employees;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severe health events or environmental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breaches, unauthorized data disclosures, our dependence on information technology systems;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inability to pursue strategic transactions, find suitable acquisition targets, or integrate strategic acquisitions into our business successfully;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effective internal controls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intellectual property to maintain our competitive position and the risk of claims from third parties that we have infringed or misappropriated, or are infringing or misappropriating, their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comply with rapidly evolving data privacy and security laws and regulations in various jurisdictions and any ineffective compliance efforts with such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profitability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impairment charges on our goodwill and other intangible assets with indefinite lives, as well as other long-lived assets and intangible assets with definite lives;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unionization efforts and labor regulations in countries in which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changes to our tax positions in U.S. or non-U.S. jurisdictions or the interpretation and application of recent U.S. tax legislation or other changes in U.S. or non-U.S. taxation of our operations;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significant leverage and how this significant leverage could adversely affect our ability to raise additional capital, limit our ability to react to challenges confronting our Company or broader changes in our industry or the economy, limit our flexibility in operating our business through restrictions contained in our debt agreements and/or prevent us from meeting our obligations under our existing and future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based on current plans, estimates and projections, and therefore you should not place undue reliance on them. Forward-looking statements speak only as of the date they are made, and we undertake no obligation to update them publicly in light of new information or future events, except as required by law. The inclusion of this forward-looking information should not be regarded as a representation by us or any other person that the future plans, estimates or expectations contemplated by us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You should carefully consider the above factors, as well as the factors discussed elsewhere in this prospectus, as well as in the documents referred to in Where You Can Find More Information and Incorporation by Reference. If any of these trends, risks or uncertainties actually occur or continue, our business, financial condition or operating results could be materially adversely affected, the trading prices of our securities could decline, and you could lose all or part of your investment. All forward-looking statements attributable to us or persons acting on our behalf are expressly qualified in their entirety by this cautionary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3" w:name="tx798575_4"/>
      <w:bookmarkEnd w:id="23"/>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invest in our securities, you should carefully consider the discussion of risks and uncertainties under the heading Risk Factors contained in any applicable prospectus supplement and in the documents referred to in Where You Can Find More Information and Incorporation by Reference, together with all of the other information included in this prospectus. The occurrence of any of these risks, as well as other risks and uncertainties, could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4" w:name="tx798575_5"/>
      <w:bookmarkEnd w:id="24"/>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a prospectus supplement, we intend to use the net proceeds from any sale of our common stock described in this prospectus for our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set forth in a prospectus supplement, we will not receive any proceeds from any sale of our common stock by the selling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5" w:name="tx798575_6"/>
      <w:bookmarkEnd w:id="25"/>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one class of securities, common stock, par value $0.01 per share, registered pursuant to Section 12 of the Securities Exchange Act of 1934, as amended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descriptions are summaries of the material terms of our amended and restated certificate of incorporation and amended and restated bylaws. These descriptions summarize the general terms of our common stock and contain all information which we consider to be material but may not contain all of the information that is important to you. To understand them fully, you should read our amended and restated certificate of incorporation and amended and restated bylaws, copies of which are filed with the Securities and Exchange Commission as exhibits to our Annual Report on Form 10-K. The summary below is subject to, and qualified in its entirety by, reference to the provisions of our amended and restated certificate of incorporation and amended and restated bylaws. The terms of these securities may also be affected by the Delaware General Corporation Law (DGCL). </w:t>
      </w:r>
    </w:p>
    <w:p>
      <w:pPr>
        <w:pStyle w:val="TextBody"/>
        <w:bidi w:val="0"/>
        <w:spacing w:before="240" w:after="0"/>
        <w:jc w:val="left"/>
        <w:rPr>
          <w:rFonts w:ascii="Times New Roman" w:hAnsi="Times New Roman"/>
          <w:sz w:val="20"/>
        </w:rPr>
      </w:pPr>
      <w:r>
        <w:rPr>
          <w:rFonts w:ascii="Times New Roman" w:hAnsi="Times New Roman"/>
          <w:sz w:val="20"/>
        </w:rPr>
        <w:t xml:space="preserve">We may periodically issue shares of our common stock or other securities that can be exercised, converted or exchanged into shares of our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We are authorized to issue 1,200,000,000 shares of common stock, par value $0.01 per share, of which 282,832,200 shares were outstanding as of February 20, 2024, and 120,000,000 shares of preferred stock, par value $0.01 per share, of which no shares were outstanding as of February 20, 2024.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common stock are entitled to one vote for each share held on all matters submitted to a vote of stockholders, subject to the restrictions described below under the caption Anti-Takeover Effects of Provisions of Our Amended and Restated Certificate of Incorporation, Our Amended and Restated Bylaws and Delaware Law. The holders of common stock do not have cumulative voting rights in the election of directors. Accordingly, holders of a majority of the shares of common stock entitled to vote in any election of directors may elect all of the directors standing for election. Except for the election of directors, if a quorum is present, an action on a matter is approved if it receives the affirmative vote of the holders of a majority of the voting power of the shares of capital stock present in person or represented by proxy at the meeting and entitled to vote on the matter, unless otherwise required by applicable law, the DGCL, our amended and restated certificate of incorporation or amended and restated bylaws. The election of directors is determined by a plurality of the votes cast in respect of the shares present in person or represented by proxy at the meeting and entitled to vote, meaning that the nominees with the greatest number of votes cast, even if less than a majority, will be elected. The rights, preferences and privileges of holders of common stock are subject to, and may be impacted by, the rights of the holders of shares of any series of preferred stock that we may designate and issue in the future.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Subject to preferences that may be applicable to any then-outstanding preferred stock, holders of our common stock are entitled to receive ratably those dividends, if any, as may be declared by the board of directors out of legally available funds. </w:t>
      </w:r>
    </w:p>
    <w:p>
      <w:pPr>
        <w:pStyle w:val="TextBody"/>
        <w:bidi w:val="0"/>
        <w:spacing w:before="240" w:after="0"/>
        <w:jc w:val="left"/>
        <w:rPr>
          <w:rFonts w:ascii="Times New Roman" w:hAnsi="Times New Roman"/>
          <w:sz w:val="20"/>
        </w:rPr>
      </w:pPr>
      <w:r>
        <w:rPr>
          <w:rFonts w:ascii="Times New Roman" w:hAnsi="Times New Roman"/>
          <w:i/>
          <w:sz w:val="20"/>
        </w:rPr>
        <w:t>Liquidation, Dissolution, and Winding Up</w:t>
      </w:r>
      <w:r>
        <w:rPr>
          <w:rFonts w:ascii="Times New Roman" w:hAnsi="Times New Roman"/>
          <w:sz w:val="20"/>
        </w:rPr>
        <w:t xml:space="preserve">. Upon our liquidation, dissolution or winding up, the holders of our common stock will be entitled to share equally and ratably in the net assets legally available for distribution to stockholders after the payment of all of our debts and other liabilities, subject to the prior rights of any preferred stock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Preemptive or Similar Rights</w:t>
      </w:r>
      <w:r>
        <w:rPr>
          <w:rFonts w:ascii="Times New Roman" w:hAnsi="Times New Roman"/>
          <w:sz w:val="20"/>
        </w:rPr>
        <w:t xml:space="preserve">. Holders of our common stock have no preemptive or conversion rights or other subscription rights, and there are no redemption or sinking fund provisions applicable to our common stock. </w:t>
      </w:r>
    </w:p>
    <w:p>
      <w:pPr>
        <w:pStyle w:val="TextBody"/>
        <w:bidi w:val="0"/>
        <w:spacing w:before="240" w:after="0"/>
        <w:jc w:val="left"/>
        <w:rPr>
          <w:rFonts w:ascii="Times New Roman" w:hAnsi="Times New Roman"/>
          <w:sz w:val="20"/>
        </w:rPr>
      </w:pPr>
      <w:r>
        <w:rPr>
          <w:rFonts w:ascii="Times New Roman" w:hAnsi="Times New Roman"/>
          <w:i/>
          <w:sz w:val="20"/>
        </w:rPr>
        <w:t>Assessment</w:t>
      </w:r>
      <w:r>
        <w:rPr>
          <w:rFonts w:ascii="Times New Roman" w:hAnsi="Times New Roman"/>
          <w:sz w:val="20"/>
        </w:rPr>
        <w:t xml:space="preserve">. All outstanding shares of our common stock are fully paid and nonassessable.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Subject to limitations prescribed by Delaware law and the Nasdaq, our board of directors may issue preferred stock, without stockholder approval, in such series and with such designations, preferences, conversion or other rights, voting powers and qualifications, limitations or restrictions thereof, as the board of directors deems appropriate. Our board of directors could, without stockholder approval, issue preferred stock with voting, conversion and other rights that could adversely affect the voting power and impact other rights of the holders of the common stock. Our board of directors may issue preferred stock as an anti-takeover measure without any further action by the holders of common stock. The issuance of preferred stock, while providing flexibility in connection with possible acquisitions and other corporate purposes, may have the effect of delaying, deferring or preventing a change of control of our company by increasing the number of shares necessary to gain control of the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Anti-Takeover Effects of Provisions of Our Amended and Restated Certificate of Incorporation, Our Amended and Restated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Delaware law contains, and our amended and restated certificate of incorporation and amended and restated bylaws contain, a number of provisions relating to corporate governance and to the rights of stockholders. Certain of these provisions may be deemed to have a potential anti-takeover effect in that such provisions may delay, defer or prevent a change of control or an unsolicited acquisition proposal that a stockholder might consider favorable, including a proposal that might result in the payment of a premium over the market price for the shares held by the stockholders. These provisions include: </w:t>
      </w:r>
    </w:p>
    <w:p>
      <w:pPr>
        <w:pStyle w:val="TextBody"/>
        <w:bidi w:val="0"/>
        <w:spacing w:before="240" w:after="0"/>
        <w:jc w:val="left"/>
        <w:rPr>
          <w:rFonts w:ascii="Times New Roman" w:hAnsi="Times New Roman"/>
          <w:sz w:val="20"/>
        </w:rPr>
      </w:pPr>
      <w:r>
        <w:rPr>
          <w:rFonts w:ascii="Times New Roman" w:hAnsi="Times New Roman"/>
          <w:i/>
          <w:sz w:val="20"/>
        </w:rPr>
        <w:t>Classified board of directors; removal of directors</w:t>
      </w:r>
      <w:r>
        <w:rPr>
          <w:rFonts w:ascii="Times New Roman" w:hAnsi="Times New Roman"/>
          <w:sz w:val="20"/>
        </w:rPr>
        <w:t xml:space="preserve">. Our amended and restated certificate of incorporation provides that our board of directors is divided into three classes of directors, with the classes to be as nearly equal in number as possible, and with staggered three-year terms. As a result, approximately one-third of our board of directors will be elected each year. </w:t>
      </w:r>
    </w:p>
    <w:p>
      <w:pPr>
        <w:pStyle w:val="TextBody"/>
        <w:bidi w:val="0"/>
        <w:spacing w:before="240" w:after="0"/>
        <w:jc w:val="left"/>
        <w:rPr>
          <w:rFonts w:ascii="Times New Roman" w:hAnsi="Times New Roman"/>
          <w:sz w:val="20"/>
        </w:rPr>
      </w:pPr>
      <w:r>
        <w:rPr>
          <w:rFonts w:ascii="Times New Roman" w:hAnsi="Times New Roman"/>
          <w:sz w:val="20"/>
        </w:rPr>
        <w:t xml:space="preserve">In addition, our amended and restated certificate of incorporation provides that our directors may be removed only for cause by the affirmative vote of the holders of at least 75% of the voting power of our outstanding common stock; provided that for so long as investment funds and entities affiliated with either Warburg Pincus LLC (Warburg Pincus) or GTCR, LLC (GTCR), collectively, hold at least 50% of the outstanding shares of our common stock, a director designated by investment funds and entities affiliated with either Warburg Pincus or GTCR, respectively, may be removed with or without cause by the affirmative vote of the holders of at least a majority of the votes that all the stockholders would be entitled to cast in any annual election of directors or class of directors and with the consent of Warburg Pincus or GTCR, respectively.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our board of directors, including a vacancy resulting from an enlargement of our board of directors, may be filled only by vote of a majority of our directors then in office; provided that for so long as investment funds and entities affiliated with either Warburg Pincus or GTCR have the right to designate at least one director for election to our board of directors, any vacancies will be filled in accordance with the designation provisions set forth in our stockholders agreement dated November 19, 2020, among Sotera Health and certain of our stockholders party thereto (the Stockholders Agreement). </w:t>
      </w:r>
    </w:p>
    <w:p>
      <w:pPr>
        <w:pStyle w:val="TextBody"/>
        <w:bidi w:val="0"/>
        <w:spacing w:before="240" w:after="0"/>
        <w:jc w:val="left"/>
        <w:rPr>
          <w:rFonts w:ascii="Times New Roman" w:hAnsi="Times New Roman"/>
          <w:sz w:val="20"/>
        </w:rPr>
      </w:pPr>
      <w:r>
        <w:rPr>
          <w:rFonts w:ascii="Times New Roman" w:hAnsi="Times New Roman"/>
          <w:sz w:val="20"/>
        </w:rPr>
        <w:t xml:space="preserve">The classification of our board of directors and the limitations on the removal of directors and filling of vacancies could make it more difficult for a third party to acquire, or discourage a third party from seeking to acquire, control of our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Advance notice requirements for stockholder proposals and director nominations</w:t>
      </w:r>
      <w:r>
        <w:rPr>
          <w:rFonts w:ascii="Times New Roman" w:hAnsi="Times New Roman"/>
          <w:sz w:val="20"/>
        </w:rPr>
        <w:t xml:space="preserve">. Our amended and restated bylaws provide advance notice procedures for stockholders seeking to bring business before our annual meeting of stockholders or to nominate candidates for election as directors at our annual meeting of stockholders, other than nominations made by or at the direction of the board of directors or pursuant to the Stockholders Agreement.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our company. </w:t>
      </w:r>
    </w:p>
    <w:p>
      <w:pPr>
        <w:pStyle w:val="TextBody"/>
        <w:bidi w:val="0"/>
        <w:spacing w:before="240" w:after="0"/>
        <w:jc w:val="left"/>
        <w:rPr>
          <w:rFonts w:ascii="Times New Roman" w:hAnsi="Times New Roman"/>
          <w:sz w:val="20"/>
        </w:rPr>
      </w:pPr>
      <w:r>
        <w:rPr>
          <w:rFonts w:ascii="Times New Roman" w:hAnsi="Times New Roman"/>
          <w:i/>
          <w:sz w:val="20"/>
        </w:rPr>
        <w:t>Amendment of certificate of incorporation and bylaws provisions</w:t>
      </w:r>
      <w:r>
        <w:rPr>
          <w:rFonts w:ascii="Times New Roman" w:hAnsi="Times New Roman"/>
          <w:sz w:val="20"/>
        </w:rPr>
        <w:t xml:space="preserve">. Our amended and restated certificate of incorporation provides that approval of stockholders holding a majority of the then-outstanding voting power of our capital stock, so long as investment funds and entities affiliated with either Warburg Pincus or GTCR, collectively, hold at least a majority of our outstanding capital stock, is required for stockholders to amend or adopt certain provisions of our amended and restated certificate of incorporation and any provision of our amended and restated bylaws, and at all other times by the affirmative vote of at least 66 2/3% of the voting power of our outstanding common stock. So long as investment funds and entities affiliated with either Warburg Pincus or GTCR have the right to designate three directors for election to our board of directors, at least 75% of the board must approve any amendments to the amended and restated certificate of incorporation or amended and restated bylaws. </w:t>
      </w:r>
    </w:p>
    <w:p>
      <w:pPr>
        <w:pStyle w:val="TextBody"/>
        <w:bidi w:val="0"/>
        <w:spacing w:before="240" w:after="0"/>
        <w:jc w:val="left"/>
        <w:rPr>
          <w:rFonts w:ascii="Times New Roman" w:hAnsi="Times New Roman"/>
          <w:sz w:val="20"/>
        </w:rPr>
      </w:pPr>
      <w:r>
        <w:rPr>
          <w:rFonts w:ascii="Times New Roman" w:hAnsi="Times New Roman"/>
          <w:i/>
          <w:sz w:val="20"/>
        </w:rPr>
        <w:t>Authorized but unissued or undesignated capital stock</w:t>
      </w:r>
      <w:r>
        <w:rPr>
          <w:rFonts w:ascii="Times New Roman" w:hAnsi="Times New Roman"/>
          <w:sz w:val="20"/>
        </w:rPr>
        <w:t xml:space="preserve">. Our authorized capital stock consists of 1,200,000,000 shares of common stock and 1,200,000 shares of preferred stock. A large quantity of authorized but unissued shares may deter potential takeover attempts because of the ability of our board of directors to authorize the issuance of some or all of these shares to a friendly party, or to the public or in connection with a stockholder rights plan, which would make it more difficult for a potential acquirer to obtain control of us. This possibility may encourage persons seeking to acquire control of us to negotiate first with our board of directors. The authorized but unissued stock may be issued by the board of directors in one or more transactions. In this regard, our amended and restated certificate of incorporation grants the board of directors broad power to establish the rights and preferences of authorized and unissued preferred stock. The issuance of shares of preferred stock pursuant to the board of directors authority described above could decrease the amount of earnings and assets available for distribution to holders of common stock and adversely affect the rights and powers, including voting rights, of such holders and may have the effect of delaying, deferring or preventing a change in control. </w:t>
      </w:r>
    </w:p>
    <w:p>
      <w:pPr>
        <w:pStyle w:val="TextBody"/>
        <w:bidi w:val="0"/>
        <w:spacing w:before="240" w:after="0"/>
        <w:jc w:val="left"/>
        <w:rPr>
          <w:rFonts w:ascii="Times New Roman" w:hAnsi="Times New Roman"/>
          <w:sz w:val="20"/>
        </w:rPr>
      </w:pPr>
      <w:r>
        <w:rPr>
          <w:rFonts w:ascii="Times New Roman" w:hAnsi="Times New Roman"/>
          <w:i/>
          <w:sz w:val="20"/>
        </w:rPr>
        <w:t>Stockholder action; special meeting of stockholders</w:t>
      </w:r>
      <w:r>
        <w:rPr>
          <w:rFonts w:ascii="Times New Roman" w:hAnsi="Times New Roman"/>
          <w:sz w:val="20"/>
        </w:rPr>
        <w:t xml:space="preserve">. Our amended and restated certificate of incorporation provides that our stockholders will not be able to take action by written consent for any matter and may only take action at annual or special meetings. For so long as investment funds and entities affiliated with either Warburg Pincus or GTCR, collectively, hold a majority of our outstanding capital stock, however, a meeting and vote of stockholders may be dispensed with, and the action may be taken without prior notice and without such meeting and vote if a written consent is signed by the holders of outstanding stock having not less than the minimum number of votes that would be necessary to authorize or take such action at the meeting of stockholders. Our amended and restated certificate of incorporation further provides that, except as otherwise required by law, special meetings of our stockholders may be called only by the majority of the board of directors or by the chairman of our board of directors or our chief executive officer, thus limiting the ability of a stockholder to call a special meeting. For so long as investment funds and entities affiliated with either Warburg Pincus or GTCR, collectively, hold a majority of our outstanding capital stock, however, special meetings of our stockholders may be called by the affirmative vote of the holders of a majority of our outstanding voting stock. These provisions might delay the ability of our stockholders to force consideration of a proposal or for stockholders controlling a majority of our capital stock to take any action, including the removal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No cumulative voting</w:t>
      </w:r>
      <w:r>
        <w:rPr>
          <w:rFonts w:ascii="Times New Roman" w:hAnsi="Times New Roman"/>
          <w:sz w:val="20"/>
        </w:rPr>
        <w:t xml:space="preserve">. The DGCL provides that stockholders are not entitled to cumulate votes in the election of directors unless a corporations certificate of incorporation provides otherwise. Our amended and restated certificate of incorporation does not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w:t>
      </w:r>
    </w:p>
    <w:p>
      <w:pPr>
        <w:pStyle w:val="TextBody"/>
        <w:bidi w:val="0"/>
        <w:spacing w:before="240" w:after="0"/>
        <w:jc w:val="left"/>
        <w:rPr>
          <w:rFonts w:ascii="Times New Roman" w:hAnsi="Times New Roman"/>
          <w:sz w:val="20"/>
        </w:rPr>
      </w:pPr>
      <w:r>
        <w:rPr>
          <w:rFonts w:ascii="Times New Roman" w:hAnsi="Times New Roman"/>
          <w:i/>
          <w:sz w:val="20"/>
        </w:rPr>
        <w:t>Supermajority voting on board actions</w:t>
      </w:r>
      <w:r>
        <w:rPr>
          <w:rFonts w:ascii="Times New Roman" w:hAnsi="Times New Roman"/>
          <w:sz w:val="20"/>
        </w:rPr>
        <w:t xml:space="preserve">. For so long as investment funds and entities affiliated with either Warburg Pincus or GTCR have the right (individually) to designate at least three directors for election to our board of directors, the following actions may only be effected with the affirmative vote of 75% of our board of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acquisitions, mergers, other business combination transactions and dispositions;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amendment, modification or repeal of any provision of the certificate of incorporation or bylaws;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the size and composition of the board of directors or the compensation of its committees, other than in accordance with the Stockholders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of the chief executive officer or designation of a new chief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for ordinary course compensation arrangements, entering into, or modifying, any compensation arrangements with an executive officer or any of an executive officers affiliates or associates;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issuance of additional shares of Company or subsidiaries capital stock, subject to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incurrence of certain indebtedness. </w:t>
            </w:r>
          </w:p>
        </w:tc>
      </w:tr>
    </w:tbl>
    <w:p>
      <w:pPr>
        <w:pStyle w:val="TextBody"/>
        <w:bidi w:val="0"/>
        <w:spacing w:before="240" w:after="0"/>
        <w:jc w:val="left"/>
        <w:rPr>
          <w:rFonts w:ascii="Times New Roman" w:hAnsi="Times New Roman"/>
          <w:sz w:val="20"/>
        </w:rPr>
      </w:pPr>
      <w:r>
        <w:rPr>
          <w:rFonts w:ascii="Times New Roman" w:hAnsi="Times New Roman"/>
          <w:i/>
          <w:sz w:val="20"/>
        </w:rPr>
        <w:t>Delaware Anti-Takeover Statute</w:t>
      </w:r>
      <w:r>
        <w:rPr>
          <w:rFonts w:ascii="Times New Roman" w:hAnsi="Times New Roman"/>
          <w:sz w:val="20"/>
        </w:rPr>
        <w:t>. We are not subject to the provisions of Section 203 of the DGCL. In general, Section 203 prohibits a publicly held Delaware corporation from engaging in a business combination with an interested shareholder for a three-year period following the time that the person becomes an interested shareholder, unless the business combination is approved in a prescribed manner. A </w:t>
      </w:r>
      <w:r>
        <w:rPr>
          <w:rFonts w:ascii="Times New Roman" w:hAnsi="Times New Roman"/>
          <w:i/>
          <w:sz w:val="20"/>
        </w:rPr>
        <w:t>business</w:t>
      </w:r>
      <w:r>
        <w:rPr>
          <w:rFonts w:ascii="Times New Roman" w:hAnsi="Times New Roman"/>
          <w:sz w:val="20"/>
        </w:rPr>
        <w:t xml:space="preserve"> combination includes, among other things, a merger, asset or stock sale or other transaction resulting in a financial benefit to the interested shareholder. An interested shareholder is a person who, together with affiliates and associates, owns, or did own within three years prior to the determination of interested shareholder status, 15% or more of the corporations voting stock. </w:t>
      </w:r>
    </w:p>
    <w:p>
      <w:pPr>
        <w:pStyle w:val="TextBody"/>
        <w:bidi w:val="0"/>
        <w:spacing w:before="240" w:after="0"/>
        <w:jc w:val="left"/>
        <w:rPr>
          <w:rFonts w:ascii="Times New Roman" w:hAnsi="Times New Roman"/>
          <w:sz w:val="20"/>
        </w:rPr>
      </w:pPr>
      <w:r>
        <w:rPr>
          <w:rFonts w:ascii="Times New Roman" w:hAnsi="Times New Roman"/>
          <w:sz w:val="20"/>
        </w:rPr>
        <w:t xml:space="preserve">Under Section 203, a business combination between a corporation and an interested shareholder is prohibited unless it satisfies one of the following conditions: (1) before the shareholder became an interested shareholder, the board of directors approved either the business combination or the transaction which resulted in the shareholder becoming an interested shareholder; (2) upon consummation of the transaction which resulted in the shareholder becoming an interested shareholder, the interested shareholder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(3) at or after the time the shareholder became an interested shareholder, the business combination was approved by the board of directors and authorized at an annual or special meeting of the shareholders by the affirmative vote of at least two-thirds of the outstanding voting stock which is not owned by the interested shareholder. </w:t>
      </w:r>
    </w:p>
    <w:p>
      <w:pPr>
        <w:pStyle w:val="TextBody"/>
        <w:bidi w:val="0"/>
        <w:spacing w:before="240" w:after="0"/>
        <w:jc w:val="left"/>
        <w:rPr>
          <w:rFonts w:ascii="Times New Roman" w:hAnsi="Times New Roman"/>
          <w:sz w:val="20"/>
        </w:rPr>
      </w:pPr>
      <w:r>
        <w:rPr>
          <w:rFonts w:ascii="Times New Roman" w:hAnsi="Times New Roman"/>
          <w:sz w:val="20"/>
        </w:rPr>
        <w:t xml:space="preserve">A Delaware corporation may opt out of these provisions with an express provision in its original certificate of incorporation or an express provision in its certificate of incorporation or bylaws resulting from a shareholders amendment approved by at least a majority of the outstanding voting shares. </w:t>
      </w:r>
    </w:p>
    <w:p>
      <w:pPr>
        <w:pStyle w:val="TextBody"/>
        <w:bidi w:val="0"/>
        <w:spacing w:before="240" w:after="0"/>
        <w:jc w:val="left"/>
        <w:rPr>
          <w:rFonts w:ascii="Times New Roman" w:hAnsi="Times New Roman"/>
          <w:sz w:val="20"/>
        </w:rPr>
      </w:pPr>
      <w:r>
        <w:rPr>
          <w:rFonts w:ascii="Times New Roman" w:hAnsi="Times New Roman"/>
          <w:sz w:val="20"/>
        </w:rPr>
        <w:t xml:space="preserve">We have opted out of Section 203; however, our amended and restated certificate of incorporation contains similar provisions providing that we may not engage in certain business combinations with any interested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shareholder for a three-year period following the time that the shareholder became an interested shareholder,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such time, our board of directors approved either the business combination or the transaction which resulted in the shareholder becoming an interested shareholder;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that resulted in the shareholder becoming an interested shareholder, the interested shareholder owned at least 85% of our voting stock outstanding at the time the transaction commenced, excluding certain shares;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subsequent to that time, the business combination is approved by our Board and by the affirmative vote of holders of at least 66 2/3% of our outstanding voting stock that is not owned by the interested shareholder.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this provision will make it more difficult for a person who would be an interested shareholder to effect various business combinations with us for a three-year period. This provision may encourage companies interested in acquiring us to negotiate in advance with our board of directors because the shareholder approval requirement would be avoided if our board of directors approves either the business combination or the transaction which results in the shareholder becoming an interested shareholder. These provisions also may have the effect of preventing changes in our board of directors and may make it more difficult to accomplish transactions which shareholders may otherwise deem to be in their best interests.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provides that Warburg and GTCR, and any of their respective direct or indirect transferees and any group as to which such persons are a party, do not constitute interested shareholders for purposes of this provision.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Exclusive Forum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that, unless we consent in writing to the selection of an alternative forum, the sole and exclusive forum, to the fullest extent permitted by law, for (1) any derivative action or proceeding brought on our behalf, (2) any action asserting a claim of breach of a fiduciary duty owed by any of our current or former directors, officers or other employees or stockholders to us or our stockholders, (3) any action asserting a claim against us or any of our directors or officers or other employees or stockholders arising pursuant to, any action to interpret, apply, enforce any right, obligation or remedy under, any provision of the DGCL our amended and restated certificate of incorporation or amended and restated bylaws, (4) any action asserting a claim that is governed by the internal affairs doctrine or (5) any other action asserting an internal corporate claim under the DGCL shall be the Court of Chancery of the State of Delaware (or any state or federal court located within the State of Delaware if the Court of Chancery does not have jurisdiction). Notwithstanding the foregoing, our amended and restated certificate of incorporation provides that the Delaware Forum Provision will not apply to suits brought to enforce a duty or liability created by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amended and restated certificate of incorporation provides that unless the Company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Any person or entity purchasing or otherwise acquiring any interest in shares of capital stock of the Company are deemed to have notice of and consented to this provision. The Supreme Court of Delaware has held that this type of exclusive federal forum provision is enforceable. There may be uncertainty, however, as to whether courts of other jurisdictions would enforce such provision,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Limitation of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Our amended and restated certificate of incorporation provides for indemnification of directors and officers to the fullest extent permitted by law, including payment of expenses in advance of resolution of any such matter. Our amended and restated certificate of incorporation eliminates the potential personal monetary liability of our directors to us or our stockholders for breaches of their duties as directors except as otherwise required under the DGCL. Any amendment to, or repeal of, these provisions will not eliminate or reduce the effect of these provisions in respect of any act, omission or claim that occurred or arose prior to that amendment or repeal. If the DGCL is amended to provide for further limitations on the personal liability of directors of corporations, then the personal liability of our directors will be further limited to the greatest extent permitted by the DGCL.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Computershare Trust Company, N.A. acts as transfer agent and registrar for our common stock. The transfer agent and registrars address is 118 Fernwood Avenue, Edison, New Jersey 08837.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under the symbol SHC.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6" w:name="tx798575_7"/>
      <w:bookmarkEnd w:id="26"/>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information regarding the beneficial ownership of our common stock as of the date of this prospectus by each of the selling stockholders covered by this prospectus, including the number of shares of our common stock owned, the number of shares that may be offered by this prospectus and the number and percentage of outstanding shares that will be owned after the offering, assuming all shares covered by this prospectus are sold. The information concerning beneficial ownership has been provided by the selling stockholders. Information concerning the selling stockholders may change from time to time, and any changed information will be set forth if and when required in prospectus supplements or other appropriate forms permitted to be used by the SEC. Such selling stockholders may be parties to registration rights agreements with us, or we otherwise may have agreed or agree to register their shares of common stock for resale. </w:t>
      </w:r>
    </w:p>
    <w:p>
      <w:pPr>
        <w:pStyle w:val="TextBody"/>
        <w:bidi w:val="0"/>
        <w:spacing w:before="240" w:after="0"/>
        <w:jc w:val="left"/>
        <w:rPr>
          <w:rFonts w:ascii="Times New Roman" w:hAnsi="Times New Roman"/>
          <w:sz w:val="20"/>
        </w:rPr>
      </w:pPr>
      <w:r>
        <w:rPr>
          <w:rFonts w:ascii="Times New Roman" w:hAnsi="Times New Roman"/>
          <w:sz w:val="20"/>
        </w:rPr>
        <w:t xml:space="preserve">We do not know when or in what amounts the selling stockholders may offer shares of our common stock for sale. The selling stockholders may choose not to sell any or all of the shares offered by this prospectus. Because the selling stockholders may offer all or some of the shares, we cannot accurately report the number of the shares that will be held by the selling stockholders after completion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We have based the calculation of the percentage of beneficial ownership on 282,832,200 shares of common stock outstanding, as of February 20, 2024. For purposes of calculating each persons percentage ownership, common stock issuable pursuant to options exercisable within 60 days of the date of this prospectus and common stock issuable in connection with outstanding Restricted Stock Units (RSUs), which will vest within 60 days of this prospectus, are included as outstanding and beneficially owned for that person or group, and are deemed outstanding for purposes of computing the percentage ownership of that person only. Except as disclosed in the footnotes to this table and subject to applicable community property laws, we believe that each stockholder identified in the table possesses sole voting and investment power over all shares of common stock shown as beneficially owned by the stockholder.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table or footnotes below, the address for each beneficial owner is c/o Sotera Health, 9100 South Hills Blvd, Suite 300 Broadview Heights, Ohio 44147. </w:t>
      </w:r>
    </w:p>
    <w:p>
      <w:pPr>
        <w:pStyle w:val="TextBody"/>
        <w:bidi w:val="0"/>
        <w:spacing w:before="0" w:after="0"/>
        <w:jc w:val="left"/>
        <w:rPr/>
      </w:pPr>
      <w:r>
        <w:rPr/>
        <w:t> </w:t>
      </w:r>
    </w:p>
    <w:tbl>
      <w:tblPr>
        <w:tblW w:w="10470" w:type="dxa"/>
        <w:jc w:val="center"/>
        <w:tblInd w:w="0" w:type="dxa"/>
        <w:tblLayout w:type="fixed"/>
        <w:tblCellMar>
          <w:top w:w="0" w:type="dxa"/>
          <w:left w:w="0" w:type="dxa"/>
          <w:bottom w:w="0" w:type="dxa"/>
          <w:right w:w="0" w:type="dxa"/>
        </w:tblCellMar>
      </w:tblPr>
      <w:tblGrid>
        <w:gridCol w:w="3170"/>
        <w:gridCol w:w="120"/>
        <w:gridCol w:w="75"/>
        <w:gridCol w:w="1535"/>
        <w:gridCol w:w="60"/>
        <w:gridCol w:w="120"/>
        <w:gridCol w:w="155"/>
        <w:gridCol w:w="1455"/>
        <w:gridCol w:w="275"/>
        <w:gridCol w:w="60"/>
        <w:gridCol w:w="478"/>
        <w:gridCol w:w="1117"/>
        <w:gridCol w:w="60"/>
        <w:gridCol w:w="120"/>
        <w:gridCol w:w="483"/>
        <w:gridCol w:w="1127"/>
        <w:gridCol w:w="60"/>
      </w:tblGrid>
      <w:tr>
        <w:trPr/>
        <w:tc>
          <w:tcPr>
            <w:tcW w:w="31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bottom"/>
          </w:tcPr>
          <w:p>
            <w:pPr>
              <w:pStyle w:val="TableContents"/>
              <w:bidi w:val="0"/>
              <w:spacing w:before="0" w:after="283"/>
              <w:jc w:val="left"/>
              <w:rPr>
                <w:b/>
              </w:rPr>
            </w:pPr>
            <w:r>
              <w:rPr>
                <w:b/>
              </w:rPr>
              <w:t>Name of Selling Stockholder(1)</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Beneficially</w:t>
              <w:br/>
              <w:t>Owned After</w:t>
              <w:br/>
              <w:t>the Offering</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 Prior to</w:t>
              <w:br/>
              <w:t>the Offering</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5% Stockholders:</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sz w:val="4"/>
                <w:szCs w:val="4"/>
              </w:rPr>
            </w:pPr>
            <w:r>
              <w:rPr>
                <w:sz w:val="4"/>
                <w:szCs w:val="4"/>
              </w:rPr>
            </w:r>
          </w:p>
        </w:tc>
        <w:tc>
          <w:tcPr>
            <w:tcW w:w="153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455"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sz w:val="4"/>
                <w:szCs w:val="4"/>
              </w:rPr>
            </w:pPr>
            <w:r>
              <w:rPr>
                <w:sz w:val="4"/>
                <w:szCs w:val="4"/>
              </w:rPr>
            </w:r>
          </w:p>
        </w:tc>
        <w:tc>
          <w:tcPr>
            <w:tcW w:w="11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sz w:val="4"/>
                <w:szCs w:val="4"/>
              </w:rPr>
            </w:pPr>
            <w:r>
              <w:rPr>
                <w:sz w:val="4"/>
                <w:szCs w:val="4"/>
              </w:rPr>
            </w:r>
          </w:p>
        </w:tc>
        <w:tc>
          <w:tcPr>
            <w:tcW w:w="112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Warburg Pincus(2)</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105,417,315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37.27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funds and entities affiliated with GTCR(3)</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70,278,209</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24.85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Selling Stockholders:</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153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sz w:val="4"/>
                <w:szCs w:val="4"/>
              </w:rPr>
            </w:pPr>
            <w:r>
              <w:rPr>
                <w:sz w:val="4"/>
                <w:szCs w:val="4"/>
              </w:rPr>
            </w:r>
          </w:p>
        </w:tc>
        <w:tc>
          <w:tcPr>
            <w:tcW w:w="1455"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sz w:val="4"/>
                <w:szCs w:val="4"/>
              </w:rPr>
            </w:pPr>
            <w:r>
              <w:rPr>
                <w:sz w:val="4"/>
                <w:szCs w:val="4"/>
              </w:rPr>
            </w:r>
          </w:p>
        </w:tc>
        <w:tc>
          <w:tcPr>
            <w:tcW w:w="111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sz w:val="4"/>
                <w:szCs w:val="4"/>
              </w:rPr>
            </w:pPr>
            <w:r>
              <w:rPr>
                <w:sz w:val="4"/>
                <w:szCs w:val="4"/>
              </w:rPr>
            </w:r>
          </w:p>
        </w:tc>
        <w:tc>
          <w:tcPr>
            <w:tcW w:w="112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Michael B. Petras, Jr.(4)</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8,587,855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3.04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3170" w:type="dxa"/>
            <w:tcBorders/>
          </w:tcPr>
          <w:p>
            <w:pPr>
              <w:pStyle w:val="TableContents"/>
              <w:bidi w:val="0"/>
              <w:spacing w:before="0" w:after="0"/>
              <w:jc w:val="left"/>
              <w:rPr>
                <w:rFonts w:ascii="Times New Roman" w:hAnsi="Times New Roman"/>
                <w:sz w:val="20"/>
              </w:rPr>
            </w:pPr>
            <w:r>
              <w:rPr>
                <w:rFonts w:ascii="Times New Roman" w:hAnsi="Times New Roman"/>
                <w:sz w:val="20"/>
              </w:rPr>
              <w:t>Michael P. Rutz(5)</w:t>
            </w:r>
          </w:p>
        </w:tc>
        <w:tc>
          <w:tcPr>
            <w:tcW w:w="120"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535" w:type="dxa"/>
            <w:tcBorders/>
            <w:vAlign w:val="bottom"/>
          </w:tcPr>
          <w:p>
            <w:pPr>
              <w:pStyle w:val="TableContents"/>
              <w:bidi w:val="0"/>
              <w:spacing w:before="0" w:after="283"/>
              <w:jc w:val="right"/>
              <w:rPr/>
            </w:pPr>
            <w:r>
              <w:rPr/>
              <w:t>709,336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45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78" w:type="dxa"/>
            <w:tcBorders/>
            <w:vAlign w:val="bottom"/>
          </w:tcPr>
          <w:p>
            <w:pPr>
              <w:pStyle w:val="TableContents"/>
              <w:bidi w:val="0"/>
              <w:spacing w:before="0" w:after="283"/>
              <w:jc w:val="left"/>
              <w:rPr/>
            </w:pPr>
            <w:r>
              <w:rPr/>
              <w:t> </w:t>
            </w:r>
          </w:p>
        </w:tc>
        <w:tc>
          <w:tcPr>
            <w:tcW w:w="111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83"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31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Ann R. Klee(6)</w:t>
            </w:r>
          </w:p>
        </w:tc>
        <w:tc>
          <w:tcPr>
            <w:tcW w:w="120"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535" w:type="dxa"/>
            <w:tcBorders/>
            <w:shd w:fill="CCEEFF" w:val="clear"/>
            <w:vAlign w:val="bottom"/>
          </w:tcPr>
          <w:p>
            <w:pPr>
              <w:pStyle w:val="TableContents"/>
              <w:bidi w:val="0"/>
              <w:spacing w:before="0" w:after="283"/>
              <w:jc w:val="right"/>
              <w:rPr/>
            </w:pPr>
            <w:r>
              <w:rPr/>
              <w:t>76,773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145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78" w:type="dxa"/>
            <w:tcBorders/>
            <w:shd w:fill="CCEEFF" w:val="clear"/>
            <w:vAlign w:val="bottom"/>
          </w:tcPr>
          <w:p>
            <w:pPr>
              <w:pStyle w:val="TableContents"/>
              <w:bidi w:val="0"/>
              <w:spacing w:before="0" w:after="283"/>
              <w:jc w:val="left"/>
              <w:rPr/>
            </w:pPr>
            <w:r>
              <w:rPr/>
              <w:t> </w:t>
            </w:r>
          </w:p>
        </w:tc>
        <w:tc>
          <w:tcPr>
            <w:tcW w:w="11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483"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beneficial ownership of less than 1%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shown in the table above include shares held in the selling stockholders name or jointly with others, or in the name of a bank, nominee or trustee for the selling stockholders account.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(i) 84,363,406 shares held of record by Bull Holdco L.P., a Delaware limited partnership (Bull Holdco) and (ii) 21,053,909 shares held of record by Bull Co-Invest L.P., a Delaware limited partnership (Bull Co-Invest).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Effective August 5, 2021, the WP XI Funds (as defined below) contributed their shares of common stock (the Contributed Shares) to Bull Holdco, pursuant to the terms of a Contribution and Exchange Agreement among such persons and Bull Holdco. The WP XI Funds (as defined below) share limited partnership ownership in Bull Holdco on a pro rata basis in accordance with their respective numbers of Contributed Shares. WP Bull Holdco GP LLC, a Delaware limited liability company, is the general partner of Bull Holdco, and WP XI (as defined below) is the sole member of WP Bull Holdco GP LLC. </w:t>
      </w:r>
    </w:p>
    <w:p>
      <w:pPr>
        <w:pStyle w:val="TextBody"/>
        <w:bidi w:val="0"/>
        <w:spacing w:before="120" w:after="0"/>
        <w:jc w:val="left"/>
        <w:rPr>
          <w:rFonts w:ascii="Times New Roman" w:hAnsi="Times New Roman"/>
          <w:sz w:val="20"/>
        </w:rPr>
      </w:pPr>
      <w:r>
        <w:rPr>
          <w:rFonts w:ascii="Times New Roman" w:hAnsi="Times New Roman"/>
          <w:sz w:val="20"/>
        </w:rPr>
        <w:t xml:space="preserve">The Warburg Pincus Sponsors include Warburg Pincus Private Equity XI, L.P., a Delaware limited partnership (WP XI), Warburg Pincus Private Equity XI-B, L.P., a Delaware limited partnership (WP XI-B), Warburg Pincus Private Equity XI-C, L.P., a Cayman Islands exempted limited partnership (WP XI-C), WP XI Partners, L.P., a Delaware limited partnership (WP XI Partners), Warburg Pincus XI Partners, L.P., a Delaware limited partnership (Warburg Pincus XI Partners) and Bull Co-Invest. Warburg Pincus XI, L.P., a Delaware limited partnership (WP XI GP), is the general partner of each of (i) WP XI, (ii) WP XI-B, (iii) WP XI Partners and (iv) Warburg Pincus XI Partners. WP Global LLC, a Delaware limited liability company (WP Global), is the general partner of WP XI GP. Warburg Pincus Partners II, L.P., a Delaware limited partnership (WPP II), is the managing member of WP Global. Warburg Pincus Partners GP LLC, a Delaware limited liability company (WPP GP LLC), is the general partner of WPP II. Warburg Pincus &amp; Co., a New York general partnership (WP), is the managing member of WPP GP LLC. Warburg Pincus (Cayman) XI, L.P., a Cayman Islands exempted limited partnership (WP XI Cayman GP), is the general partner of WP XI-C (WP XI-C and, together with WP XI, WP XI-B, WP XI Partners and Warburg Pincus XI Partners, the WP XI Funds). Warburg Pincus XI-C, LLC, a Delaware limited liability company (WP XI-C LLC), is the general partner of WP XI Cayman GP. Warburg Pincus Partners II (Cayman), L.P., a Cayman Islands exempted limited partnership (WPP II Cayman), is the managing member of WP XI-C LLC. Warburg Pincus (Bermuda) Private Equity GP Ltd., a Bermuda exempted company (WP Bermuda GP), is the general partner of WPP II Cayman. WP Bull Manager LLC, a Delaware limited Liability company (WP Bull Manager), is the general partner of Bull Co-Invest. WP is managing member of WP Bull Manager. Warburg Pincus LLC, a New York limited liability company (WP LLC), is the manager of the WP XI Funds. The address of the Warburg Pincus Sponsors is 450 Lexington Avenue, New York, New York 10017.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(i) 55,778,268 shares held of record by GTCR Fund XI/A LP, (ii) 14,052,901 shares held of record by GTCR Fund XI/C LP and (iii) 447,040 shares held of record by GTCR Co-Invest XI LP (collectively, the GTCR Stockholders). GTCR Partners XI/A&amp;C LP is the general partner of each of GTCR Fund XI/A LP and GTCR Fund XI/C LP. GTCR Investment XI LLC is the general partner of each of GTCR Co-Invest XI LP and GTCR Partners XI/A&amp;C LP. GTCR Investment XI LLC is managed by a board of managers (the GTCR Board of Managers) consisting of Mark M. Anderson, Aaron D. Cohen, Sean L. Cunningham, Benjamin J. Daverman, David A. Donnini, Constantine S. Mihas and Collin E. Roche, and no single person has voting or dispositive authority over the shares. Each of GTCR Partners XI/A&amp;C LP, GTCR Investment XI LLC and the GTCR Board of Managers may be deemed to share beneficial ownership of the shares held of record by the GTCR Stockholders, and each of the individual members of the GTCR Board of Managers disclaims beneficial ownership of the shares held of record by the GTCR Stockholders except to the extent of his pecuniary interest therein. The address for each of the GTCR Stockholders, GTCR Partners XI/A&amp;C LP and GTCR Investment XI LLC is 300 North LaSalle Street, Suite 5600, Chicago, Illinois, 60654.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Mr. Petras is the grantor and trustee of estate planning trusts (the Petras Trusts). As a result, Mr. Petras may have voting and investment control over, and may be deemed to be the beneficial owner of, an aggregate of 6,377,185 shares of common stock owned by the Petras Trusts. Also includes 152,199 shares of common stock, 133,469 shares of common stock issuable in connection with outstanding RSUs, which will vest within 60 days of February 27, 2024, and 1,925,002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547,161 shares of common stock, of which 139,536 shares are restricted and remain subject to vesting, 17,795 shares of common stock issuable in connection with outstanding RSUs, which will vest within 60 days of February 27, 2024, and 144,380 shares underlying options that are currently exercisable or exercisable within 60 days of February 27, 2024.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Consists of 76,773 shares of common stock, of which 8,638 shares are restricted and remain subject to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7" w:name="tx798575_8"/>
      <w:bookmarkEnd w:id="27"/>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offer and sell the securities covered by this prospectus from time to time, in one or more or any combination of the following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broker-dealers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short sales effected after the date the registration statement of which this prospectus is a part is filed with the SEC;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broker-dealers may agree with the selling stockholders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a limited number of purchasers or to a single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within the meaning of Rule 415(a)(4) under the Securities Act, to or through a market maker or into an existing trading market, on an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including in a block trade in which a broker-dealer will attempt to sell the offered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purchases by a broker-dealer as principal and resale by the broker-dealer for its account pursuant to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any other method permitted by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and/or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or borrowed from us, the selling stockholders or others to settle those sales or to close out any related open borrowings of stock and may use securities received from us, the selling stockholders or others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to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At any time a particular offering of securities covered by this prospectus is made, a revised prospectus or prospectus supplement, if required, will set forth the amount of securities covered by this prospectus being offered and terms of the offering,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dealers, brokers or agents and the amounts of securities underwritten or purchased by each of them;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if a fixed price offering, and the proceeds to us or any selling stockholders and, to the extent required, any discounts, commissions or concessions allowed or reallowed or paid to 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such required prospectus or prospectus supplement, and, if necessary, a post-effective amendment to the registration statement of which this prospectus is a part, will be filed with the SEC to reflect the disclosure of additional information with respect to the distribution of our common stock covered by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Underwriters or the third parties described above may offer and sell the offered securities from time to time in one or more transactions, including negotiated transactions, at a fixed public offering price or at varying prices determined at the time of sale. If underwriters are used in the sale of any securities, the securities will be acquired by the underwriters for their own account and may be resold from time to time in one or more transactions described above. The securities may be offered to the public either through underwriting syndicates represented by managing underwriters or directly by underwriters. The obligations of the underwriters to purchase the securities will be subject to the conditions set forth in the applicable underwriting agreement. The underwriters will be obligated to purchase all of the offered securities if they purchase any of the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We and/or the selling stockholders may sell the securities at prices then prevailing or related to the then current market price or at negotiated prices. The offering price of the securities from time to time will be determined by us or the selling stockholders, as applicable, and, at the time of the determination, may be higher or lower than the market price of the securities on any securities exchanges on which the securities may be listed.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a securities offering, certain persons participating in the offering may engage in transactions that stabilize, maintain or otherwise affect the price of the securities. Specifically, in connection with underwritten offerings of the offered securities and in accordance with applicable law and industry practice, the underwriters may over-allot and may bid for, and purchase, the securities in the open market. The applicable prospectus supplement will describe any such activities. Should any of these activities be undertaken, they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and any agents, underwriters and other third parties described above that participate in the distribution of the offered securities may be underwriters as defined in the Securities Act, and any discounts or commissions they receive from us and any profit on their resale of the securities may be treated as underwriting discounts and commissions under the Securities Act. We or the selling stockholders may have agreements with the agents, underwriters and those other third parties to indemnify them against specified civil liabilities, including liabilities under the Securities Act, or to contribute to payments they may be required to make in respect of those liabilities. Agents, underwriters and those other third parties may engage in transactions with or perform services for us in the ordinary course of their businesses. </w:t>
      </w:r>
    </w:p>
    <w:p>
      <w:pPr>
        <w:pStyle w:val="TextBody"/>
        <w:bidi w:val="0"/>
        <w:spacing w:before="240" w:after="0"/>
        <w:jc w:val="left"/>
        <w:rPr>
          <w:rFonts w:ascii="Times New Roman" w:hAnsi="Times New Roman"/>
          <w:sz w:val="20"/>
        </w:rPr>
      </w:pPr>
      <w:r>
        <w:rPr>
          <w:rFonts w:ascii="Times New Roman" w:hAnsi="Times New Roman"/>
          <w:sz w:val="20"/>
        </w:rPr>
        <w:t xml:space="preserve">To comply with applicable state securities laws, the securities covered by this prospectus will be sold, if necessary, in such jurisdictions only through registered or licensed brokers or dealers. In addition, the securities may not be sold in some states absent registration or pursuant to an exemption from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8" w:name="tx798575_9"/>
      <w:bookmarkEnd w:id="28"/>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Our SEC filings, including the filings that are incorporated by reference into this prospectus, are available to the public over the Internet at the SECs website at www.sec.gov. Copies of certain information filed by us with the SEC are also available on our website at www.investors.soterahealth.com. Information accessible on or through our website is not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9" w:name="tx798575_10"/>
      <w:bookmarkEnd w:id="29"/>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7">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February 27,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w:t>
            </w:r>
            <w:hyperlink r:id="rId8">
              <w:r>
                <w:rPr>
                  <w:rStyle w:val="InternetLink"/>
                  <w:rFonts w:ascii="Times New Roman" w:hAnsi="Times New Roman"/>
                  <w:sz w:val="20"/>
                </w:rPr>
                <w:t>Schedule 14A</w:t>
              </w:r>
            </w:hyperlink>
            <w:r>
              <w:rPr>
                <w:rFonts w:ascii="Times New Roman" w:hAnsi="Times New Roman"/>
                <w:sz w:val="20"/>
              </w:rPr>
              <w:t xml:space="preserve">, filed with the SEC on April  13, 2023 (solely to the extent specifically incorporated by reference into our Annual Report on </w:t>
            </w:r>
            <w:hyperlink r:id="rId9">
              <w:r>
                <w:rPr>
                  <w:rStyle w:val="InternetLink"/>
                  <w:rFonts w:ascii="Times New Roman" w:hAnsi="Times New Roman"/>
                  <w:sz w:val="20"/>
                </w:rPr>
                <w:t>Form 10-K</w:t>
              </w:r>
            </w:hyperlink>
            <w:r>
              <w:rPr>
                <w:rFonts w:ascii="Times New Roman" w:hAnsi="Times New Roman"/>
                <w:sz w:val="20"/>
              </w:rPr>
              <w:t xml:space="preserve"> for the fiscal year ended December 31, 2022);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additional documents that we file with the SEC under Sections 13(a), 13(c), 14 or 15(d) of the Securities and Exchange Act of 1934 between the date of this prospectus and the end of the offering of the securities described in this prospectus. Those documents include Annual Reports on Form 10-K, Quarterly Reports on Form 10-Q, and Current Reports on Form 8-K mailed to our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Sotera Health Company, 9100 South Hills Blvd, Suite 300 Broadview Heights, Ohio 44147. </w:t>
      </w:r>
    </w:p>
    <w:p>
      <w:pPr>
        <w:pStyle w:val="TextBody"/>
        <w:bidi w:val="0"/>
        <w:spacing w:before="240" w:after="0"/>
        <w:jc w:val="left"/>
        <w:rPr>
          <w:rFonts w:ascii="Times New Roman" w:hAnsi="Times New Roman"/>
          <w:sz w:val="20"/>
        </w:rPr>
      </w:pPr>
      <w:r>
        <w:rPr>
          <w:rFonts w:ascii="Times New Roman" w:hAnsi="Times New Roman"/>
          <w:sz w:val="20"/>
        </w:rPr>
        <w:t xml:space="preserve">Exhibits to any documents incorporated by reference in this prospectus will not be sent, however, unless those exhibits have been specifically referenced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0" w:name="tx798575_11"/>
      <w:bookmarkEnd w:id="30"/>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Cleary Gottlieb Steen &amp; Hamilton LLP, New York, New York will pass upon the legality of the shares of common stock covered by this prospectus. Any underwriters will be advised about legal matters by their own counsel, which will be named in an accompanying prospectus supplement. Certain legal matters with respect to any selling stockholder will be passed upon by their own counsel, which will be named in an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31" w:name="tx798575_12"/>
      <w:bookmarkEnd w:id="31"/>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Sotera Health Company appearing in Sotera Health Companys Annual Report on Form 10-K for the year ended December 31, 2023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pBdr>
          <w:bottom w:val="single" w:sz="16"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2000" w:after="0"/>
        <w:jc w:val="center"/>
        <w:rPr>
          <w:rFonts w:ascii="Times New Roman" w:hAnsi="Times New Roman"/>
          <w:b/>
          <w:sz w:val="32"/>
        </w:rPr>
      </w:pPr>
      <w:r>
        <w:rPr>
          <w:rFonts w:ascii="Times New Roman" w:hAnsi="Times New Roman"/>
          <w:b/>
          <w:sz w:val="32"/>
        </w:rPr>
        <w:t xml:space="preserve">25,000,000 Shares </w:t>
      </w:r>
    </w:p>
    <w:p>
      <w:pPr>
        <w:pStyle w:val="TextBody"/>
        <w:bidi w:val="0"/>
        <w:spacing w:before="0" w:after="0"/>
        <w:jc w:val="left"/>
        <w:rPr/>
      </w:pPr>
      <w:r>
        <w:rPr/>
        <w:t> </w:t>
      </w:r>
    </w:p>
    <w:p>
      <w:pPr>
        <w:pStyle w:val="TextBody"/>
        <w:bidi w:val="0"/>
        <w:spacing w:before="0" w:after="0"/>
        <w:jc w:val="center"/>
        <w:rPr/>
      </w:pPr>
      <w:r>
        <w:rPr/>
        <w:drawing>
          <wp:inline distT="0" distB="0" distL="0" distR="0">
            <wp:extent cx="140335" cy="469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0"/>
                    <a:stretch>
                      <a:fillRect/>
                    </a:stretch>
                  </pic:blipFill>
                  <pic:spPr bwMode="auto">
                    <a:xfrm>
                      <a:off x="0" y="0"/>
                      <a:ext cx="140335" cy="46990"/>
                    </a:xfrm>
                    <a:prstGeom prst="rect">
                      <a:avLst/>
                    </a:prstGeom>
                  </pic:spPr>
                </pic:pic>
              </a:graphicData>
            </a:graphic>
          </wp:inline>
        </w:drawing>
      </w:r>
      <w:r>
        <w:rPr/>
        <w:t xml:space="preserve"> </w:t>
      </w:r>
    </w:p>
    <w:p>
      <w:pPr>
        <w:pStyle w:val="TextBody"/>
        <w:bidi w:val="0"/>
        <w:spacing w:before="80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400" w:after="0"/>
        <w:jc w:val="center"/>
        <w:rPr>
          <w:rFonts w:ascii="Times New Roman" w:hAnsi="Times New Roman"/>
          <w:b/>
          <w:sz w:val="28"/>
        </w:rPr>
      </w:pPr>
      <w:r>
        <w:rPr>
          <w:rFonts w:ascii="Times New Roman" w:hAnsi="Times New Roman"/>
          <w:b/>
          <w:sz w:val="28"/>
        </w:rPr>
        <w:t xml:space="preserve">Prospectus Supplement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0" w:after="0"/>
        <w:jc w:val="center"/>
        <w:rPr/>
      </w:pPr>
      <w:r>
        <w:rPr/>
        <w:t>   </w:t>
      </w:r>
      <w:r>
        <w:rPr>
          <w:rFonts w:ascii="Times New Roman" w:hAnsi="Times New Roman"/>
          <w:b/>
          <w:sz w:val="28"/>
        </w:rPr>
        <w:t xml:space="preserve">, 2024 </w:t>
      </w:r>
    </w:p>
    <w:p>
      <w:pPr>
        <w:pStyle w:val="TextBody"/>
        <w:bidi w:val="0"/>
        <w:spacing w:before="1200" w:after="0"/>
        <w:jc w:val="center"/>
        <w:rPr>
          <w:rFonts w:ascii="Times New Roman" w:hAnsi="Times New Roman"/>
          <w:b/>
          <w:sz w:val="28"/>
        </w:rPr>
      </w:pPr>
      <w:r>
        <w:rPr>
          <w:rFonts w:ascii="Times New Roman" w:hAnsi="Times New Roman"/>
          <w:b/>
          <w:sz w:val="28"/>
        </w:rPr>
        <w:t xml:space="preserve">J.P. Morgan </w:t>
      </w:r>
    </w:p>
    <w:p>
      <w:pPr>
        <w:pStyle w:val="TextBody"/>
        <w:bidi w:val="0"/>
        <w:spacing w:before="120" w:after="0"/>
        <w:jc w:val="center"/>
        <w:rPr>
          <w:rFonts w:ascii="Times New Roman" w:hAnsi="Times New Roman"/>
          <w:b/>
          <w:sz w:val="28"/>
        </w:rPr>
      </w:pPr>
      <w:r>
        <w:rPr>
          <w:rFonts w:ascii="Times New Roman" w:hAnsi="Times New Roman"/>
          <w:b/>
          <w:sz w:val="28"/>
        </w:rPr>
        <w:t xml:space="preserve">Goldman Sachs &amp; Co. LLC </w:t>
      </w:r>
    </w:p>
    <w:p>
      <w:pPr>
        <w:pStyle w:val="TextBody"/>
        <w:bidi w:val="0"/>
        <w:spacing w:before="120" w:after="0"/>
        <w:jc w:val="center"/>
        <w:rPr>
          <w:rFonts w:ascii="Times New Roman" w:hAnsi="Times New Roman"/>
          <w:b/>
          <w:sz w:val="28"/>
        </w:rPr>
      </w:pPr>
      <w:r>
        <w:rPr>
          <w:rFonts w:ascii="Times New Roman" w:hAnsi="Times New Roman"/>
          <w:b/>
          <w:sz w:val="28"/>
        </w:rPr>
        <w:t xml:space="preserve">Citigroup </w:t>
      </w:r>
    </w:p>
    <w:p>
      <w:pPr>
        <w:pStyle w:val="TextBody"/>
        <w:bidi w:val="0"/>
        <w:spacing w:before="120" w:after="0"/>
        <w:jc w:val="center"/>
        <w:rPr>
          <w:rFonts w:ascii="Times New Roman" w:hAnsi="Times New Roman"/>
          <w:b/>
          <w:sz w:val="28"/>
        </w:rPr>
      </w:pPr>
      <w:r>
        <w:rPr>
          <w:rFonts w:ascii="Times New Roman" w:hAnsi="Times New Roman"/>
          <w:b/>
          <w:sz w:val="28"/>
        </w:rPr>
        <w:t xml:space="preserve">Jefferies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16" w:space="1" w:color="000000"/>
        </w:pBdr>
        <w:bidi w:val="0"/>
        <w:spacing w:lineRule="atLeast" w:line="142" w:before="0" w:after="4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822479/000182247924000011/shc-20231231.htm" TargetMode="External"/><Relationship Id="rId4" Type="http://schemas.openxmlformats.org/officeDocument/2006/relationships/hyperlink" Target="http://www.sec.gov/Archives/edgar/data/../../../ix?doc=/Archives/edgar/data/1822479/000119312523099939/d425483ddef14a.htm" TargetMode="External"/><Relationship Id="rId5" Type="http://schemas.openxmlformats.org/officeDocument/2006/relationships/hyperlink" Target="http://www.sec.gov/Archives/edgar/data/../../../ix?doc=/Archives/edgar/data/1822479/000182247923000015/shc-20221231.htm" TargetMode="External"/><Relationship Id="rId6" Type="http://schemas.openxmlformats.org/officeDocument/2006/relationships/image" Target="media/image2.jpeg"/><Relationship Id="rId7" Type="http://schemas.openxmlformats.org/officeDocument/2006/relationships/hyperlink" Target="http://www.sec.gov/Archives/edgar/data/../../../ix?doc=/Archives/edgar/data/0001822479/000182247924000011/shc-20231231.htm" TargetMode="External"/><Relationship Id="rId8" Type="http://schemas.openxmlformats.org/officeDocument/2006/relationships/hyperlink" Target="http://www.sec.gov/Archives/edgar/data/../../../ix?doc=/Archives/edgar/data/1822479/000119312523099939/d425483ddef14a.htm" TargetMode="External"/><Relationship Id="rId9" Type="http://schemas.openxmlformats.org/officeDocument/2006/relationships/hyperlink" Target="http://www.sec.gov/Archives/edgar/data/../../../ix?doc=/Archives/edgar/data/1822479/000182247923000015/shc-20221231.htm" TargetMode="External"/><Relationship Id="rId10" Type="http://schemas.openxmlformats.org/officeDocument/2006/relationships/image" Target="media/image1.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27893</Words>
  <Characters>146609</Characters>
  <CharactersWithSpaces>175051</CharactersWithSpaces>
  <Paragraphs>2911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424B7</dc:title>
</cp:coreProperties>
</file>