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58953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5895340"/>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Rutz Michael P</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right="260"/>
        <w:spacing w:after="0" w:line="380" w:lineRule="auto"/>
        <w:rPr>
          <w:sz w:val="20"/>
          <w:szCs w:val="20"/>
          <w:color w:val="auto"/>
        </w:rPr>
      </w:pPr>
      <w:r>
        <w:rPr>
          <w:rFonts w:ascii="Times New Roman" w:cs="Times New Roman" w:eastAsia="Times New Roman" w:hAnsi="Times New Roman"/>
          <w:sz w:val="16"/>
          <w:szCs w:val="16"/>
          <w:color w:val="0000FF"/>
        </w:rPr>
        <w:t>C/O SOTERA HEALTH COMPANY 9100 SOUTH HILLS BLVD,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Sotera Health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SHC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0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11/20/2024</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797"/>
        <w:spacing w:after="0"/>
        <w:rPr>
          <w:sz w:val="20"/>
          <w:szCs w:val="20"/>
          <w:color w:val="auto"/>
        </w:rPr>
      </w:pPr>
      <w:r>
        <w:rPr>
          <w:rFonts w:ascii="Times New Roman" w:cs="Times New Roman" w:eastAsia="Times New Roman" w:hAnsi="Times New Roman"/>
          <w:sz w:val="17"/>
          <w:szCs w:val="17"/>
          <w:color w:val="0000FF"/>
        </w:rPr>
        <w:t>President of Sterigenics</w:t>
      </w:r>
    </w:p>
    <w:p>
      <w:pPr>
        <w:spacing w:after="0" w:line="533" w:lineRule="exact"/>
        <w:rPr>
          <w:sz w:val="24"/>
          <w:szCs w:val="24"/>
          <w:color w:val="auto"/>
        </w:rPr>
      </w:pPr>
    </w:p>
    <w:p>
      <w:pPr>
        <w:sectPr>
          <w:pgSz w:w="11900" w:h="16838" w:orient="portrait"/>
          <w:cols w:equalWidth="0" w:num="3">
            <w:col w:w="3180" w:space="720"/>
            <w:col w:w="3103" w:space="720"/>
            <w:col w:w="3357"/>
          </w:cols>
          <w:pgMar w:left="460" w:top="217" w:right="359" w:bottom="0" w:gutter="0" w:footer="0" w:header="0"/>
          <w:type w:val="continuous"/>
        </w:sectPr>
      </w:pPr>
    </w:p>
    <w:tbl>
      <w:tblPr>
        <w:tblLayout w:type="fixed"/>
        <w:tblInd w:w="0" w:type="dxa"/>
        <w:tblCellMar>
          <w:top w:w="0" w:type="dxa"/>
          <w:left w:w="0" w:type="dxa"/>
          <w:bottom w:w="0" w:type="dxa"/>
          <w:right w:w="0" w:type="dxa"/>
        </w:tblCellMar>
      </w:tblPr>
      <w:tr>
        <w:trPr>
          <w:trHeight w:val="4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shd w:val="clear" w:color="auto" w:fill="9A9A9A"/>
          </w:tcPr>
          <w:p>
            <w:pPr>
              <w:spacing w:after="0"/>
              <w:rPr>
                <w:sz w:val="3"/>
                <w:szCs w:val="3"/>
                <w:color w:val="auto"/>
              </w:rPr>
            </w:pPr>
          </w:p>
        </w:tc>
        <w:tc>
          <w:tcPr>
            <w:tcW w:w="600" w:type="dxa"/>
            <w:vAlign w:val="bottom"/>
            <w:shd w:val="clear" w:color="auto" w:fill="9A9A9A"/>
          </w:tcPr>
          <w:p>
            <w:pPr>
              <w:spacing w:after="0"/>
              <w:rPr>
                <w:sz w:val="3"/>
                <w:szCs w:val="3"/>
                <w:color w:val="auto"/>
              </w:rPr>
            </w:pPr>
          </w:p>
        </w:tc>
        <w:tc>
          <w:tcPr>
            <w:tcW w:w="180" w:type="dxa"/>
            <w:vAlign w:val="bottom"/>
            <w:shd w:val="clear" w:color="auto" w:fill="9A9A9A"/>
          </w:tcPr>
          <w:p>
            <w:pPr>
              <w:spacing w:after="0"/>
              <w:rPr>
                <w:sz w:val="3"/>
                <w:szCs w:val="3"/>
                <w:color w:val="auto"/>
              </w:rPr>
            </w:pPr>
          </w:p>
        </w:tc>
        <w:tc>
          <w:tcPr>
            <w:tcW w:w="1040" w:type="dxa"/>
            <w:vAlign w:val="bottom"/>
            <w:shd w:val="clear" w:color="auto" w:fill="9A9A9A"/>
          </w:tcPr>
          <w:p>
            <w:pPr>
              <w:spacing w:after="0"/>
              <w:rPr>
                <w:sz w:val="3"/>
                <w:szCs w:val="3"/>
                <w:color w:val="auto"/>
              </w:rPr>
            </w:pPr>
          </w:p>
        </w:tc>
        <w:tc>
          <w:tcPr>
            <w:tcW w:w="580" w:type="dxa"/>
            <w:vAlign w:val="bottom"/>
            <w:shd w:val="clear" w:color="auto" w:fill="9A9A9A"/>
          </w:tcPr>
          <w:p>
            <w:pPr>
              <w:spacing w:after="0"/>
              <w:rPr>
                <w:sz w:val="3"/>
                <w:szCs w:val="3"/>
                <w:color w:val="auto"/>
              </w:rPr>
            </w:pPr>
          </w:p>
        </w:tc>
        <w:tc>
          <w:tcPr>
            <w:tcW w:w="560" w:type="dxa"/>
            <w:vAlign w:val="bottom"/>
            <w:shd w:val="clear" w:color="auto" w:fill="9A9A9A"/>
          </w:tcPr>
          <w:p>
            <w:pPr>
              <w:spacing w:after="0"/>
              <w:rPr>
                <w:sz w:val="3"/>
                <w:szCs w:val="3"/>
                <w:color w:val="auto"/>
              </w:rPr>
            </w:pPr>
          </w:p>
        </w:tc>
        <w:tc>
          <w:tcPr>
            <w:tcW w:w="80" w:type="dxa"/>
            <w:vAlign w:val="bottom"/>
            <w:shd w:val="clear" w:color="auto" w:fill="9A9A9A"/>
          </w:tcPr>
          <w:p>
            <w:pPr>
              <w:spacing w:after="0"/>
              <w:rPr>
                <w:sz w:val="3"/>
                <w:szCs w:val="3"/>
                <w:color w:val="auto"/>
              </w:rPr>
            </w:pPr>
          </w:p>
        </w:tc>
        <w:tc>
          <w:tcPr>
            <w:tcW w:w="3620" w:type="dxa"/>
            <w:vAlign w:val="bottom"/>
            <w:gridSpan w:val="8"/>
            <w:vMerge w:val="restart"/>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720" w:type="dxa"/>
            <w:vAlign w:val="bottom"/>
            <w:gridSpan w:val="10"/>
            <w:vMerge w:val="restart"/>
          </w:tcPr>
          <w:p>
            <w:pPr>
              <w:ind w:left="3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20" w:type="dxa"/>
            <w:vAlign w:val="bottom"/>
            <w:gridSpan w:val="8"/>
            <w:vMerge w:val="continue"/>
          </w:tcPr>
          <w:p>
            <w:pPr>
              <w:spacing w:after="0"/>
              <w:rPr>
                <w:sz w:val="9"/>
                <w:szCs w:val="9"/>
                <w:color w:val="auto"/>
              </w:rPr>
            </w:pPr>
          </w:p>
        </w:tc>
        <w:tc>
          <w:tcPr>
            <w:tcW w:w="372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gridSpan w:val="2"/>
          </w:tcPr>
          <w:p>
            <w:pPr>
              <w:ind w:left="36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BROADVIEW</w:t>
            </w:r>
          </w:p>
        </w:tc>
        <w:tc>
          <w:tcPr>
            <w:tcW w:w="12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OH</w:t>
            </w: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44147</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gridSpan w:val="2"/>
            <w:vMerge w:val="restart"/>
          </w:tcPr>
          <w:p>
            <w:pPr>
              <w:ind w:left="20"/>
              <w:spacing w:after="0" w:line="194" w:lineRule="exact"/>
              <w:rPr>
                <w:sz w:val="20"/>
                <w:szCs w:val="20"/>
                <w:color w:val="auto"/>
              </w:rPr>
            </w:pPr>
            <w:r>
              <w:rPr>
                <w:rFonts w:ascii="Times New Roman" w:cs="Times New Roman" w:eastAsia="Times New Roman" w:hAnsi="Times New Roman"/>
                <w:sz w:val="17"/>
                <w:szCs w:val="17"/>
                <w:color w:val="0000FF"/>
              </w:rPr>
              <w:t>HEIGHTS</w:t>
            </w:r>
          </w:p>
        </w:tc>
        <w:tc>
          <w:tcPr>
            <w:tcW w:w="122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8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6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00" w:type="dxa"/>
            <w:vAlign w:val="bottom"/>
          </w:tcPr>
          <w:p>
            <w:pPr>
              <w:spacing w:after="0"/>
              <w:rPr>
                <w:sz w:val="24"/>
                <w:szCs w:val="24"/>
                <w:color w:val="auto"/>
              </w:rPr>
            </w:pPr>
          </w:p>
        </w:tc>
        <w:tc>
          <w:tcPr>
            <w:tcW w:w="12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580" w:type="dxa"/>
            <w:vAlign w:val="bottom"/>
          </w:tcPr>
          <w:p>
            <w:pPr>
              <w:ind w:left="40"/>
              <w:spacing w:after="0"/>
              <w:rPr>
                <w:sz w:val="20"/>
                <w:szCs w:val="20"/>
                <w:color w:val="auto"/>
              </w:rPr>
            </w:pPr>
            <w:r>
              <w:rPr>
                <w:rFonts w:ascii="Arial" w:cs="Arial" w:eastAsia="Arial" w:hAnsi="Arial"/>
                <w:sz w:val="13"/>
                <w:szCs w:val="13"/>
                <w:color w:val="auto"/>
              </w:rPr>
              <w:t>(Zip)</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4"/>
          </w:tcPr>
          <w:p>
            <w:pPr>
              <w:spacing w:after="0"/>
              <w:rPr>
                <w:sz w:val="10"/>
                <w:szCs w:val="10"/>
                <w:color w:val="auto"/>
              </w:rPr>
            </w:pPr>
          </w:p>
        </w:tc>
        <w:tc>
          <w:tcPr>
            <w:tcW w:w="4220" w:type="dxa"/>
            <w:vAlign w:val="bottom"/>
            <w:tcBorders>
              <w:bottom w:val="single" w:sz="8" w:color="2C2C2C"/>
            </w:tcBorders>
            <w:gridSpan w:val="9"/>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6"/>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80" w:type="dxa"/>
            <w:vAlign w:val="bottom"/>
          </w:tcPr>
          <w:p>
            <w:pPr>
              <w:spacing w:after="0"/>
              <w:rPr>
                <w:sz w:val="14"/>
                <w:szCs w:val="14"/>
                <w:color w:val="auto"/>
              </w:rPr>
            </w:pPr>
          </w:p>
        </w:tc>
        <w:tc>
          <w:tcPr>
            <w:tcW w:w="1280" w:type="dxa"/>
            <w:vAlign w:val="bottom"/>
            <w:gridSpan w:val="3"/>
          </w:tcPr>
          <w:p>
            <w:pPr>
              <w:ind w:left="200"/>
              <w:spacing w:after="0"/>
              <w:rPr>
                <w:sz w:val="20"/>
                <w:szCs w:val="20"/>
                <w:color w:val="auto"/>
              </w:rPr>
            </w:pPr>
            <w:r>
              <w:rPr>
                <w:rFonts w:ascii="Arial" w:cs="Arial" w:eastAsia="Arial" w:hAnsi="Arial"/>
                <w:sz w:val="12"/>
                <w:szCs w:val="12"/>
                <w:b w:val="1"/>
                <w:bCs w:val="1"/>
                <w:color w:val="auto"/>
              </w:rPr>
              <w:t>2. Transaction</w:t>
            </w:r>
          </w:p>
        </w:tc>
        <w:tc>
          <w:tcPr>
            <w:tcW w:w="78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4"/>
                <w:szCs w:val="14"/>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ind w:left="20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12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80" w:type="dxa"/>
            <w:vAlign w:val="bottom"/>
            <w:gridSpan w:val="3"/>
          </w:tcPr>
          <w:p>
            <w:pPr>
              <w:ind w:left="20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24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8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w w:val="96"/>
              </w:rPr>
              <w:t>Amount</w:t>
            </w:r>
          </w:p>
        </w:tc>
        <w:tc>
          <w:tcPr>
            <w:tcW w:w="140" w:type="dxa"/>
            <w:vAlign w:val="bottom"/>
          </w:tcPr>
          <w:p>
            <w:pPr>
              <w:spacing w:after="0"/>
              <w:rPr>
                <w:sz w:val="11"/>
                <w:szCs w:val="11"/>
                <w:color w:val="auto"/>
              </w:rPr>
            </w:pPr>
          </w:p>
        </w:tc>
        <w:tc>
          <w:tcPr>
            <w:tcW w:w="520" w:type="dxa"/>
            <w:vAlign w:val="bottom"/>
          </w:tcPr>
          <w:p>
            <w:pPr>
              <w:ind w:left="220"/>
              <w:spacing w:after="0" w:line="129" w:lineRule="exact"/>
              <w:rPr>
                <w:sz w:val="20"/>
                <w:szCs w:val="20"/>
                <w:color w:val="auto"/>
              </w:rPr>
            </w:pPr>
            <w:r>
              <w:rPr>
                <w:rFonts w:ascii="Arial" w:cs="Arial" w:eastAsia="Arial" w:hAnsi="Arial"/>
                <w:sz w:val="12"/>
                <w:szCs w:val="12"/>
                <w:b w:val="1"/>
                <w:bCs w:val="1"/>
                <w:color w:val="auto"/>
                <w:w w:val="87"/>
              </w:rPr>
              <w:t>(A) or</w:t>
            </w:r>
          </w:p>
        </w:tc>
        <w:tc>
          <w:tcPr>
            <w:tcW w:w="66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3080" w:type="dxa"/>
            <w:vAlign w:val="bottom"/>
            <w:tcBorders>
              <w:bottom w:val="single" w:sz="8" w:color="2C2C2C"/>
            </w:tcBorders>
            <w:gridSpan w:val="6"/>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308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 share</w:t>
            </w:r>
          </w:p>
        </w:tc>
        <w:tc>
          <w:tcPr>
            <w:tcW w:w="1280" w:type="dxa"/>
            <w:vAlign w:val="bottom"/>
            <w:gridSpan w:val="3"/>
            <w:vMerge w:val="restart"/>
          </w:tcPr>
          <w:p>
            <w:pPr>
              <w:jc w:val="center"/>
              <w:ind w:left="12"/>
              <w:spacing w:after="0"/>
              <w:rPr>
                <w:sz w:val="20"/>
                <w:szCs w:val="20"/>
                <w:color w:val="auto"/>
              </w:rPr>
            </w:pPr>
            <w:r>
              <w:rPr>
                <w:rFonts w:ascii="Times New Roman" w:cs="Times New Roman" w:eastAsia="Times New Roman" w:hAnsi="Times New Roman"/>
                <w:sz w:val="17"/>
                <w:szCs w:val="17"/>
                <w:color w:val="0000FF"/>
                <w:w w:val="98"/>
              </w:rPr>
              <w:t>11/20/2024</w:t>
            </w: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200" w:type="dxa"/>
            <w:vAlign w:val="bottom"/>
          </w:tcPr>
          <w:p>
            <w:pPr>
              <w:spacing w:after="0"/>
              <w:rPr>
                <w:sz w:val="21"/>
                <w:szCs w:val="21"/>
                <w:color w:val="auto"/>
              </w:rPr>
            </w:pPr>
          </w:p>
        </w:tc>
        <w:tc>
          <w:tcPr>
            <w:tcW w:w="6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w w:val="91"/>
              </w:rPr>
              <w:t>2,889</w:t>
            </w:r>
            <w:r>
              <w:rPr>
                <w:rFonts w:ascii="Times New Roman" w:cs="Times New Roman" w:eastAsia="Times New Roman" w:hAnsi="Times New Roman"/>
                <w:sz w:val="21"/>
                <w:szCs w:val="21"/>
                <w:color w:val="008000"/>
                <w:w w:val="91"/>
                <w:vertAlign w:val="superscript"/>
              </w:rPr>
              <w:t>(1)</w:t>
            </w:r>
          </w:p>
        </w:tc>
        <w:tc>
          <w:tcPr>
            <w:tcW w:w="5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gridSpan w:val="3"/>
            <w:vMerge w:val="restart"/>
          </w:tcPr>
          <w:p>
            <w:pPr>
              <w:ind w:left="2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13.21</w:t>
            </w:r>
          </w:p>
        </w:tc>
        <w:tc>
          <w:tcPr>
            <w:tcW w:w="12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7"/>
                <w:szCs w:val="17"/>
                <w:color w:val="0000FF"/>
              </w:rPr>
              <w:t>541,520</w:t>
            </w:r>
            <w:r>
              <w:rPr>
                <w:rFonts w:ascii="Times New Roman" w:cs="Times New Roman" w:eastAsia="Times New Roman" w:hAnsi="Times New Roman"/>
                <w:sz w:val="21"/>
                <w:szCs w:val="21"/>
                <w:color w:val="008000"/>
                <w:vertAlign w:val="superscript"/>
              </w:rPr>
              <w:t>(2)</w:t>
            </w:r>
          </w:p>
        </w:tc>
        <w:tc>
          <w:tcPr>
            <w:tcW w:w="260" w:type="dxa"/>
            <w:vAlign w:val="bottom"/>
          </w:tcPr>
          <w:p>
            <w:pPr>
              <w:spacing w:after="0"/>
              <w:rPr>
                <w:sz w:val="21"/>
                <w:szCs w:val="21"/>
                <w:color w:val="auto"/>
              </w:rPr>
            </w:pP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4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60" w:type="dxa"/>
            <w:vAlign w:val="bottom"/>
            <w:gridSpan w:val="4"/>
            <w:vMerge w:val="continue"/>
          </w:tcPr>
          <w:p>
            <w:pPr>
              <w:spacing w:after="0"/>
              <w:rPr>
                <w:sz w:val="4"/>
                <w:szCs w:val="4"/>
                <w:color w:val="auto"/>
              </w:rPr>
            </w:pPr>
          </w:p>
        </w:tc>
        <w:tc>
          <w:tcPr>
            <w:tcW w:w="1040" w:type="dxa"/>
            <w:vAlign w:val="bottom"/>
          </w:tcPr>
          <w:p>
            <w:pPr>
              <w:spacing w:after="0"/>
              <w:rPr>
                <w:sz w:val="4"/>
                <w:szCs w:val="4"/>
                <w:color w:val="auto"/>
              </w:rPr>
            </w:pPr>
          </w:p>
        </w:tc>
        <w:tc>
          <w:tcPr>
            <w:tcW w:w="58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5440" w:type="dxa"/>
            <w:vAlign w:val="bottom"/>
            <w:tcBorders>
              <w:bottom w:val="single" w:sz="8" w:color="2C2C2C"/>
            </w:tcBorders>
            <w:gridSpan w:val="12"/>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1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5"/>
          </w:tcPr>
          <w:p>
            <w:pPr>
              <w:jc w:val="center"/>
              <w:ind w:right="98"/>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920" w:type="dxa"/>
            <w:vAlign w:val="bottom"/>
            <w:gridSpan w:val="12"/>
          </w:tcPr>
          <w:p>
            <w:pPr>
              <w:jc w:val="center"/>
              <w:ind w:right="4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gridSpan w:val="4"/>
          </w:tcPr>
          <w:p>
            <w:pPr>
              <w:spacing w:after="0"/>
              <w:rPr>
                <w:sz w:val="2"/>
                <w:szCs w:val="2"/>
                <w:color w:val="auto"/>
              </w:rPr>
            </w:pPr>
          </w:p>
        </w:tc>
        <w:tc>
          <w:tcPr>
            <w:tcW w:w="12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jc w:val="center"/>
              <w:ind w:right="435"/>
              <w:spacing w:after="0"/>
              <w:rPr>
                <w:sz w:val="20"/>
                <w:szCs w:val="20"/>
                <w:color w:val="auto"/>
              </w:rPr>
            </w:pPr>
            <w:r>
              <w:rPr>
                <w:rFonts w:ascii="Arial" w:cs="Arial" w:eastAsia="Arial" w:hAnsi="Arial"/>
                <w:sz w:val="12"/>
                <w:szCs w:val="12"/>
                <w:b w:val="1"/>
                <w:bCs w:val="1"/>
                <w:color w:val="auto"/>
                <w:w w:val="99"/>
              </w:rPr>
              <w:t>4.</w:t>
            </w:r>
          </w:p>
        </w:tc>
        <w:tc>
          <w:tcPr>
            <w:tcW w:w="78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104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132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5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560" w:type="dxa"/>
            <w:vAlign w:val="bottom"/>
          </w:tcPr>
          <w:p>
            <w:pPr>
              <w:spacing w:after="0"/>
              <w:rPr>
                <w:sz w:val="11"/>
                <w:szCs w:val="11"/>
                <w:color w:val="auto"/>
              </w:rPr>
            </w:pP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500" w:type="dxa"/>
            <w:vAlign w:val="bottom"/>
          </w:tcPr>
          <w:p>
            <w:pPr>
              <w:spacing w:after="0"/>
              <w:rPr>
                <w:sz w:val="11"/>
                <w:szCs w:val="11"/>
                <w:color w:val="auto"/>
              </w:rPr>
            </w:pPr>
          </w:p>
        </w:tc>
        <w:tc>
          <w:tcPr>
            <w:tcW w:w="6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jc w:val="center"/>
              <w:ind w:right="435"/>
              <w:spacing w:after="0" w:line="129" w:lineRule="exact"/>
              <w:rPr>
                <w:sz w:val="20"/>
                <w:szCs w:val="20"/>
                <w:color w:val="auto"/>
              </w:rPr>
            </w:pPr>
            <w:r>
              <w:rPr>
                <w:rFonts w:ascii="Arial" w:cs="Arial" w:eastAsia="Arial" w:hAnsi="Arial"/>
                <w:sz w:val="12"/>
                <w:szCs w:val="12"/>
                <w:b w:val="1"/>
                <w:bCs w:val="1"/>
                <w:color w:val="auto"/>
                <w:w w:val="93"/>
              </w:rPr>
              <w:t>8)</w:t>
            </w: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2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2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(Instr. 3, 4</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jc w:val="center"/>
              <w:spacing w:after="0"/>
              <w:rPr>
                <w:sz w:val="20"/>
                <w:szCs w:val="20"/>
                <w:color w:val="auto"/>
              </w:rPr>
            </w:pPr>
            <w:r>
              <w:rPr>
                <w:rFonts w:ascii="Arial" w:cs="Arial" w:eastAsia="Arial" w:hAnsi="Arial"/>
                <w:sz w:val="12"/>
                <w:szCs w:val="12"/>
                <w:b w:val="1"/>
                <w:bCs w:val="1"/>
                <w:color w:val="auto"/>
                <w:w w:val="95"/>
              </w:rPr>
              <w:t>Exercisable</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00" w:type="dxa"/>
            <w:vAlign w:val="bottom"/>
            <w:vMerge w:val="restart"/>
          </w:tcPr>
          <w:p>
            <w:pPr>
              <w:jc w:val="center"/>
              <w:ind w:left="14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14.59</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vMerge w:val="restart"/>
          </w:tcPr>
          <w:p>
            <w:pPr>
              <w:jc w:val="center"/>
              <w:ind w:right="223"/>
              <w:spacing w:after="0"/>
              <w:rPr>
                <w:sz w:val="20"/>
                <w:szCs w:val="20"/>
                <w:color w:val="auto"/>
              </w:rPr>
            </w:pPr>
            <w:r>
              <w:rPr>
                <w:rFonts w:ascii="Times New Roman" w:cs="Times New Roman" w:eastAsia="Times New Roman" w:hAnsi="Times New Roman"/>
                <w:sz w:val="11"/>
                <w:szCs w:val="11"/>
                <w:color w:val="008000"/>
                <w:w w:val="93"/>
              </w:rPr>
              <w:t>(4)</w:t>
            </w:r>
          </w:p>
        </w:tc>
        <w:tc>
          <w:tcPr>
            <w:tcW w:w="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03/04/2034</w:t>
            </w: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68,063</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vMerge w:val="restart"/>
          </w:tcPr>
          <w:p>
            <w:pPr>
              <w:jc w:val="center"/>
              <w:ind w:left="140"/>
              <w:spacing w:after="0"/>
              <w:rPr>
                <w:sz w:val="20"/>
                <w:szCs w:val="20"/>
                <w:color w:val="auto"/>
              </w:rPr>
            </w:pPr>
            <w:r>
              <w:rPr>
                <w:rFonts w:ascii="Times New Roman" w:cs="Times New Roman" w:eastAsia="Times New Roman" w:hAnsi="Times New Roman"/>
                <w:sz w:val="13"/>
                <w:szCs w:val="13"/>
                <w:color w:val="0000FF"/>
                <w:w w:val="94"/>
              </w:rPr>
              <w:t>68,063</w:t>
            </w:r>
          </w:p>
        </w:tc>
        <w:tc>
          <w:tcPr>
            <w:tcW w:w="260" w:type="dxa"/>
            <w:vAlign w:val="bottom"/>
          </w:tcPr>
          <w:p>
            <w:pPr>
              <w:spacing w:after="0"/>
              <w:rPr>
                <w:sz w:val="15"/>
                <w:szCs w:val="15"/>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tcPr>
          <w:p>
            <w:pPr>
              <w:ind w:left="60"/>
              <w:spacing w:after="0" w:line="65" w:lineRule="exact"/>
              <w:rPr>
                <w:sz w:val="20"/>
                <w:szCs w:val="20"/>
                <w:color w:val="auto"/>
              </w:rPr>
            </w:pPr>
            <w:r>
              <w:rPr>
                <w:rFonts w:ascii="Times New Roman" w:cs="Times New Roman" w:eastAsia="Times New Roman" w:hAnsi="Times New Roman"/>
                <w:sz w:val="6"/>
                <w:szCs w:val="6"/>
                <w:color w:val="0000FF"/>
              </w:rPr>
              <w:t>Options</w:t>
            </w:r>
            <w:r>
              <w:rPr>
                <w:rFonts w:ascii="Times New Roman" w:cs="Times New Roman" w:eastAsia="Times New Roman" w:hAnsi="Times New Roman"/>
                <w:sz w:val="7"/>
                <w:szCs w:val="7"/>
                <w:color w:val="008000"/>
                <w:vertAlign w:val="superscript"/>
              </w:rPr>
              <w:t>(3)</w:t>
            </w:r>
          </w:p>
        </w:tc>
        <w:tc>
          <w:tcPr>
            <w:tcW w:w="6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line="65" w:lineRule="exact"/>
              <w:rPr>
                <w:sz w:val="20"/>
                <w:szCs w:val="20"/>
                <w:color w:val="auto"/>
              </w:rPr>
            </w:pPr>
            <w:r>
              <w:rPr>
                <w:rFonts w:ascii="Times New Roman" w:cs="Times New Roman" w:eastAsia="Times New Roman" w:hAnsi="Times New Roman"/>
                <w:sz w:val="6"/>
                <w:szCs w:val="6"/>
                <w:color w:val="0000FF"/>
              </w:rPr>
              <w:t>Stock</w:t>
            </w:r>
          </w:p>
        </w:tc>
        <w:tc>
          <w:tcPr>
            <w:tcW w:w="6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680" w:type="dxa"/>
            <w:vAlign w:val="bottom"/>
            <w:tcBorders>
              <w:bottom w:val="single" w:sz="8" w:color="2C2C2C"/>
            </w:tcBorders>
            <w:gridSpan w:val="2"/>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gridSpan w:val="2"/>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00" w:type="dxa"/>
            <w:vAlign w:val="bottom"/>
            <w:vMerge w:val="restart"/>
          </w:tcPr>
          <w:p>
            <w:pPr>
              <w:jc w:val="center"/>
              <w:ind w:left="14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17.59</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vMerge w:val="restart"/>
          </w:tcPr>
          <w:p>
            <w:pPr>
              <w:jc w:val="center"/>
              <w:ind w:right="223"/>
              <w:spacing w:after="0"/>
              <w:rPr>
                <w:sz w:val="20"/>
                <w:szCs w:val="20"/>
                <w:color w:val="auto"/>
              </w:rPr>
            </w:pPr>
            <w:r>
              <w:rPr>
                <w:rFonts w:ascii="Times New Roman" w:cs="Times New Roman" w:eastAsia="Times New Roman" w:hAnsi="Times New Roman"/>
                <w:sz w:val="11"/>
                <w:szCs w:val="11"/>
                <w:color w:val="008000"/>
                <w:w w:val="93"/>
              </w:rPr>
              <w:t>(5)</w:t>
            </w:r>
          </w:p>
        </w:tc>
        <w:tc>
          <w:tcPr>
            <w:tcW w:w="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03/06/2033</w:t>
            </w: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53,879</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vMerge w:val="restart"/>
          </w:tcPr>
          <w:p>
            <w:pPr>
              <w:jc w:val="center"/>
              <w:ind w:left="140"/>
              <w:spacing w:after="0"/>
              <w:rPr>
                <w:sz w:val="20"/>
                <w:szCs w:val="20"/>
                <w:color w:val="auto"/>
              </w:rPr>
            </w:pPr>
            <w:r>
              <w:rPr>
                <w:rFonts w:ascii="Times New Roman" w:cs="Times New Roman" w:eastAsia="Times New Roman" w:hAnsi="Times New Roman"/>
                <w:sz w:val="13"/>
                <w:szCs w:val="13"/>
                <w:color w:val="0000FF"/>
                <w:w w:val="94"/>
              </w:rPr>
              <w:t>53,879</w:t>
            </w:r>
          </w:p>
        </w:tc>
        <w:tc>
          <w:tcPr>
            <w:tcW w:w="260" w:type="dxa"/>
            <w:vAlign w:val="bottom"/>
          </w:tcPr>
          <w:p>
            <w:pPr>
              <w:spacing w:after="0"/>
              <w:rPr>
                <w:sz w:val="15"/>
                <w:szCs w:val="15"/>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tcPr>
          <w:p>
            <w:pPr>
              <w:ind w:left="60"/>
              <w:spacing w:after="0" w:line="65" w:lineRule="exact"/>
              <w:rPr>
                <w:sz w:val="20"/>
                <w:szCs w:val="20"/>
                <w:color w:val="auto"/>
              </w:rPr>
            </w:pPr>
            <w:r>
              <w:rPr>
                <w:rFonts w:ascii="Times New Roman" w:cs="Times New Roman" w:eastAsia="Times New Roman" w:hAnsi="Times New Roman"/>
                <w:sz w:val="6"/>
                <w:szCs w:val="6"/>
                <w:color w:val="0000FF"/>
              </w:rPr>
              <w:t>Options</w:t>
            </w:r>
            <w:r>
              <w:rPr>
                <w:rFonts w:ascii="Times New Roman" w:cs="Times New Roman" w:eastAsia="Times New Roman" w:hAnsi="Times New Roman"/>
                <w:sz w:val="7"/>
                <w:szCs w:val="7"/>
                <w:color w:val="008000"/>
                <w:vertAlign w:val="superscript"/>
              </w:rPr>
              <w:t>(3)</w:t>
            </w:r>
          </w:p>
        </w:tc>
        <w:tc>
          <w:tcPr>
            <w:tcW w:w="6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line="65" w:lineRule="exact"/>
              <w:rPr>
                <w:sz w:val="20"/>
                <w:szCs w:val="20"/>
                <w:color w:val="auto"/>
              </w:rPr>
            </w:pPr>
            <w:r>
              <w:rPr>
                <w:rFonts w:ascii="Times New Roman" w:cs="Times New Roman" w:eastAsia="Times New Roman" w:hAnsi="Times New Roman"/>
                <w:sz w:val="6"/>
                <w:szCs w:val="6"/>
                <w:color w:val="0000FF"/>
              </w:rPr>
              <w:t>Stock</w:t>
            </w:r>
          </w:p>
        </w:tc>
        <w:tc>
          <w:tcPr>
            <w:tcW w:w="6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680" w:type="dxa"/>
            <w:vAlign w:val="bottom"/>
            <w:tcBorders>
              <w:bottom w:val="single" w:sz="8" w:color="2C2C2C"/>
            </w:tcBorders>
            <w:gridSpan w:val="2"/>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gridSpan w:val="2"/>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00" w:type="dxa"/>
            <w:vAlign w:val="bottom"/>
            <w:vMerge w:val="restart"/>
          </w:tcPr>
          <w:p>
            <w:pPr>
              <w:jc w:val="center"/>
              <w:ind w:left="14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20.03</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vMerge w:val="restart"/>
          </w:tcPr>
          <w:p>
            <w:pPr>
              <w:jc w:val="center"/>
              <w:ind w:right="223"/>
              <w:spacing w:after="0"/>
              <w:rPr>
                <w:sz w:val="20"/>
                <w:szCs w:val="20"/>
                <w:color w:val="auto"/>
              </w:rPr>
            </w:pPr>
            <w:r>
              <w:rPr>
                <w:rFonts w:ascii="Times New Roman" w:cs="Times New Roman" w:eastAsia="Times New Roman" w:hAnsi="Times New Roman"/>
                <w:sz w:val="11"/>
                <w:szCs w:val="11"/>
                <w:color w:val="008000"/>
                <w:w w:val="93"/>
              </w:rPr>
              <w:t>(6)</w:t>
            </w:r>
          </w:p>
        </w:tc>
        <w:tc>
          <w:tcPr>
            <w:tcW w:w="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03/02/2032</w:t>
            </w: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63,857</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vMerge w:val="restart"/>
          </w:tcPr>
          <w:p>
            <w:pPr>
              <w:jc w:val="center"/>
              <w:ind w:left="140"/>
              <w:spacing w:after="0"/>
              <w:rPr>
                <w:sz w:val="20"/>
                <w:szCs w:val="20"/>
                <w:color w:val="auto"/>
              </w:rPr>
            </w:pPr>
            <w:r>
              <w:rPr>
                <w:rFonts w:ascii="Times New Roman" w:cs="Times New Roman" w:eastAsia="Times New Roman" w:hAnsi="Times New Roman"/>
                <w:sz w:val="13"/>
                <w:szCs w:val="13"/>
                <w:color w:val="0000FF"/>
                <w:w w:val="94"/>
              </w:rPr>
              <w:t>63,857</w:t>
            </w:r>
          </w:p>
        </w:tc>
        <w:tc>
          <w:tcPr>
            <w:tcW w:w="260" w:type="dxa"/>
            <w:vAlign w:val="bottom"/>
          </w:tcPr>
          <w:p>
            <w:pPr>
              <w:spacing w:after="0"/>
              <w:rPr>
                <w:sz w:val="15"/>
                <w:szCs w:val="15"/>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tcPr>
          <w:p>
            <w:pPr>
              <w:ind w:left="60"/>
              <w:spacing w:after="0" w:line="65" w:lineRule="exact"/>
              <w:rPr>
                <w:sz w:val="20"/>
                <w:szCs w:val="20"/>
                <w:color w:val="auto"/>
              </w:rPr>
            </w:pPr>
            <w:r>
              <w:rPr>
                <w:rFonts w:ascii="Times New Roman" w:cs="Times New Roman" w:eastAsia="Times New Roman" w:hAnsi="Times New Roman"/>
                <w:sz w:val="6"/>
                <w:szCs w:val="6"/>
                <w:color w:val="0000FF"/>
              </w:rPr>
              <w:t>Options</w:t>
            </w:r>
            <w:r>
              <w:rPr>
                <w:rFonts w:ascii="Times New Roman" w:cs="Times New Roman" w:eastAsia="Times New Roman" w:hAnsi="Times New Roman"/>
                <w:sz w:val="7"/>
                <w:szCs w:val="7"/>
                <w:color w:val="008000"/>
                <w:vertAlign w:val="superscript"/>
              </w:rPr>
              <w:t>(3)</w:t>
            </w:r>
          </w:p>
        </w:tc>
        <w:tc>
          <w:tcPr>
            <w:tcW w:w="6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line="65" w:lineRule="exact"/>
              <w:rPr>
                <w:sz w:val="20"/>
                <w:szCs w:val="20"/>
                <w:color w:val="auto"/>
              </w:rPr>
            </w:pPr>
            <w:r>
              <w:rPr>
                <w:rFonts w:ascii="Times New Roman" w:cs="Times New Roman" w:eastAsia="Times New Roman" w:hAnsi="Times New Roman"/>
                <w:sz w:val="6"/>
                <w:szCs w:val="6"/>
                <w:color w:val="0000FF"/>
              </w:rPr>
              <w:t>Stock</w:t>
            </w:r>
          </w:p>
        </w:tc>
        <w:tc>
          <w:tcPr>
            <w:tcW w:w="6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680" w:type="dxa"/>
            <w:vAlign w:val="bottom"/>
            <w:tcBorders>
              <w:bottom w:val="single" w:sz="8" w:color="2C2C2C"/>
            </w:tcBorders>
            <w:gridSpan w:val="2"/>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gridSpan w:val="2"/>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00" w:type="dxa"/>
            <w:vAlign w:val="bottom"/>
            <w:vMerge w:val="restart"/>
          </w:tcPr>
          <w:p>
            <w:pPr>
              <w:jc w:val="center"/>
              <w:ind w:left="14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23</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vMerge w:val="restart"/>
          </w:tcPr>
          <w:p>
            <w:pPr>
              <w:jc w:val="center"/>
              <w:ind w:right="223"/>
              <w:spacing w:after="0"/>
              <w:rPr>
                <w:sz w:val="20"/>
                <w:szCs w:val="20"/>
                <w:color w:val="auto"/>
              </w:rPr>
            </w:pPr>
            <w:r>
              <w:rPr>
                <w:rFonts w:ascii="Times New Roman" w:cs="Times New Roman" w:eastAsia="Times New Roman" w:hAnsi="Times New Roman"/>
                <w:sz w:val="11"/>
                <w:szCs w:val="11"/>
                <w:color w:val="008000"/>
                <w:w w:val="93"/>
              </w:rPr>
              <w:t>(7)</w:t>
            </w:r>
          </w:p>
        </w:tc>
        <w:tc>
          <w:tcPr>
            <w:tcW w:w="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11/20/2030</w:t>
            </w: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111,801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vMerge w:val="restart"/>
          </w:tcPr>
          <w:p>
            <w:pPr>
              <w:jc w:val="center"/>
              <w:ind w:left="140"/>
              <w:spacing w:after="0"/>
              <w:rPr>
                <w:sz w:val="20"/>
                <w:szCs w:val="20"/>
                <w:color w:val="auto"/>
              </w:rPr>
            </w:pPr>
            <w:r>
              <w:rPr>
                <w:rFonts w:ascii="Times New Roman" w:cs="Times New Roman" w:eastAsia="Times New Roman" w:hAnsi="Times New Roman"/>
                <w:sz w:val="13"/>
                <w:szCs w:val="13"/>
                <w:color w:val="0000FF"/>
                <w:w w:val="99"/>
              </w:rPr>
              <w:t>111,801</w:t>
            </w:r>
          </w:p>
        </w:tc>
        <w:tc>
          <w:tcPr>
            <w:tcW w:w="260" w:type="dxa"/>
            <w:vAlign w:val="bottom"/>
          </w:tcPr>
          <w:p>
            <w:pPr>
              <w:spacing w:after="0"/>
              <w:rPr>
                <w:sz w:val="15"/>
                <w:szCs w:val="15"/>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tcPr>
          <w:p>
            <w:pPr>
              <w:ind w:left="60"/>
              <w:spacing w:after="0" w:line="65" w:lineRule="exact"/>
              <w:rPr>
                <w:sz w:val="20"/>
                <w:szCs w:val="20"/>
                <w:color w:val="auto"/>
              </w:rPr>
            </w:pPr>
            <w:r>
              <w:rPr>
                <w:rFonts w:ascii="Times New Roman" w:cs="Times New Roman" w:eastAsia="Times New Roman" w:hAnsi="Times New Roman"/>
                <w:sz w:val="6"/>
                <w:szCs w:val="6"/>
                <w:color w:val="0000FF"/>
              </w:rPr>
              <w:t>Options</w:t>
            </w:r>
            <w:r>
              <w:rPr>
                <w:rFonts w:ascii="Times New Roman" w:cs="Times New Roman" w:eastAsia="Times New Roman" w:hAnsi="Times New Roman"/>
                <w:sz w:val="7"/>
                <w:szCs w:val="7"/>
                <w:color w:val="008000"/>
                <w:vertAlign w:val="superscript"/>
              </w:rPr>
              <w:t>(3)</w:t>
            </w:r>
          </w:p>
        </w:tc>
        <w:tc>
          <w:tcPr>
            <w:tcW w:w="6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line="65" w:lineRule="exact"/>
              <w:rPr>
                <w:sz w:val="20"/>
                <w:szCs w:val="20"/>
                <w:color w:val="auto"/>
              </w:rPr>
            </w:pPr>
            <w:r>
              <w:rPr>
                <w:rFonts w:ascii="Times New Roman" w:cs="Times New Roman" w:eastAsia="Times New Roman" w:hAnsi="Times New Roman"/>
                <w:sz w:val="6"/>
                <w:szCs w:val="6"/>
                <w:color w:val="0000FF"/>
              </w:rPr>
              <w:t>Stock</w:t>
            </w:r>
          </w:p>
        </w:tc>
        <w:tc>
          <w:tcPr>
            <w:tcW w:w="6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-2774950</wp:posOffset>
            </wp:positionV>
            <wp:extent cx="29210" cy="27800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78003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40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represent the number of shares of Common Stock withheld by the Issuer to satisfy the Reporting Person's tax withholding obligations due upon the vesting of 6,521 Restricted Stock Units ("RSUs"), which represents 25% of the RSU award granted to the Reporting Person on November 20, 2020. This award was granted pursuant to the terms of an RSU agreement under the Sotera Health Company 2020 Omnibus Incentive Plan ("2020 Incentive Plan"). Each RSU represents the Reporting Person's right to receive one share of Common Stock, subject to vesting conditions.</w:t>
      </w:r>
    </w:p>
    <w:p>
      <w:pPr>
        <w:spacing w:after="0" w:line="25" w:lineRule="exact"/>
        <w:rPr>
          <w:rFonts w:ascii="Times New Roman" w:cs="Times New Roman" w:eastAsia="Times New Roman" w:hAnsi="Times New Roman"/>
          <w:sz w:val="13"/>
          <w:szCs w:val="13"/>
          <w:color w:val="008000"/>
        </w:rPr>
      </w:pPr>
    </w:p>
    <w:p>
      <w:pPr>
        <w:ind w:left="40" w:right="22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consist of 61,542 RSUs and 479,978 shares of Common Stock. 425,115 of the shares of Common Stock are vested, and 54,863 shares of Common Stock remain subject to vesting conditions. Shares of unvested Common Stock will vest on a daily basis, pro rata through May 13, 2025 (the five year anniversary of the date of grant).</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No transaction is being reported on this line. Reported on a previously filed Form 4.</w:t>
      </w:r>
    </w:p>
    <w:p>
      <w:pPr>
        <w:spacing w:after="0" w:line="44" w:lineRule="exact"/>
        <w:rPr>
          <w:rFonts w:ascii="Times New Roman" w:cs="Times New Roman" w:eastAsia="Times New Roman" w:hAnsi="Times New Roman"/>
          <w:sz w:val="13"/>
          <w:szCs w:val="13"/>
          <w:color w:val="008000"/>
        </w:rPr>
      </w:pPr>
    </w:p>
    <w:p>
      <w:pPr>
        <w:ind w:left="40" w:right="36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options were granted on March 4, 2024, pursuant to the terms of a stock option agreement under the 2020 Incentive Plan. The options vest annually in three equal installments commencing March 2, 2025, subject to vesting conditions.</w:t>
      </w:r>
    </w:p>
    <w:p>
      <w:pPr>
        <w:spacing w:after="0" w:line="16" w:lineRule="exact"/>
        <w:rPr>
          <w:rFonts w:ascii="Times New Roman" w:cs="Times New Roman" w:eastAsia="Times New Roman" w:hAnsi="Times New Roman"/>
          <w:sz w:val="13"/>
          <w:szCs w:val="13"/>
          <w:color w:val="008000"/>
        </w:rPr>
      </w:pPr>
    </w:p>
    <w:p>
      <w:pPr>
        <w:ind w:left="40" w:right="22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options were granted on March 6, 2023, pursuant to the terms of a stock option agreement under the 2020 Incentive Plan. The options vest in annually in three equal installments commencing March 2, 2024, subject to the Reporting Person's continued service through each such date..</w:t>
      </w:r>
    </w:p>
    <w:p>
      <w:pPr>
        <w:spacing w:after="0" w:line="16" w:lineRule="exact"/>
        <w:rPr>
          <w:rFonts w:ascii="Times New Roman" w:cs="Times New Roman" w:eastAsia="Times New Roman" w:hAnsi="Times New Roman"/>
          <w:sz w:val="13"/>
          <w:szCs w:val="13"/>
          <w:color w:val="008000"/>
        </w:rPr>
      </w:pPr>
    </w:p>
    <w:p>
      <w:pPr>
        <w:ind w:left="40" w:right="74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options were granted on March 2, 2022, pursuant to the terms of a stock option agreement under the 2020 Incentive Plan. The options vest in three equal installments on each of the first three anniversaries of the date of grant, subject to the Reporting Person's continued service thourgh each such date.</w:t>
      </w:r>
    </w:p>
    <w:p>
      <w:pPr>
        <w:spacing w:after="0" w:line="16" w:lineRule="exact"/>
        <w:rPr>
          <w:rFonts w:ascii="Times New Roman" w:cs="Times New Roman" w:eastAsia="Times New Roman" w:hAnsi="Times New Roman"/>
          <w:sz w:val="13"/>
          <w:szCs w:val="13"/>
          <w:color w:val="008000"/>
        </w:rPr>
      </w:pPr>
    </w:p>
    <w:p>
      <w:pPr>
        <w:ind w:left="40" w:right="56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options were granted on November 20, 2020, pursuant to the terms of a stock option agreement under the 2020 Incentive Plan. The options vest in four equal installments on each of the first four anniversaries of the date of grant, subject to the Reporting Person's continued service through each such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The Power of Attorney for Mr. Rutz is filed as an exhibit to the Form 3 filed on November 20, 2020, which is hereby incorporated by reference.</w:t>
      </w:r>
    </w:p>
    <w:p>
      <w:pPr>
        <w:sectPr>
          <w:pgSz w:w="11900" w:h="16838" w:orient="portrait"/>
          <w:cols w:equalWidth="0" w:num="1">
            <w:col w:w="11080"/>
          </w:cols>
          <w:pgMar w:left="460" w:top="217" w:right="359" w:bottom="0" w:gutter="0" w:footer="0" w:header="0"/>
          <w:type w:val="continuous"/>
        </w:sectPr>
      </w:pPr>
    </w:p>
    <w:p>
      <w:pPr>
        <w:spacing w:after="0" w:line="70"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Matthew J. Klaben,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-1905</wp:posOffset>
            </wp:positionV>
            <wp:extent cx="12757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75715" cy="8255"/>
                    </a:xfrm>
                    <a:prstGeom prst="rect">
                      <a:avLst/>
                    </a:prstGeom>
                    <a:noFill/>
                  </pic:spPr>
                </pic:pic>
              </a:graphicData>
            </a:graphic>
          </wp:anchor>
        </w:drawing>
      </w:r>
    </w:p>
    <w:p>
      <w:pPr>
        <w:spacing w:after="0" w:line="14"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3016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01625" cy="8255"/>
                    </a:xfrm>
                    <a:prstGeom prst="rect">
                      <a:avLst/>
                    </a:prstGeom>
                    <a:noFill/>
                  </pic:spPr>
                </pic:pic>
              </a:graphicData>
            </a:graphic>
          </wp:anchor>
        </w:drawing>
      </w:r>
    </w:p>
    <w:p>
      <w:pPr>
        <w:spacing w:after="0" w:line="32"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11/22/2024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-1905</wp:posOffset>
            </wp:positionV>
            <wp:extent cx="4813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1330" cy="8255"/>
                    </a:xfrm>
                    <a:prstGeom prst="rect">
                      <a:avLst/>
                    </a:prstGeom>
                    <a:noFill/>
                  </pic:spPr>
                </pic:pic>
              </a:graphicData>
            </a:graphic>
          </wp:anchor>
        </w:drawing>
      </w:r>
    </w:p>
    <w:p>
      <w:pPr>
        <w:spacing w:after="0" w:line="157"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ectPr>
          <w:pgSz w:w="11900" w:h="16838" w:orient="portrait"/>
          <w:cols w:equalWidth="0" w:num="2">
            <w:col w:w="8600" w:space="200"/>
            <w:col w:w="2280"/>
          </w:cols>
          <w:pgMar w:left="460" w:top="217"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4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99220" TargetMode="External"/><Relationship Id="rId14" Type="http://schemas.openxmlformats.org/officeDocument/2006/relationships/hyperlink" Target="http://www.sec.gov/cgi-bin/browse-edgar?action=getcompany&amp;CIK=00018224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2024-11-22T16:47:43Z</dcterms:created>
  <dcterms:modified xsi:type="dcterms:W3CDTF">2024-11-22T16:47:43Z</dcterms:modified>
</cp:coreProperties>
</file>