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12969d424b7.htm"/>
        <w:bookmarkStart w:id="1" w:name="ksd912969d424b7"/>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424(b)(7)</w:t>
        <w:br/>
        <w:t xml:space="preserve">Registration No. 333-277418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February 27, 2024) </w:t>
      </w:r>
    </w:p>
    <w:p>
      <w:pPr>
        <w:pStyle w:val="TextBody"/>
        <w:bidi w:val="0"/>
        <w:spacing w:before="240" w:after="0"/>
        <w:jc w:val="center"/>
        <w:rPr>
          <w:rFonts w:ascii="Times New Roman" w:hAnsi="Times New Roman"/>
          <w:b/>
          <w:sz w:val="36"/>
        </w:rPr>
      </w:pPr>
      <w:r>
        <w:rPr>
          <w:rFonts w:ascii="Times New Roman" w:hAnsi="Times New Roman"/>
          <w:b/>
          <w:sz w:val="36"/>
        </w:rPr>
        <w:t xml:space="preserve">20,000,000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398905" cy="473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8905" cy="4730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Sotera Health Company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of Sotera Health Company identified in this prospectus supplement are offering 20,000,000 shares of our common stock, par value $0.01 per share, (the “common stock”) pursuant to this prospectus supplement and the accompanying prospectus. We are not selling any shares of common stock under this prospectus supplement and will not receive any proceeds from the sale of the shares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and traded on the Nasdaq Global Select Market (“Nasdaq”) under the symbol “SHC.” On September 3, 2025, the last reported sale price of our common stock on Nasdaq was $15.98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a high degree of risk. See “</w:t>
      </w:r>
      <w:hyperlink w:anchor="supp912969_6">
        <w:r>
          <w:rPr>
            <w:rStyle w:val="InternetLink"/>
            <w:rFonts w:ascii="Times New Roman" w:hAnsi="Times New Roman"/>
            <w:b/>
            <w:sz w:val="24"/>
          </w:rPr>
          <w:t>Risk Factors</w:t>
        </w:r>
      </w:hyperlink>
      <w:r>
        <w:rPr>
          <w:rFonts w:ascii="Times New Roman" w:hAnsi="Times New Roman"/>
          <w:b/>
          <w:sz w:val="24"/>
        </w:rPr>
        <w:t xml:space="preserve">” beginning on page S-11 of this prospectus supplement and in the documents incorporated by reference into this prospectus supplement to read about factors you should consider before deciding to invest in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69"/>
        <w:gridCol w:w="228"/>
        <w:gridCol w:w="170"/>
        <w:gridCol w:w="845"/>
        <w:gridCol w:w="60"/>
        <w:gridCol w:w="228"/>
        <w:gridCol w:w="140"/>
        <w:gridCol w:w="1300"/>
        <w:gridCol w:w="65"/>
      </w:tblGrid>
      <w:tr>
        <w:trPr/>
        <w:tc>
          <w:tcPr>
            <w:tcW w:w="7169"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169"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7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22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845" w:type="dxa"/>
            <w:tcBorders/>
            <w:shd w:fill="CCEEFF" w:val="clear"/>
            <w:vAlign w:val="bottom"/>
          </w:tcPr>
          <w:p>
            <w:pPr>
              <w:pStyle w:val="TableContents"/>
              <w:bidi w:val="0"/>
              <w:spacing w:before="0" w:after="283"/>
              <w:jc w:val="right"/>
              <w:rPr/>
            </w:pPr>
            <w:r>
              <w:rPr/>
              <w:t>15.35</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00" w:type="dxa"/>
            <w:tcBorders/>
            <w:shd w:fill="CCEEFF" w:val="clear"/>
            <w:vAlign w:val="bottom"/>
          </w:tcPr>
          <w:p>
            <w:pPr>
              <w:pStyle w:val="TableContents"/>
              <w:bidi w:val="0"/>
              <w:spacing w:before="0" w:after="283"/>
              <w:jc w:val="right"/>
              <w:rPr/>
            </w:pPr>
            <w:r>
              <w:rPr/>
              <w:t>307,000,000</w:t>
            </w:r>
          </w:p>
        </w:tc>
        <w:tc>
          <w:tcPr>
            <w:tcW w:w="65" w:type="dxa"/>
            <w:tcBorders/>
            <w:shd w:fill="CCEEFF" w:val="clear"/>
            <w:vAlign w:val="bottom"/>
          </w:tcPr>
          <w:p>
            <w:pPr>
              <w:pStyle w:val="TableContents"/>
              <w:bidi w:val="0"/>
              <w:spacing w:before="0" w:after="283"/>
              <w:jc w:val="left"/>
              <w:rPr/>
            </w:pPr>
            <w:r>
              <w:rPr/>
              <w:t> </w:t>
            </w:r>
          </w:p>
        </w:tc>
      </w:tr>
      <w:tr>
        <w:trPr/>
        <w:tc>
          <w:tcPr>
            <w:tcW w:w="7169"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22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0.239</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00" w:type="dxa"/>
            <w:tcBorders/>
            <w:vAlign w:val="bottom"/>
          </w:tcPr>
          <w:p>
            <w:pPr>
              <w:pStyle w:val="TableContents"/>
              <w:bidi w:val="0"/>
              <w:spacing w:before="0" w:after="283"/>
              <w:jc w:val="right"/>
              <w:rPr/>
            </w:pPr>
            <w:r>
              <w:rPr/>
              <w:t>4,780,000</w:t>
            </w:r>
          </w:p>
        </w:tc>
        <w:tc>
          <w:tcPr>
            <w:tcW w:w="65" w:type="dxa"/>
            <w:tcBorders/>
            <w:vAlign w:val="bottom"/>
          </w:tcPr>
          <w:p>
            <w:pPr>
              <w:pStyle w:val="TableContents"/>
              <w:bidi w:val="0"/>
              <w:spacing w:before="0" w:after="283"/>
              <w:jc w:val="left"/>
              <w:rPr/>
            </w:pPr>
            <w:r>
              <w:rPr/>
              <w:t> </w:t>
            </w:r>
          </w:p>
        </w:tc>
      </w:tr>
      <w:tr>
        <w:trPr/>
        <w:tc>
          <w:tcPr>
            <w:tcW w:w="7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selling stockholders, before expenses</w:t>
            </w:r>
          </w:p>
        </w:tc>
        <w:tc>
          <w:tcPr>
            <w:tcW w:w="22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845" w:type="dxa"/>
            <w:tcBorders/>
            <w:shd w:fill="CCEEFF" w:val="clear"/>
            <w:vAlign w:val="bottom"/>
          </w:tcPr>
          <w:p>
            <w:pPr>
              <w:pStyle w:val="TableContents"/>
              <w:bidi w:val="0"/>
              <w:spacing w:before="0" w:after="283"/>
              <w:jc w:val="right"/>
              <w:rPr/>
            </w:pPr>
            <w:r>
              <w:rPr/>
              <w:t>15.111</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00" w:type="dxa"/>
            <w:tcBorders/>
            <w:shd w:fill="CCEEFF" w:val="clear"/>
            <w:vAlign w:val="bottom"/>
          </w:tcPr>
          <w:p>
            <w:pPr>
              <w:pStyle w:val="TableContents"/>
              <w:bidi w:val="0"/>
              <w:spacing w:before="0" w:after="283"/>
              <w:jc w:val="right"/>
              <w:rPr/>
            </w:pPr>
            <w:r>
              <w:rPr/>
              <w:t>302,220,000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Delivery of the shares of common stock is expected to be made on or about September 5, 2025.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8"/>
        </w:rPr>
      </w:pPr>
      <w:r>
        <w:rPr>
          <w:rFonts w:ascii="Times New Roman" w:hAnsi="Times New Roman"/>
          <w:b/>
          <w:sz w:val="28"/>
        </w:rPr>
        <w:t xml:space="preserve">Goldman Sachs &amp; Co. LLC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September 3,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912969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912969_2">
              <w:r>
                <w:rPr>
                  <w:rStyle w:val="InternetLink"/>
                  <w:rFonts w:ascii="Times New Roman" w:hAnsi="Times New Roman"/>
                  <w:sz w:val="20"/>
                </w:rPr>
                <w:t>MARKET AND INDUSTRY DATA</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912969_3">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912969_4">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912969_5">
              <w:r>
                <w:rPr>
                  <w:rStyle w:val="InternetLink"/>
                  <w:rFonts w:ascii="Times New Roman" w:hAnsi="Times New Roman"/>
                  <w:sz w:val="20"/>
                </w:rPr>
                <w:t>SUMMARY HISTORICAL CONSOLIDATED FINANCIAL AND OTHER DATA</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912969_6">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912969_7">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912969_8">
              <w:r>
                <w:rPr>
                  <w:rStyle w:val="InternetLink"/>
                  <w:rFonts w:ascii="Times New Roman" w:hAnsi="Times New Roman"/>
                  <w:sz w:val="20"/>
                </w:rPr>
                <w:t>SELLING STOCKHOLDERS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912969_9">
              <w:r>
                <w:rPr>
                  <w:rStyle w:val="InternetLink"/>
                  <w:rFonts w:ascii="Times New Roman" w:hAnsi="Times New Roman"/>
                  <w:sz w:val="20"/>
                </w:rPr>
                <w:t>MATERIAL U.S. FEDERAL INCOME TAX CONSIDERATIONS FOR NON-U.S. 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912969_10">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912969_11">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912969_12">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912969_13">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912969_14">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912969_15">
              <w:r>
                <w:rPr>
                  <w:rStyle w:val="InternetLink"/>
                  <w:rFonts w:ascii="Times New Roman" w:hAnsi="Times New Roman"/>
                  <w:sz w:val="20"/>
                </w:rPr>
                <w:t>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912969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2">
              <w:r>
                <w:rPr>
                  <w:rStyle w:val="InternetLink"/>
                  <w:rFonts w:ascii="Times New Roman" w:hAnsi="Times New Roman"/>
                  <w:sz w:val="20"/>
                </w:rPr>
                <w:t>ABOUT SOTERA HEALTH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6">
              <w:r>
                <w:rPr>
                  <w:rStyle w:val="InternetLink"/>
                  <w:rFonts w:ascii="Times New Roman" w:hAnsi="Times New Roman"/>
                  <w:sz w:val="20"/>
                </w:rPr>
                <w:t>DESCRIPTION OF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9">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10">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we nor the selling stockholders have authorized anyone to provide you with information different from that contained or incorporated by reference in this prospectus supplement, any amendment or supplement to this prospectus supplement, the accompanying prospectus or in any free writing prospectus prepared by us or on our behalf. Neither we nor the selling stockholders take any responsibility for, or provide any assurance as to the reliability of, any information other than the information contained or incorporated by reference in this prospectus supplement, any amendment or supplement to this prospectus supplement, the accompanying prospectus or in any free writing prospectus prepared by us or on our behalf. The selling stockholders are not making an offer to sell these securities in any jurisdiction where the offer or sale is not permitted.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assume that the information appearing in this prospectus supplement, the accompanying prospectus or in any free writing prospectus prepared by us is accurate only as of their respective dates or on the date or dates that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 Information contained in our website does not constitute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You should carefully read this prospectus supplement, the accompanying prospectus and any free writing prospectus prepared by or on behalf of us, together with the additional information described under the heading “Where You Can Find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No action is being taken in any jurisdiction outside the United States to permit a public offering of our common stock. Persons who come into possession of this prospectus supplement or the accompanying prospectus in jurisdictions outside the United States are required to inform themselves about and to observe any restriction as to this offering and the distribution of this prospectus applicable to those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912969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expressly indicated or the context requires otherwise, the terms “Sotera Health,” “Company,” “we,” “us,” and “our” in this document refer to Sotera Health Company, a Delaware corporation, and, where appropriate, its subsidiaries on a consolidated basis.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the specific terms of this offering. The second part is the accompanying prospectus, which describes more general information, some of which may not apply to this offering. You should read both this prospectus supplement and the accompanying prospectus, together with the documents incorporated by reference and the additional information described in the accompanying prospectus under the heading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If the description of the offering varies between this prospectus supplement and the accompanying prospectus, you should rely on the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The information we have included in this prospectus supplement and the accompanying prospectus is accurate only as of the date of this prospectus supplement or the accompanying prospectus, and any information we have incorporated by reference is accurate only as of the date of the document incorporated by reference. Our business, financial condition, results of operations and prospects may have changed since any such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912969_2"/>
      <w:bookmarkEnd w:id="4"/>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Historical and current market data used throughout this prospectus supplement or incorporated herein were obtained from internal company analyses, consultants’ reports and industry publications. Industry surveys and publications generally state that the information contained therein has been obtained from sources believed to be reliable. This information involves many assumptions and limitations, and you are cautioned not to give undue weight to these estimates and information. We have not independently verified this market data. While we are not aware of any misstatements regarding any industry or similar data presented herein, such data involve risks and uncertainties and are subject to change based on various factors, including those discussed under the “Risk Factors” section in this prospectus supplement and in our Annual Report (as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912969_3"/>
      <w:bookmarkEnd w:id="5"/>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important information about this offering and information contained elsewhere or incorporated by reference in this prospectus supplement and the accompanying prospectus. This summary does not contain all the information that you should consider before investing in our common stock. You should read the entire prospectus supplement and the accompanying prospectus carefully, as well as the additional materials described under the captions “Where You Can Find More Information” and “Incorporation By Reference” in this prospectus supplement and in the accompanying prospectus, including “Risk Factors” beginning on page S-11 of this prospectus supplement and “Risk Factors” in Part I, Item 1A of our Annual Report on Form 10-K for the year ended December 31, 2024 (the “Annual Report”). </w:t>
      </w:r>
    </w:p>
    <w:p>
      <w:pPr>
        <w:pStyle w:val="TextBody"/>
        <w:bidi w:val="0"/>
        <w:spacing w:before="24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global provider of mission-critical end-to-end sterilization solutions, lab testing and advisory services for the healthcare industry. We are driven by our mission: Safeguarding Global Health®. We provide end-to-end sterilization as well as microbiological and analytical lab testing and advisory services to help ensure that medical, pharmaceutical and food products are safe for healthcare practitioners, patients and consumers in the United States and around the world. In 2024, our customers included over 40 of the top 50 medical device companies and nine of the top ten global pharmaceutical companies (based on revenue). Our services are an essential aspect of our customers’ manufacturing processes and supply chains, helping to ensure sterilized medical products reach healthcare practitioners and patients. Most of our services are necessary for our customers to satisfy applicable government requirements.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trusted partner to approximately 5,000 customers in over 50 countries. We strive to give our customers confidence that their products meet regulatory, safety and effectiveness requirements. With our industry-recognized scientific and technological expertise, we help promote the safety of millions of patients and healthcare practitioners around the world. Across our 62 facilities worldwide, we have over 3,000 employees who are dedicated to safety and quality.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Sotera Health Company was incorporated in Delaware in November 2017 as the parent company for Sterigenics, Nordion and Nelson Labs. Our corporate headquarters and principal executive offices are located at 9100 South Hills Boulevard, Suite 300, Broadview Heights, Ohio 44147. Our telephone number is (440) 262-1410.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912969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6329" w:type="dxa"/>
            <w:tcBorders/>
          </w:tcPr>
          <w:p>
            <w:pPr>
              <w:pStyle w:val="TableContents"/>
              <w:bidi w:val="0"/>
              <w:spacing w:before="0" w:after="283"/>
              <w:jc w:val="left"/>
              <w:rPr/>
            </w:pPr>
            <w:r>
              <w:rPr/>
              <w:t xml:space="preserve">20,000,000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Selling stockholders </w:t>
            </w:r>
          </w:p>
        </w:tc>
        <w:tc>
          <w:tcPr>
            <w:tcW w:w="6328" w:type="dxa"/>
            <w:tcBorders/>
          </w:tcPr>
          <w:p>
            <w:pPr>
              <w:pStyle w:val="TableContents"/>
              <w:bidi w:val="0"/>
              <w:spacing w:before="0" w:after="283"/>
              <w:jc w:val="left"/>
              <w:rPr/>
            </w:pPr>
            <w:r>
              <w:rPr/>
              <w:t xml:space="preserve">See “Selling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w:t>
            </w:r>
          </w:p>
        </w:tc>
        <w:tc>
          <w:tcPr>
            <w:tcW w:w="6326" w:type="dxa"/>
            <w:tcBorders/>
          </w:tcPr>
          <w:p>
            <w:pPr>
              <w:pStyle w:val="TableContents"/>
              <w:bidi w:val="0"/>
              <w:spacing w:before="0" w:after="283"/>
              <w:jc w:val="left"/>
              <w:rPr/>
            </w:pPr>
            <w:r>
              <w:rPr/>
              <w:t xml:space="preserve">284,046,606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The selling stockholders will receive all of the net proceeds from the sale of shares of common stock in this offering. We will not receive any proceeds from the sale of shares of common stock by the selling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Recent developments affecting Sponsor rights </w:t>
            </w:r>
          </w:p>
        </w:tc>
        <w:tc>
          <w:tcPr>
            <w:tcW w:w="6328" w:type="dxa"/>
            <w:tcBorders/>
          </w:tcPr>
          <w:p>
            <w:pPr>
              <w:pStyle w:val="TableContents"/>
              <w:bidi w:val="0"/>
              <w:spacing w:before="0" w:after="283"/>
              <w:jc w:val="left"/>
              <w:rPr/>
            </w:pPr>
            <w:r>
              <w:rPr/>
              <w:t xml:space="preserve">Certain affiliates of Warburg Pincus LLC (“Warburg Pincus”) and GTCR LLC (“GTCR” and, together with Warburg Pincus, collectively, the “Sponsors”) have special rights relating to our corporate governance. For more information, see “Certain Sponsor Rights” in our Definitive Proxy Statement on Schedule 14A, which is incorporated by reference in this prospectus supplement. As a result of the Sponsors’ most recent offering of our common stock, which closed September 6, 2024, the Sponsors ceased to own a majority of our outstanding common stock, which affects certain of these rights, and related matters. In particular, as a result of the Sponsors ceasing to own a majority of our outstanding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no longer qualify as a “controlled company” within the meaning of the Nasdaq corporate governance standards (although we do not currently avail ourselves of related exemptions).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of certain provisions of our amended and restated certificate of incorporation and amended and restated bylaws requires a 66 2/3% majority approval (in place of a simple majority).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actions of stockholders which could have been taken without prior notice and not at an annual or special meeting of stockholders now require such notice and forum.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calling of special meetings of stockholders is limited.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Removal for cause of directors designated by the Sponsors requires the affirmative vote of at least 75% of the voting power of our outstanding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additional information, see “Risk Factors – Risks Related to the Offering and Our Common Stock” — “If the ownership of our common stock continues to be highly concentrated, it may prevent minority stockholders from influencing significant corporate decisions and may result in conflicts of interest” and “Anti-takeover provisions in our amended and restated certificate of incorporation, amended and restated bylaws and our Stockholders’ Agreement, as well as Delaware law, could discourage a change in control of our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 or a change in our management.” Additionally, the number of directors that each of the Sponsors is entitled to designate for election to our board of directors declines as that Sponsor’s ownership of our shares falls below set percentage thresholds. See “Certain Sponsor Rights” in our Definitive Proxy Statement on Schedule 14A, which is incorporated by reference in this prospectus supplement. As a result of the Sponsors’ most recent offering of our common stock, the number of directors that GTCR is entitled to designate was reduced from three to two. The number of directors that the Sponsors are entitled to designate will be further reduced as a result of this offering. In particular, Warburg Pincus’ ownership will fall below 60% of the amount of our common stock that it held immediately following our IPO so that the number of our directors that it will be entitled to designate will be reduced from four to three.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Dividend policy </w:t>
            </w:r>
          </w:p>
        </w:tc>
        <w:tc>
          <w:tcPr>
            <w:tcW w:w="6328" w:type="dxa"/>
            <w:tcBorders/>
          </w:tcPr>
          <w:p>
            <w:pPr>
              <w:pStyle w:val="TableContents"/>
              <w:bidi w:val="0"/>
              <w:spacing w:before="0" w:after="283"/>
              <w:jc w:val="left"/>
              <w:rPr/>
            </w:pPr>
            <w:r>
              <w:rPr/>
              <w:t xml:space="preserve">We currently do not expect to pay dividends on our common stock. Instead, we anticipate that all of our earnings in the foreseeable future will be used for the operation and growth of our business and the repayment of indebtedness. See “Dividend Policy.”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 xml:space="preserve">Investing in our common stock involves a high degree of risk. See “Risk Factors” for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symbol </w:t>
            </w:r>
          </w:p>
        </w:tc>
        <w:tc>
          <w:tcPr>
            <w:tcW w:w="6329" w:type="dxa"/>
            <w:tcBorders/>
          </w:tcPr>
          <w:p>
            <w:pPr>
              <w:pStyle w:val="TableContents"/>
              <w:bidi w:val="0"/>
              <w:spacing w:before="0" w:after="283"/>
              <w:jc w:val="left"/>
              <w:rPr/>
            </w:pPr>
            <w:r>
              <w:rPr/>
              <w:t>“</w:t>
            </w:r>
            <w:r>
              <w:rPr/>
              <w:t xml:space="preserve">SHC”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noted, the number of shares of common stock to be outstanding after the offering is based on 284,046,606 shares of common stock outstanding as of July 29, 2025 and excludes as of such date: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8,278,249 shares of common stock issuable upon the exercise of outstanding options as of June 30, 2025, with a weighted average exercise price of $14.91 per share (provided that 8,299 shares of common stock are no longer issuable upon the exercise of outstanding options due to forfeitures subsequent to June 30, 2025, such forfeited options having a weighted-average exercise price of $19.89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3,783,961 shares issuable pursuant to restricted stock units (“RSUs”) and performance stock units (“PSUs”) outstanding as of June 30, 2025, of which: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such shares of common stock have ceased to be issuable due to forfeitures of RSUs subsequent to June 30,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such shares of common stock that have ceased to be issuable due to the vesting and settlement of RSUs subsequent to June 30, 2025 (and any shares of common stock that are outstanding following the satisfaction of tax withholding obligations in respect of such vested RSUs are included in the number of shares of common stock outstanding as of July 29, 2025 set forth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such shares of common stock were released net of taxes between June 30, 2025 and July 29, 2025;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13,515,736 additional shares of common stock reserved for future issuance under our 2020 Omnibus Incentive Plan (the “2020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supp912969_5"/>
      <w:bookmarkEnd w:id="7"/>
      <w:r>
        <w:rPr>
          <w:rFonts w:ascii="Times New Roman" w:hAnsi="Times New Roman"/>
          <w:b/>
          <w:sz w:val="20"/>
          <w:bdr w:val="single" w:sz="8" w:space="1" w:color="000000"/>
        </w:rPr>
        <w:t xml:space="preserve">SUMMARY HISTORICAL CONSOLIDATED FINANCIAL AND OTHER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present our summary historical consolidated financial and other data. The summary historical consolidated statements of operations data and statements of cash flows data for the years ended December 31, 2024, 2023 and 2022 and the summary historical balance sheet data as of December 31, 2024 and December 31, 2023 have been derived from our audited consolidated financial statements incorporated by reference from our Annual Report. The summary historical consolidated statements of operations data and statements of cash flows data for the six months ended June 30, 2025 and 2024 and the summary historical balance sheet data as of June 30, 2025 have been derived from our unaudited consolidated interim financial statements incorporated by reference from our Quarterly Report on Form 10-Q for the quarter ended June 30,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consolidated financial data should be read in conjunction with the information contained in “Risk Factors” in this prospectus supplement and “Management’s Discussion and Analysis of Financial Condition and Results of Operations” and the consolidated financial statements and related notes thereto incorporated by reference from our Annual Report and from our unaudited consolidated interim financial statements incorporated by reference from our Quarterly Report on Form 10-Q for the quarter ended June 30, 2025. Our historical results are not necessarily indicative of our results in any future period.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Statement of Operations Data: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093"/>
        <w:gridCol w:w="219"/>
        <w:gridCol w:w="140"/>
        <w:gridCol w:w="984"/>
        <w:gridCol w:w="155"/>
        <w:gridCol w:w="172"/>
        <w:gridCol w:w="140"/>
        <w:gridCol w:w="984"/>
        <w:gridCol w:w="155"/>
        <w:gridCol w:w="172"/>
        <w:gridCol w:w="140"/>
        <w:gridCol w:w="984"/>
        <w:gridCol w:w="155"/>
        <w:gridCol w:w="172"/>
        <w:gridCol w:w="140"/>
        <w:gridCol w:w="972"/>
        <w:gridCol w:w="155"/>
        <w:gridCol w:w="172"/>
        <w:gridCol w:w="140"/>
        <w:gridCol w:w="800"/>
        <w:gridCol w:w="161"/>
      </w:tblGrid>
      <w:tr>
        <w:trPr/>
        <w:tc>
          <w:tcPr>
            <w:tcW w:w="3093"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93"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02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3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1" w:type="dxa"/>
            <w:tcBorders/>
            <w:vAlign w:val="bottom"/>
          </w:tcPr>
          <w:p>
            <w:pPr>
              <w:pStyle w:val="TableContents"/>
              <w:bidi w:val="0"/>
              <w:spacing w:before="0" w:after="283"/>
              <w:jc w:val="left"/>
              <w:rPr/>
            </w:pPr>
            <w:r>
              <w:rPr/>
              <w:t> </w:t>
            </w:r>
          </w:p>
        </w:tc>
      </w:tr>
      <w:tr>
        <w:trPr/>
        <w:tc>
          <w:tcPr>
            <w:tcW w:w="3093" w:type="dxa"/>
            <w:tcBorders/>
            <w:vAlign w:val="bottom"/>
          </w:tcPr>
          <w:p>
            <w:pPr>
              <w:pStyle w:val="TableContents"/>
              <w:bidi w:val="0"/>
              <w:spacing w:before="0" w:after="283"/>
              <w:jc w:val="left"/>
              <w:rPr>
                <w:i/>
              </w:rPr>
            </w:pPr>
            <w:r>
              <w:rPr>
                <w:i/>
              </w:rPr>
              <w:t>(in thousands, except per share amounts)</w:t>
            </w:r>
          </w:p>
        </w:tc>
        <w:tc>
          <w:tcPr>
            <w:tcW w:w="219"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1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30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093" w:type="dxa"/>
            <w:tcBorders/>
          </w:tcPr>
          <w:p>
            <w:pPr>
              <w:pStyle w:val="TableContents"/>
              <w:bidi w:val="0"/>
              <w:spacing w:before="0" w:after="0"/>
              <w:jc w:val="left"/>
              <w:rPr>
                <w:rFonts w:ascii="Times New Roman" w:hAnsi="Times New Roman"/>
                <w:sz w:val="20"/>
              </w:rPr>
            </w:pPr>
            <w:r>
              <w:rPr>
                <w:rFonts w:ascii="Times New Roman" w:hAnsi="Times New Roman"/>
                <w:sz w:val="20"/>
              </w:rPr>
              <w:t>Service</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941,822</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905,598</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864,828</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72" w:type="dxa"/>
            <w:tcBorders/>
            <w:vAlign w:val="bottom"/>
          </w:tcPr>
          <w:p>
            <w:pPr>
              <w:pStyle w:val="TableContents"/>
              <w:bidi w:val="0"/>
              <w:spacing w:before="0" w:after="283"/>
              <w:jc w:val="right"/>
              <w:rPr/>
            </w:pPr>
            <w:r>
              <w:rPr/>
              <w:t>481,184</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464,237</w:t>
            </w:r>
          </w:p>
        </w:tc>
        <w:tc>
          <w:tcPr>
            <w:tcW w:w="161" w:type="dxa"/>
            <w:tcBorders/>
            <w:vAlign w:val="bottom"/>
          </w:tcPr>
          <w:p>
            <w:pPr>
              <w:pStyle w:val="TableContents"/>
              <w:bidi w:val="0"/>
              <w:spacing w:before="0" w:after="283"/>
              <w:jc w:val="left"/>
              <w:rPr/>
            </w:pPr>
            <w:r>
              <w:rPr/>
              <w:t> </w:t>
            </w:r>
          </w:p>
        </w:tc>
      </w:tr>
      <w:tr>
        <w:trPr/>
        <w:tc>
          <w:tcPr>
            <w:tcW w:w="30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158,619</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143,690</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138,859</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67,680</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60,533</w:t>
            </w:r>
          </w:p>
        </w:tc>
        <w:tc>
          <w:tcPr>
            <w:tcW w:w="161" w:type="dxa"/>
            <w:tcBorders/>
            <w:shd w:fill="CCEEFF" w:val="clear"/>
            <w:vAlign w:val="bottom"/>
          </w:tcPr>
          <w:p>
            <w:pPr>
              <w:pStyle w:val="TableContents"/>
              <w:bidi w:val="0"/>
              <w:spacing w:before="0" w:after="283"/>
              <w:jc w:val="left"/>
              <w:rPr/>
            </w:pPr>
            <w:r>
              <w:rPr/>
              <w:t> </w:t>
            </w:r>
          </w:p>
        </w:tc>
      </w:tr>
      <w:tr>
        <w:trPr/>
        <w:tc>
          <w:tcPr>
            <w:tcW w:w="3093"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09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net revenues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1,100,441</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1,049,288</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1,003,687</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548,864</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524,770</w:t>
            </w:r>
          </w:p>
        </w:tc>
        <w:tc>
          <w:tcPr>
            <w:tcW w:w="161" w:type="dxa"/>
            <w:tcBorders/>
            <w:vAlign w:val="bottom"/>
          </w:tcPr>
          <w:p>
            <w:pPr>
              <w:pStyle w:val="TableContents"/>
              <w:bidi w:val="0"/>
              <w:spacing w:before="0" w:after="283"/>
              <w:jc w:val="left"/>
              <w:rPr/>
            </w:pPr>
            <w:r>
              <w:rPr/>
              <w:t> </w:t>
            </w:r>
          </w:p>
        </w:tc>
      </w:tr>
      <w:tr>
        <w:trPr/>
        <w:tc>
          <w:tcPr>
            <w:tcW w:w="30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 of revenues: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093" w:type="dxa"/>
            <w:tcBorders/>
          </w:tcPr>
          <w:p>
            <w:pPr>
              <w:pStyle w:val="TableContents"/>
              <w:bidi w:val="0"/>
              <w:spacing w:before="0" w:after="0"/>
              <w:jc w:val="left"/>
              <w:rPr>
                <w:rFonts w:ascii="Times New Roman" w:hAnsi="Times New Roman"/>
                <w:sz w:val="20"/>
              </w:rPr>
            </w:pPr>
            <w:r>
              <w:rPr>
                <w:rFonts w:ascii="Times New Roman" w:hAnsi="Times New Roman"/>
                <w:sz w:val="20"/>
              </w:rPr>
              <w:t>Service</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439,543</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418,611</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390,860</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220,922</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219,988</w:t>
            </w:r>
          </w:p>
        </w:tc>
        <w:tc>
          <w:tcPr>
            <w:tcW w:w="161" w:type="dxa"/>
            <w:tcBorders/>
            <w:vAlign w:val="bottom"/>
          </w:tcPr>
          <w:p>
            <w:pPr>
              <w:pStyle w:val="TableContents"/>
              <w:bidi w:val="0"/>
              <w:spacing w:before="0" w:after="283"/>
              <w:jc w:val="left"/>
              <w:rPr/>
            </w:pPr>
            <w:r>
              <w:rPr/>
              <w:t> </w:t>
            </w:r>
          </w:p>
        </w:tc>
      </w:tr>
      <w:tr>
        <w:trPr/>
        <w:tc>
          <w:tcPr>
            <w:tcW w:w="30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58,603</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53,519</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55,823</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25,889</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24,876</w:t>
            </w:r>
          </w:p>
        </w:tc>
        <w:tc>
          <w:tcPr>
            <w:tcW w:w="161" w:type="dxa"/>
            <w:tcBorders/>
            <w:shd w:fill="CCEEFF" w:val="clear"/>
            <w:vAlign w:val="bottom"/>
          </w:tcPr>
          <w:p>
            <w:pPr>
              <w:pStyle w:val="TableContents"/>
              <w:bidi w:val="0"/>
              <w:spacing w:before="0" w:after="283"/>
              <w:jc w:val="left"/>
              <w:rPr/>
            </w:pPr>
            <w:r>
              <w:rPr/>
              <w:t> </w:t>
            </w:r>
          </w:p>
        </w:tc>
      </w:tr>
      <w:tr>
        <w:trPr/>
        <w:tc>
          <w:tcPr>
            <w:tcW w:w="3093"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09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cost of revenues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498,146</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472,130</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446,683</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  </w:t>
            </w:r>
            <w:r>
              <w:rPr/>
              <w:t>246,811</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244,864</w:t>
            </w:r>
          </w:p>
        </w:tc>
        <w:tc>
          <w:tcPr>
            <w:tcW w:w="161" w:type="dxa"/>
            <w:tcBorders/>
            <w:vAlign w:val="bottom"/>
          </w:tcPr>
          <w:p>
            <w:pPr>
              <w:pStyle w:val="TableContents"/>
              <w:bidi w:val="0"/>
              <w:spacing w:before="0" w:after="283"/>
              <w:jc w:val="left"/>
              <w:rPr/>
            </w:pPr>
            <w:r>
              <w:rPr/>
              <w:t> </w:t>
            </w:r>
          </w:p>
        </w:tc>
      </w:tr>
      <w:tr>
        <w:trPr/>
        <w:tc>
          <w:tcPr>
            <w:tcW w:w="3093"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0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602,295</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577,158</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r>
              <w:rPr/>
              <w:t>557,004</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302,053</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279,906</w:t>
            </w:r>
          </w:p>
        </w:tc>
        <w:tc>
          <w:tcPr>
            <w:tcW w:w="161" w:type="dxa"/>
            <w:tcBorders/>
            <w:shd w:fill="CCEEFF" w:val="clear"/>
            <w:vAlign w:val="bottom"/>
          </w:tcPr>
          <w:p>
            <w:pPr>
              <w:pStyle w:val="TableContents"/>
              <w:bidi w:val="0"/>
              <w:spacing w:before="0" w:after="283"/>
              <w:jc w:val="left"/>
              <w:rPr/>
            </w:pPr>
            <w:r>
              <w:rPr/>
              <w:t> </w:t>
            </w:r>
          </w:p>
        </w:tc>
      </w:tr>
      <w:tr>
        <w:trPr/>
        <w:tc>
          <w:tcPr>
            <w:tcW w:w="309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242,630</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236,667</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245,714</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131,954</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118,784</w:t>
            </w:r>
          </w:p>
        </w:tc>
        <w:tc>
          <w:tcPr>
            <w:tcW w:w="161" w:type="dxa"/>
            <w:tcBorders/>
            <w:vAlign w:val="bottom"/>
          </w:tcPr>
          <w:p>
            <w:pPr>
              <w:pStyle w:val="TableContents"/>
              <w:bidi w:val="0"/>
              <w:spacing w:before="0" w:after="283"/>
              <w:jc w:val="left"/>
              <w:rPr/>
            </w:pPr>
            <w:r>
              <w:rPr/>
              <w:t> </w:t>
            </w:r>
          </w:p>
        </w:tc>
      </w:tr>
      <w:tr>
        <w:trPr/>
        <w:tc>
          <w:tcPr>
            <w:tcW w:w="30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62,039</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63,799</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62,940</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24,625</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31,149</w:t>
            </w:r>
          </w:p>
        </w:tc>
        <w:tc>
          <w:tcPr>
            <w:tcW w:w="161" w:type="dxa"/>
            <w:tcBorders/>
            <w:shd w:fill="CCEEFF" w:val="clear"/>
            <w:vAlign w:val="bottom"/>
          </w:tcPr>
          <w:p>
            <w:pPr>
              <w:pStyle w:val="TableContents"/>
              <w:bidi w:val="0"/>
              <w:spacing w:before="0" w:after="283"/>
              <w:jc w:val="left"/>
              <w:rPr/>
            </w:pPr>
            <w:r>
              <w:rPr/>
              <w:t> </w:t>
            </w:r>
          </w:p>
        </w:tc>
      </w:tr>
      <w:tr>
        <w:trPr/>
        <w:tc>
          <w:tcPr>
            <w:tcW w:w="3093" w:type="dxa"/>
            <w:tcBorders/>
          </w:tcPr>
          <w:p>
            <w:pPr>
              <w:pStyle w:val="TableContents"/>
              <w:bidi w:val="0"/>
              <w:spacing w:before="0" w:after="0"/>
              <w:jc w:val="left"/>
              <w:rPr>
                <w:rFonts w:ascii="Times New Roman" w:hAnsi="Times New Roman"/>
                <w:sz w:val="20"/>
              </w:rPr>
            </w:pPr>
            <w:r>
              <w:rPr>
                <w:rFonts w:ascii="Times New Roman" w:hAnsi="Times New Roman"/>
                <w:sz w:val="20"/>
              </w:rPr>
              <w:t>Illinois EO litigation settlements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408,000</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64,943</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0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Georgia EO litigation settlement</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35,000</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093" w:type="dxa"/>
            <w:tcBorders/>
          </w:tcPr>
          <w:p>
            <w:pPr>
              <w:pStyle w:val="TableContents"/>
              <w:bidi w:val="0"/>
              <w:spacing w:before="0" w:after="0"/>
              <w:jc w:val="left"/>
              <w:rPr>
                <w:rFonts w:ascii="Times New Roman" w:hAnsi="Times New Roman"/>
                <w:sz w:val="20"/>
              </w:rPr>
            </w:pPr>
            <w:r>
              <w:rPr>
                <w:rFonts w:ascii="Times New Roman" w:hAnsi="Times New Roman"/>
                <w:sz w:val="20"/>
              </w:rPr>
              <w:t>Loss on refinancing of debt</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24,168</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24,090</w:t>
            </w:r>
          </w:p>
        </w:tc>
        <w:tc>
          <w:tcPr>
            <w:tcW w:w="161" w:type="dxa"/>
            <w:tcBorders/>
            <w:vAlign w:val="bottom"/>
          </w:tcPr>
          <w:p>
            <w:pPr>
              <w:pStyle w:val="TableContents"/>
              <w:bidi w:val="0"/>
              <w:spacing w:before="0" w:after="283"/>
              <w:jc w:val="left"/>
              <w:rPr/>
            </w:pPr>
            <w:r>
              <w:rPr/>
              <w:t> </w:t>
            </w:r>
          </w:p>
        </w:tc>
      </w:tr>
      <w:tr>
        <w:trPr/>
        <w:tc>
          <w:tcPr>
            <w:tcW w:w="30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investment in unconsolidated affiliate</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9,613</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093"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164,691</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142,878</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80,144</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81,527</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82,159</w:t>
            </w:r>
          </w:p>
        </w:tc>
        <w:tc>
          <w:tcPr>
            <w:tcW w:w="161" w:type="dxa"/>
            <w:tcBorders/>
            <w:vAlign w:val="bottom"/>
          </w:tcPr>
          <w:p>
            <w:pPr>
              <w:pStyle w:val="TableContents"/>
              <w:bidi w:val="0"/>
              <w:spacing w:before="0" w:after="283"/>
              <w:jc w:val="left"/>
              <w:rPr/>
            </w:pPr>
            <w:r>
              <w:rPr/>
              <w:t> </w:t>
            </w:r>
          </w:p>
        </w:tc>
      </w:tr>
      <w:tr>
        <w:trPr/>
        <w:tc>
          <w:tcPr>
            <w:tcW w:w="30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loss (gain)</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199</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159</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145</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916</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(1,183</w:t>
            </w:r>
          </w:p>
        </w:tc>
        <w:tc>
          <w:tcPr>
            <w:tcW w:w="161" w:type="dxa"/>
            <w:tcBorders/>
            <w:shd w:fill="CCEEFF" w:val="clear"/>
            <w:vAlign w:val="bottom"/>
          </w:tcPr>
          <w:p>
            <w:pPr>
              <w:pStyle w:val="TableContents"/>
              <w:bidi w:val="0"/>
              <w:spacing w:before="0" w:after="283"/>
              <w:jc w:val="left"/>
              <w:rPr/>
            </w:pPr>
            <w:r>
              <w:rPr/>
              <w:t>) </w:t>
            </w:r>
          </w:p>
        </w:tc>
      </w:tr>
      <w:tr>
        <w:trPr/>
        <w:tc>
          <w:tcPr>
            <w:tcW w:w="3093"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(5,306</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(7,372</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(6,441</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(6,066</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(1,249</w:t>
            </w:r>
          </w:p>
        </w:tc>
        <w:tc>
          <w:tcPr>
            <w:tcW w:w="161" w:type="dxa"/>
            <w:tcBorders/>
            <w:vAlign w:val="bottom"/>
          </w:tcPr>
          <w:p>
            <w:pPr>
              <w:pStyle w:val="TableContents"/>
              <w:bidi w:val="0"/>
              <w:spacing w:before="0" w:after="283"/>
              <w:jc w:val="left"/>
              <w:rPr/>
            </w:pPr>
            <w:r>
              <w:rPr/>
              <w:t>) </w:t>
            </w:r>
          </w:p>
        </w:tc>
      </w:tr>
      <w:tr>
        <w:trPr/>
        <w:tc>
          <w:tcPr>
            <w:tcW w:w="3093"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0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113,874</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106,027</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(243,111</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4,074</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26,156</w:t>
            </w:r>
          </w:p>
        </w:tc>
        <w:tc>
          <w:tcPr>
            <w:tcW w:w="161" w:type="dxa"/>
            <w:tcBorders/>
            <w:shd w:fill="CCEEFF" w:val="clear"/>
            <w:vAlign w:val="bottom"/>
          </w:tcPr>
          <w:p>
            <w:pPr>
              <w:pStyle w:val="TableContents"/>
              <w:bidi w:val="0"/>
              <w:spacing w:before="0" w:after="283"/>
              <w:jc w:val="left"/>
              <w:rPr/>
            </w:pPr>
            <w:r>
              <w:rPr/>
              <w:t> </w:t>
            </w:r>
          </w:p>
        </w:tc>
      </w:tr>
      <w:tr>
        <w:trPr/>
        <w:tc>
          <w:tcPr>
            <w:tcW w:w="3093"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093" w:type="dxa"/>
            <w:tcBorders/>
          </w:tcPr>
          <w:p>
            <w:pPr>
              <w:pStyle w:val="TableContents"/>
              <w:bidi w:val="0"/>
              <w:spacing w:before="0" w:after="0"/>
              <w:jc w:val="left"/>
              <w:rPr>
                <w:rFonts w:ascii="Times New Roman" w:hAnsi="Times New Roman"/>
                <w:sz w:val="20"/>
              </w:rPr>
            </w:pPr>
            <w:r>
              <w:rPr>
                <w:rFonts w:ascii="Times New Roman" w:hAnsi="Times New Roman"/>
                <w:sz w:val="20"/>
              </w:rPr>
              <w:t>Provision (Benefit) for income taxes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69,476</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54,651</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(9,541</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9,372</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11,079</w:t>
            </w:r>
          </w:p>
        </w:tc>
        <w:tc>
          <w:tcPr>
            <w:tcW w:w="161" w:type="dxa"/>
            <w:tcBorders/>
            <w:vAlign w:val="bottom"/>
          </w:tcPr>
          <w:p>
            <w:pPr>
              <w:pStyle w:val="TableContents"/>
              <w:bidi w:val="0"/>
              <w:spacing w:before="0" w:after="283"/>
              <w:jc w:val="left"/>
              <w:rPr/>
            </w:pPr>
            <w:r>
              <w:rPr/>
              <w:t> </w:t>
            </w:r>
          </w:p>
        </w:tc>
      </w:tr>
      <w:tr>
        <w:trPr/>
        <w:tc>
          <w:tcPr>
            <w:tcW w:w="3093"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0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44,398</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51,376</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(233,570</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(5,298</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15,077</w:t>
            </w:r>
          </w:p>
        </w:tc>
        <w:tc>
          <w:tcPr>
            <w:tcW w:w="161" w:type="dxa"/>
            <w:tcBorders/>
            <w:shd w:fill="CCEEFF" w:val="clear"/>
            <w:vAlign w:val="bottom"/>
          </w:tcPr>
          <w:p>
            <w:pPr>
              <w:pStyle w:val="TableContents"/>
              <w:bidi w:val="0"/>
              <w:spacing w:before="0" w:after="283"/>
              <w:jc w:val="left"/>
              <w:rPr/>
            </w:pPr>
            <w:r>
              <w:rPr/>
              <w:t> </w:t>
            </w:r>
          </w:p>
        </w:tc>
      </w:tr>
      <w:tr>
        <w:trPr/>
        <w:tc>
          <w:tcPr>
            <w:tcW w:w="3093"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657"/>
        <w:gridCol w:w="187"/>
        <w:gridCol w:w="140"/>
        <w:gridCol w:w="876"/>
        <w:gridCol w:w="161"/>
        <w:gridCol w:w="144"/>
        <w:gridCol w:w="140"/>
        <w:gridCol w:w="876"/>
        <w:gridCol w:w="161"/>
        <w:gridCol w:w="144"/>
        <w:gridCol w:w="140"/>
        <w:gridCol w:w="876"/>
        <w:gridCol w:w="160"/>
        <w:gridCol w:w="144"/>
        <w:gridCol w:w="140"/>
        <w:gridCol w:w="823"/>
        <w:gridCol w:w="161"/>
        <w:gridCol w:w="144"/>
        <w:gridCol w:w="140"/>
        <w:gridCol w:w="823"/>
        <w:gridCol w:w="168"/>
      </w:tblGrid>
      <w:tr>
        <w:trPr/>
        <w:tc>
          <w:tcPr>
            <w:tcW w:w="3657"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57"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365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2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8" w:type="dxa"/>
            <w:tcBorders/>
            <w:vAlign w:val="bottom"/>
          </w:tcPr>
          <w:p>
            <w:pPr>
              <w:pStyle w:val="TableContents"/>
              <w:bidi w:val="0"/>
              <w:spacing w:before="0" w:after="283"/>
              <w:jc w:val="left"/>
              <w:rPr/>
            </w:pPr>
            <w:r>
              <w:rPr/>
              <w:t> </w:t>
            </w:r>
          </w:p>
        </w:tc>
      </w:tr>
      <w:tr>
        <w:trPr/>
        <w:tc>
          <w:tcPr>
            <w:tcW w:w="3657" w:type="dxa"/>
            <w:tcBorders/>
            <w:vAlign w:val="bottom"/>
          </w:tcPr>
          <w:p>
            <w:pPr>
              <w:pStyle w:val="TableContents"/>
              <w:bidi w:val="0"/>
              <w:spacing w:before="0" w:after="283"/>
              <w:jc w:val="left"/>
              <w:rPr>
                <w:i/>
              </w:rPr>
            </w:pPr>
            <w:r>
              <w:rPr>
                <w:i/>
              </w:rPr>
              <w:t>(in thousands, except per share amounts)</w:t>
            </w:r>
          </w:p>
        </w:tc>
        <w:tc>
          <w:tcPr>
            <w:tcW w:w="187"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8" w:type="dxa"/>
            <w:tcBorders/>
            <w:vAlign w:val="bottom"/>
          </w:tcPr>
          <w:p>
            <w:pPr>
              <w:pStyle w:val="TableContents"/>
              <w:bidi w:val="0"/>
              <w:spacing w:before="0" w:after="283"/>
              <w:jc w:val="left"/>
              <w:rPr/>
            </w:pPr>
            <w:r>
              <w:rPr/>
              <w:t> </w:t>
            </w:r>
          </w:p>
        </w:tc>
      </w:tr>
      <w:tr>
        <w:trPr/>
        <w:tc>
          <w:tcPr>
            <w:tcW w:w="36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(loss) income, net of tax:</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3"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3657" w:type="dxa"/>
            <w:tcBorders/>
          </w:tcPr>
          <w:p>
            <w:pPr>
              <w:pStyle w:val="TableContents"/>
              <w:bidi w:val="0"/>
              <w:spacing w:before="0" w:after="0"/>
              <w:jc w:val="left"/>
              <w:rPr>
                <w:rFonts w:ascii="Times New Roman" w:hAnsi="Times New Roman"/>
                <w:sz w:val="20"/>
              </w:rPr>
            </w:pPr>
            <w:r>
              <w:rPr>
                <w:rFonts w:ascii="Times New Roman" w:hAnsi="Times New Roman"/>
                <w:sz w:val="20"/>
              </w:rPr>
              <w:t>Pension and post-retirement benefits</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8,462</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(10,506</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20,790</w:t>
            </w:r>
          </w:p>
        </w:tc>
        <w:tc>
          <w:tcPr>
            <w:tcW w:w="1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81</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143</w:t>
            </w:r>
          </w:p>
        </w:tc>
        <w:tc>
          <w:tcPr>
            <w:tcW w:w="168" w:type="dxa"/>
            <w:tcBorders/>
            <w:vAlign w:val="bottom"/>
          </w:tcPr>
          <w:p>
            <w:pPr>
              <w:pStyle w:val="TableContents"/>
              <w:bidi w:val="0"/>
              <w:spacing w:before="0" w:after="283"/>
              <w:jc w:val="left"/>
              <w:rPr/>
            </w:pPr>
            <w:r>
              <w:rPr/>
              <w:t> </w:t>
            </w:r>
          </w:p>
        </w:tc>
      </w:tr>
      <w:tr>
        <w:trPr/>
        <w:tc>
          <w:tcPr>
            <w:tcW w:w="3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rate derivatives</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(5,396</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(15,697</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20,939</w:t>
            </w:r>
          </w:p>
        </w:tc>
        <w:tc>
          <w:tcPr>
            <w:tcW w:w="1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(1,895</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(2,042</w:t>
            </w:r>
          </w:p>
        </w:tc>
        <w:tc>
          <w:tcPr>
            <w:tcW w:w="168" w:type="dxa"/>
            <w:tcBorders/>
            <w:shd w:fill="CCEEFF" w:val="clear"/>
            <w:vAlign w:val="bottom"/>
          </w:tcPr>
          <w:p>
            <w:pPr>
              <w:pStyle w:val="TableContents"/>
              <w:bidi w:val="0"/>
              <w:spacing w:before="0" w:after="283"/>
              <w:jc w:val="left"/>
              <w:rPr/>
            </w:pPr>
            <w:r>
              <w:rPr/>
              <w:t>) </w:t>
            </w:r>
          </w:p>
        </w:tc>
      </w:tr>
      <w:tr>
        <w:trPr/>
        <w:tc>
          <w:tcPr>
            <w:tcW w:w="3657"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(118,635</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40,174</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(64,816</w:t>
            </w:r>
          </w:p>
        </w:tc>
        <w:tc>
          <w:tcPr>
            <w:tcW w:w="1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101,777</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(50,816</w:t>
            </w:r>
          </w:p>
        </w:tc>
        <w:tc>
          <w:tcPr>
            <w:tcW w:w="168" w:type="dxa"/>
            <w:tcBorders/>
            <w:vAlign w:val="bottom"/>
          </w:tcPr>
          <w:p>
            <w:pPr>
              <w:pStyle w:val="TableContents"/>
              <w:bidi w:val="0"/>
              <w:spacing w:before="0" w:after="283"/>
              <w:jc w:val="left"/>
              <w:rPr/>
            </w:pPr>
            <w:r>
              <w:rPr/>
              <w:t>) </w:t>
            </w:r>
          </w:p>
        </w:tc>
      </w:tr>
      <w:tr>
        <w:trPr/>
        <w:tc>
          <w:tcPr>
            <w:tcW w:w="3657"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365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Comprehensive income (loss)</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(71,171</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65,347</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(256,657</w:t>
            </w:r>
          </w:p>
        </w:tc>
        <w:tc>
          <w:tcPr>
            <w:tcW w:w="1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94,665</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(37,638</w:t>
            </w:r>
          </w:p>
        </w:tc>
        <w:tc>
          <w:tcPr>
            <w:tcW w:w="168" w:type="dxa"/>
            <w:tcBorders/>
            <w:shd w:fill="CCEEFF" w:val="clear"/>
            <w:vAlign w:val="bottom"/>
          </w:tcPr>
          <w:p>
            <w:pPr>
              <w:pStyle w:val="TableContents"/>
              <w:bidi w:val="0"/>
              <w:spacing w:before="0" w:after="283"/>
              <w:jc w:val="left"/>
              <w:rPr/>
            </w:pPr>
            <w:r>
              <w:rPr/>
              <w:t>) </w:t>
            </w:r>
          </w:p>
        </w:tc>
      </w:tr>
      <w:tr>
        <w:trPr/>
        <w:tc>
          <w:tcPr>
            <w:tcW w:w="3657"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6"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6"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3657" w:type="dxa"/>
            <w:tcBorders/>
          </w:tcPr>
          <w:p>
            <w:pPr>
              <w:pStyle w:val="TableContents"/>
              <w:bidi w:val="0"/>
              <w:spacing w:before="0" w:after="0"/>
              <w:jc w:val="left"/>
              <w:rPr>
                <w:rFonts w:ascii="Times New Roman" w:hAnsi="Times New Roman"/>
                <w:sz w:val="20"/>
              </w:rPr>
            </w:pPr>
            <w:r>
              <w:rPr>
                <w:rFonts w:ascii="Times New Roman" w:hAnsi="Times New Roman"/>
                <w:sz w:val="20"/>
              </w:rPr>
              <w:t>Earnings (loss) per share:</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36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0.16</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0.18</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(0.83</w:t>
            </w:r>
          </w:p>
        </w:tc>
        <w:tc>
          <w:tcPr>
            <w:tcW w:w="1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(0.02)</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0.05</w:t>
            </w:r>
          </w:p>
        </w:tc>
        <w:tc>
          <w:tcPr>
            <w:tcW w:w="168" w:type="dxa"/>
            <w:tcBorders/>
            <w:shd w:fill="CCEEFF" w:val="clear"/>
            <w:vAlign w:val="bottom"/>
          </w:tcPr>
          <w:p>
            <w:pPr>
              <w:pStyle w:val="TableContents"/>
              <w:bidi w:val="0"/>
              <w:spacing w:before="0" w:after="283"/>
              <w:jc w:val="left"/>
              <w:rPr/>
            </w:pPr>
            <w:r>
              <w:rPr/>
              <w:t> </w:t>
            </w:r>
          </w:p>
        </w:tc>
      </w:tr>
      <w:tr>
        <w:trPr/>
        <w:tc>
          <w:tcPr>
            <w:tcW w:w="3657" w:type="dxa"/>
            <w:tcBorders/>
          </w:tcPr>
          <w:p>
            <w:pPr>
              <w:pStyle w:val="TableContents"/>
              <w:bidi w:val="0"/>
              <w:spacing w:before="0" w:after="0"/>
              <w:jc w:val="left"/>
              <w:rPr>
                <w:rFonts w:ascii="Times New Roman" w:hAnsi="Times New Roman"/>
                <w:b/>
                <w:sz w:val="20"/>
              </w:rPr>
            </w:pPr>
            <w:r>
              <w:rPr>
                <w:rFonts w:ascii="Times New Roman" w:hAnsi="Times New Roman"/>
                <w:b/>
                <w:sz w:val="20"/>
              </w:rPr>
              <w:t>Selected cash flow data:</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3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 operating activities</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224,164</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(147,732</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277,961</w:t>
            </w:r>
          </w:p>
        </w:tc>
        <w:tc>
          <w:tcPr>
            <w:tcW w:w="1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112,937</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70,994</w:t>
            </w:r>
          </w:p>
        </w:tc>
        <w:tc>
          <w:tcPr>
            <w:tcW w:w="168" w:type="dxa"/>
            <w:tcBorders/>
            <w:shd w:fill="CCEEFF" w:val="clear"/>
            <w:vAlign w:val="bottom"/>
          </w:tcPr>
          <w:p>
            <w:pPr>
              <w:pStyle w:val="TableContents"/>
              <w:bidi w:val="0"/>
              <w:spacing w:before="0" w:after="283"/>
              <w:jc w:val="left"/>
              <w:rPr/>
            </w:pPr>
            <w:r>
              <w:rPr/>
              <w:t> </w:t>
            </w:r>
          </w:p>
        </w:tc>
      </w:tr>
      <w:tr>
        <w:trPr/>
        <w:tc>
          <w:tcPr>
            <w:tcW w:w="3657"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(178,996</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(214,906</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(181,896</w:t>
            </w:r>
          </w:p>
        </w:tc>
        <w:tc>
          <w:tcPr>
            <w:tcW w:w="1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(51,110</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(76,774</w:t>
            </w:r>
          </w:p>
        </w:tc>
        <w:tc>
          <w:tcPr>
            <w:tcW w:w="168" w:type="dxa"/>
            <w:tcBorders/>
            <w:vAlign w:val="bottom"/>
          </w:tcPr>
          <w:p>
            <w:pPr>
              <w:pStyle w:val="TableContents"/>
              <w:bidi w:val="0"/>
              <w:spacing w:before="0" w:after="283"/>
              <w:jc w:val="left"/>
              <w:rPr/>
            </w:pPr>
            <w:r>
              <w:rPr/>
              <w:t>) </w:t>
            </w:r>
          </w:p>
        </w:tc>
      </w:tr>
      <w:tr>
        <w:trPr/>
        <w:tc>
          <w:tcPr>
            <w:tcW w:w="3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(50,564</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265,959</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197,761</w:t>
            </w:r>
          </w:p>
        </w:tc>
        <w:tc>
          <w:tcPr>
            <w:tcW w:w="1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(15,020</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(41,362</w:t>
            </w:r>
          </w:p>
        </w:tc>
        <w:tc>
          <w:tcPr>
            <w:tcW w:w="168" w:type="dxa"/>
            <w:tcBorders/>
            <w:shd w:fill="CCEEFF" w:val="clear"/>
            <w:vAlign w:val="bottom"/>
          </w:tcPr>
          <w:p>
            <w:pPr>
              <w:pStyle w:val="TableContents"/>
              <w:bidi w:val="0"/>
              <w:spacing w:before="0" w:after="283"/>
              <w:jc w:val="left"/>
              <w:rPr/>
            </w:pPr>
            <w:r>
              <w:rPr/>
              <w:t>) </w:t>
            </w:r>
          </w:p>
        </w:tc>
      </w:tr>
      <w:tr>
        <w:trPr/>
        <w:tc>
          <w:tcPr>
            <w:tcW w:w="3657"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data:</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36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Adjusted Net Income(a)</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198,500</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204,326</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270,219</w:t>
            </w:r>
          </w:p>
        </w:tc>
        <w:tc>
          <w:tcPr>
            <w:tcW w:w="1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95,106</w:t>
            </w:r>
          </w:p>
        </w:tc>
        <w:tc>
          <w:tcPr>
            <w:tcW w:w="1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90,816</w:t>
            </w:r>
          </w:p>
        </w:tc>
        <w:tc>
          <w:tcPr>
            <w:tcW w:w="168" w:type="dxa"/>
            <w:tcBorders/>
            <w:shd w:fill="CCEEFF" w:val="clear"/>
            <w:vAlign w:val="bottom"/>
          </w:tcPr>
          <w:p>
            <w:pPr>
              <w:pStyle w:val="TableContents"/>
              <w:bidi w:val="0"/>
              <w:spacing w:before="0" w:after="283"/>
              <w:jc w:val="left"/>
              <w:rPr/>
            </w:pPr>
            <w:r>
              <w:rPr/>
              <w:t> </w:t>
            </w:r>
          </w:p>
        </w:tc>
      </w:tr>
      <w:tr>
        <w:trPr/>
        <w:tc>
          <w:tcPr>
            <w:tcW w:w="3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EBITDA(a)</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548,574</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528,029</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506,249</w:t>
            </w:r>
          </w:p>
        </w:tc>
        <w:tc>
          <w:tcPr>
            <w:tcW w:w="1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272,574</w:t>
            </w:r>
          </w:p>
        </w:tc>
        <w:tc>
          <w:tcPr>
            <w:tcW w:w="1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249,279</w:t>
            </w:r>
          </w:p>
        </w:tc>
        <w:tc>
          <w:tcPr>
            <w:tcW w:w="168" w:type="dxa"/>
            <w:tcBorders/>
            <w:vAlign w:val="bottom"/>
          </w:tcPr>
          <w:p>
            <w:pPr>
              <w:pStyle w:val="TableContents"/>
              <w:bidi w:val="0"/>
              <w:spacing w:before="0" w:after="283"/>
              <w:jc w:val="left"/>
              <w:rPr/>
            </w:pPr>
            <w:r>
              <w:rPr/>
              <w:t> </w:t>
            </w:r>
          </w:p>
        </w:tc>
      </w:tr>
      <w:tr>
        <w:trPr/>
        <w:tc>
          <w:tcPr>
            <w:tcW w:w="3657"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and Adjusted EBITDA are non-GAAP financial measures. For more information regarding our calculation of Adjusted Net Income and Adjusted EBITDA, including information about their limitations as tools for analysis and a reconciliation of net income (loss), the most directly comparable financial measure calculated and presented in accordance with GAAP (as defined below), to Adjusted Net Income and Adjusted EBITDA, see “—Non-GAAP Financial Measures.”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027"/>
        <w:gridCol w:w="423"/>
        <w:gridCol w:w="140"/>
        <w:gridCol w:w="987"/>
        <w:gridCol w:w="60"/>
        <w:gridCol w:w="423"/>
        <w:gridCol w:w="140"/>
        <w:gridCol w:w="987"/>
        <w:gridCol w:w="60"/>
        <w:gridCol w:w="423"/>
        <w:gridCol w:w="183"/>
        <w:gridCol w:w="1286"/>
        <w:gridCol w:w="66"/>
      </w:tblGrid>
      <w:tr>
        <w:trPr/>
        <w:tc>
          <w:tcPr>
            <w:tcW w:w="5027"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027"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7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4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June 30,</w:t>
            </w:r>
          </w:p>
        </w:tc>
        <w:tc>
          <w:tcPr>
            <w:tcW w:w="66" w:type="dxa"/>
            <w:tcBorders/>
            <w:vAlign w:val="bottom"/>
          </w:tcPr>
          <w:p>
            <w:pPr>
              <w:pStyle w:val="TableContents"/>
              <w:bidi w:val="0"/>
              <w:spacing w:before="0" w:after="283"/>
              <w:jc w:val="left"/>
              <w:rPr/>
            </w:pPr>
            <w:r>
              <w:rPr/>
              <w:t> </w:t>
            </w:r>
          </w:p>
        </w:tc>
      </w:tr>
      <w:tr>
        <w:trPr/>
        <w:tc>
          <w:tcPr>
            <w:tcW w:w="5027"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4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6" w:type="dxa"/>
            <w:tcBorders/>
            <w:vAlign w:val="bottom"/>
          </w:tcPr>
          <w:p>
            <w:pPr>
              <w:pStyle w:val="TableContents"/>
              <w:bidi w:val="0"/>
              <w:spacing w:before="0" w:after="283"/>
              <w:jc w:val="left"/>
              <w:rPr/>
            </w:pPr>
            <w:r>
              <w:rPr/>
              <w:t> </w:t>
            </w:r>
          </w:p>
        </w:tc>
      </w:tr>
      <w:tr>
        <w:trPr/>
        <w:tc>
          <w:tcPr>
            <w:tcW w:w="50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Sheet Data</w:t>
            </w:r>
          </w:p>
        </w:tc>
        <w:tc>
          <w:tcPr>
            <w:tcW w:w="4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28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027" w:type="dxa"/>
            <w:tcBorders/>
          </w:tcPr>
          <w:p>
            <w:pPr>
              <w:pStyle w:val="TableContents"/>
              <w:bidi w:val="0"/>
              <w:spacing w:before="0" w:after="0"/>
              <w:jc w:val="left"/>
              <w:rPr>
                <w:rFonts w:ascii="Times New Roman" w:hAnsi="Times New Roman"/>
                <w:i/>
                <w:sz w:val="20"/>
              </w:rPr>
            </w:pPr>
            <w:r>
              <w:rPr>
                <w:rFonts w:ascii="Times New Roman" w:hAnsi="Times New Roman"/>
                <w:i/>
                <w:sz w:val="20"/>
              </w:rPr>
              <w:t>(in thousands)</w:t>
            </w:r>
          </w:p>
        </w:tc>
        <w:tc>
          <w:tcPr>
            <w:tcW w:w="4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28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50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equivalents(a)</w:t>
            </w:r>
          </w:p>
        </w:tc>
        <w:tc>
          <w:tcPr>
            <w:tcW w:w="4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277,242</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296,407</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286" w:type="dxa"/>
            <w:tcBorders/>
            <w:shd w:fill="CCEEFF" w:val="clear"/>
            <w:vAlign w:val="bottom"/>
          </w:tcPr>
          <w:p>
            <w:pPr>
              <w:pStyle w:val="TableContents"/>
              <w:bidi w:val="0"/>
              <w:spacing w:before="0" w:after="283"/>
              <w:jc w:val="right"/>
              <w:rPr/>
            </w:pPr>
            <w:r>
              <w:rPr/>
              <w:t>332,437</w:t>
            </w:r>
          </w:p>
        </w:tc>
        <w:tc>
          <w:tcPr>
            <w:tcW w:w="66" w:type="dxa"/>
            <w:tcBorders/>
            <w:shd w:fill="CCEEFF" w:val="clear"/>
            <w:vAlign w:val="bottom"/>
          </w:tcPr>
          <w:p>
            <w:pPr>
              <w:pStyle w:val="TableContents"/>
              <w:bidi w:val="0"/>
              <w:spacing w:before="0" w:after="283"/>
              <w:jc w:val="left"/>
              <w:rPr/>
            </w:pPr>
            <w:r>
              <w:rPr/>
              <w:t> </w:t>
            </w:r>
          </w:p>
        </w:tc>
      </w:tr>
      <w:tr>
        <w:trPr/>
        <w:tc>
          <w:tcPr>
            <w:tcW w:w="5027" w:type="dxa"/>
            <w:tcBorders/>
          </w:tcPr>
          <w:p>
            <w:pPr>
              <w:pStyle w:val="TableContents"/>
              <w:bidi w:val="0"/>
              <w:spacing w:before="0" w:after="0"/>
              <w:jc w:val="left"/>
              <w:rPr>
                <w:rFonts w:ascii="Times New Roman" w:hAnsi="Times New Roman"/>
                <w:sz w:val="20"/>
              </w:rPr>
            </w:pPr>
            <w:r>
              <w:rPr>
                <w:rFonts w:ascii="Times New Roman" w:hAnsi="Times New Roman"/>
                <w:sz w:val="20"/>
              </w:rPr>
              <w:t>Working capital(b)</w:t>
            </w:r>
          </w:p>
        </w:tc>
        <w:tc>
          <w:tcPr>
            <w:tcW w:w="4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335,035</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326,590</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361,855</w:t>
            </w:r>
          </w:p>
        </w:tc>
        <w:tc>
          <w:tcPr>
            <w:tcW w:w="66" w:type="dxa"/>
            <w:tcBorders/>
            <w:vAlign w:val="bottom"/>
          </w:tcPr>
          <w:p>
            <w:pPr>
              <w:pStyle w:val="TableContents"/>
              <w:bidi w:val="0"/>
              <w:spacing w:before="0" w:after="283"/>
              <w:jc w:val="left"/>
              <w:rPr/>
            </w:pPr>
            <w:r>
              <w:rPr/>
              <w:t> </w:t>
            </w:r>
          </w:p>
        </w:tc>
      </w:tr>
      <w:tr>
        <w:trPr/>
        <w:tc>
          <w:tcPr>
            <w:tcW w:w="50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3,071,648</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3,130,420</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3,216,729</w:t>
            </w:r>
          </w:p>
        </w:tc>
        <w:tc>
          <w:tcPr>
            <w:tcW w:w="66" w:type="dxa"/>
            <w:tcBorders/>
            <w:shd w:fill="CCEEFF" w:val="clear"/>
            <w:vAlign w:val="bottom"/>
          </w:tcPr>
          <w:p>
            <w:pPr>
              <w:pStyle w:val="TableContents"/>
              <w:bidi w:val="0"/>
              <w:spacing w:before="0" w:after="283"/>
              <w:jc w:val="left"/>
              <w:rPr/>
            </w:pPr>
            <w:r>
              <w:rPr/>
              <w:t> </w:t>
            </w:r>
          </w:p>
        </w:tc>
      </w:tr>
      <w:tr>
        <w:trPr/>
        <w:tc>
          <w:tcPr>
            <w:tcW w:w="5027"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and short-term debt (including current portion, less unamortized debt issuance costs and debt discounts)</w:t>
            </w:r>
          </w:p>
        </w:tc>
        <w:tc>
          <w:tcPr>
            <w:tcW w:w="4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2,222,903</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2,228,471</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2,217,471</w:t>
            </w:r>
          </w:p>
        </w:tc>
        <w:tc>
          <w:tcPr>
            <w:tcW w:w="66" w:type="dxa"/>
            <w:tcBorders/>
            <w:vAlign w:val="bottom"/>
          </w:tcPr>
          <w:p>
            <w:pPr>
              <w:pStyle w:val="TableContents"/>
              <w:bidi w:val="0"/>
              <w:spacing w:before="0" w:after="283"/>
              <w:jc w:val="left"/>
              <w:rPr/>
            </w:pPr>
            <w:r>
              <w:rPr/>
              <w:t> </w:t>
            </w:r>
          </w:p>
        </w:tc>
      </w:tr>
      <w:tr>
        <w:trPr/>
        <w:tc>
          <w:tcPr>
            <w:tcW w:w="50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4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2,666,737</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2,686,686</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2,705,446</w:t>
            </w:r>
          </w:p>
        </w:tc>
        <w:tc>
          <w:tcPr>
            <w:tcW w:w="66" w:type="dxa"/>
            <w:tcBorders/>
            <w:shd w:fill="CCEEFF" w:val="clear"/>
            <w:vAlign w:val="bottom"/>
          </w:tcPr>
          <w:p>
            <w:pPr>
              <w:pStyle w:val="TableContents"/>
              <w:bidi w:val="0"/>
              <w:spacing w:before="0" w:after="283"/>
              <w:jc w:val="left"/>
              <w:rPr/>
            </w:pPr>
            <w:r>
              <w:rPr/>
              <w:t> </w:t>
            </w:r>
          </w:p>
        </w:tc>
      </w:tr>
      <w:tr>
        <w:trPr/>
        <w:tc>
          <w:tcPr>
            <w:tcW w:w="5027"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4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404,911</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443,734</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511,283</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and cash equivalents excludes restricted cash.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Working capital represents current assets less current liabilities.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Non-GAAP Financial Measures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supplement our consolidated financial statements presented in accordance with Generally Accepted Accounting Principles (“GAAP”), we consider Adjusted Net Income and Adjusted EBITDA, financial measures that are not based on any standardized methodology prescribed by GAAP. </w:t>
      </w:r>
    </w:p>
    <w:p>
      <w:pPr>
        <w:pStyle w:val="TextBody"/>
        <w:bidi w:val="0"/>
        <w:spacing w:before="20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Cobalt-60 (“Co-60”) used in our operations) and income tax provision applicable to Adjusted Net Income. </w:t>
      </w:r>
    </w:p>
    <w:p>
      <w:pPr>
        <w:pStyle w:val="TextBody"/>
        <w:bidi w:val="0"/>
        <w:spacing w:before="20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 </w:t>
      </w:r>
    </w:p>
    <w:p>
      <w:pPr>
        <w:pStyle w:val="TextBody"/>
        <w:bidi w:val="0"/>
        <w:spacing w:before="20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primarily exclude: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recurring non-cash charges such as depreciation of fixed assets, although these assets may have to be replaced in the future, as well as amortization of acquired intangible assets and asset retirement obligations (“ARO”);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acquiring and integrating businesses, which will continue to be a part of our growth strategy;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non-cash gains or losses from fluctuations in foreign currency exchange rates, and the mark-to-fair value of derivatives not designated as hedging instruments, which includes the embedded derivatives relating to certain customer and supply contracts at Nordion;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on long-lived assets, intangible assets and investments accounted for under the equity method;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on refinancing of debt incurred in connection with refinancing or early extinguishment of long-term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the secondary offerings of our common stock and other shareholder activities;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and charges related to the litigation, settlement agreements, and other activities associated with our ethylene oxide (“EO”) sterilization facilities, including those related to Willowbrook, Illinois, Atlanta, Georgia, Santa Teresa, New Mexico and Vernon, California;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Adjusted EBITDA, interest expense or the cash requirements necessary to service interest or principal payments on our indebtedness;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compensation expense, which has been, and will continue to be for the foreseeable future, a significant recurring expense and an important part of our compensation strategy.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 </w:t>
      </w:r>
    </w:p>
    <w:p>
      <w:pPr>
        <w:pStyle w:val="TextBody"/>
        <w:bidi w:val="0"/>
        <w:spacing w:before="18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presents a reconciliation of net income (loss), the most directly comparable financial measure calculated and presented in accordance with GAAP to Adjusted Net Income and Adjusted EBITDA, for each of the periods indicated: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751"/>
        <w:gridCol w:w="189"/>
        <w:gridCol w:w="140"/>
        <w:gridCol w:w="822"/>
        <w:gridCol w:w="161"/>
        <w:gridCol w:w="147"/>
        <w:gridCol w:w="140"/>
        <w:gridCol w:w="822"/>
        <w:gridCol w:w="161"/>
        <w:gridCol w:w="147"/>
        <w:gridCol w:w="140"/>
        <w:gridCol w:w="875"/>
        <w:gridCol w:w="161"/>
        <w:gridCol w:w="147"/>
        <w:gridCol w:w="140"/>
        <w:gridCol w:w="821"/>
        <w:gridCol w:w="161"/>
        <w:gridCol w:w="147"/>
        <w:gridCol w:w="140"/>
        <w:gridCol w:w="822"/>
        <w:gridCol w:w="171"/>
      </w:tblGrid>
      <w:tr>
        <w:trPr/>
        <w:tc>
          <w:tcPr>
            <w:tcW w:w="3751"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751"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355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2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71" w:type="dxa"/>
            <w:tcBorders/>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i/>
              </w:rPr>
            </w:pPr>
            <w:r>
              <w:rPr>
                <w:i/>
              </w:rPr>
              <w:t>(in thousands)</w:t>
            </w:r>
          </w:p>
        </w:tc>
        <w:tc>
          <w:tcPr>
            <w:tcW w:w="189"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71"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44,398</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51,376</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(233,570</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(5,298</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15,077</w:t>
            </w:r>
          </w:p>
        </w:tc>
        <w:tc>
          <w:tcPr>
            <w:tcW w:w="171"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79,377</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81,348</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81,554</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30,598</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39,879</w:t>
            </w:r>
          </w:p>
        </w:tc>
        <w:tc>
          <w:tcPr>
            <w:tcW w:w="171"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compensation(a)</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36,896</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32,364</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21,211</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15,418</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18,863</w:t>
            </w:r>
          </w:p>
        </w:tc>
        <w:tc>
          <w:tcPr>
            <w:tcW w:w="171"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Loss on refinancing of debt(b)</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24,168</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80</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24,090</w:t>
            </w:r>
          </w:p>
        </w:tc>
        <w:tc>
          <w:tcPr>
            <w:tcW w:w="171"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on foreign currency and derivatives not designated as hedging instruments, net(c)</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2,448</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(1,552</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3,150</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(1,127</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532</w:t>
            </w:r>
          </w:p>
        </w:tc>
        <w:tc>
          <w:tcPr>
            <w:tcW w:w="171"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Business optimization expenses(d)</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9,368</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7,662</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8,354</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4,477</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1,784</w:t>
            </w:r>
          </w:p>
        </w:tc>
        <w:tc>
          <w:tcPr>
            <w:tcW w:w="171"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investment in unconsolidated affiliate(e)</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9,613</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services relating to EO sterilization facilities(f)</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32,694</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45,312</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72,639</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26,363</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14,157</w:t>
            </w:r>
          </w:p>
        </w:tc>
        <w:tc>
          <w:tcPr>
            <w:tcW w:w="171"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Illinois EO litigation settlements(g)</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408,000</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64,943</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Georgia EO litigation settlement(h)</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35,000</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asset retirement obligations(i)</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2,638</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2,413</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2,194</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1,137</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1,278</w:t>
            </w:r>
          </w:p>
        </w:tc>
        <w:tc>
          <w:tcPr>
            <w:tcW w:w="171"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COVID-19 expenses(j)</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155</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 associated with pre-tax adjustments(k)</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(33,487</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(49,597</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(103,081</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(41,485</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(24,844</w:t>
            </w:r>
          </w:p>
        </w:tc>
        <w:tc>
          <w:tcPr>
            <w:tcW w:w="171" w:type="dxa"/>
            <w:tcBorders/>
            <w:shd w:fill="CCEEFF" w:val="clear"/>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Net Income</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198,500</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204,326</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270,219</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95,106</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90,816</w:t>
            </w:r>
          </w:p>
        </w:tc>
        <w:tc>
          <w:tcPr>
            <w:tcW w:w="171" w:type="dxa"/>
            <w:tcBorders/>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164,691</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142,878</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78,490</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81,527</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82,159</w:t>
            </w:r>
          </w:p>
        </w:tc>
        <w:tc>
          <w:tcPr>
            <w:tcW w:w="171"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Depreciation(l)</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82,420</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76,577</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64,000</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45,084</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40,381</w:t>
            </w:r>
          </w:p>
        </w:tc>
        <w:tc>
          <w:tcPr>
            <w:tcW w:w="171"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 applicable to Adjusted Net Income(m)</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102,963</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104,248</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93,540</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50,857</w:t>
            </w:r>
          </w:p>
        </w:tc>
        <w:tc>
          <w:tcPr>
            <w:tcW w:w="1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35,923</w:t>
            </w:r>
          </w:p>
        </w:tc>
        <w:tc>
          <w:tcPr>
            <w:tcW w:w="171" w:type="dxa"/>
            <w:tcBorders/>
            <w:shd w:fill="CCEEFF" w:val="clear"/>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b/>
                <w:sz w:val="20"/>
              </w:rPr>
              <w:t>Adjusted EBITDA</w:t>
            </w:r>
            <w:r>
              <w:rPr>
                <w:rFonts w:ascii="Times New Roman" w:hAnsi="Times New Roman"/>
                <w:sz w:val="20"/>
              </w:rPr>
              <w:t>(n)</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548,574</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528,029</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506,249</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1" w:type="dxa"/>
            <w:tcBorders/>
            <w:vAlign w:val="bottom"/>
          </w:tcPr>
          <w:p>
            <w:pPr>
              <w:pStyle w:val="TableContents"/>
              <w:bidi w:val="0"/>
              <w:spacing w:before="0" w:after="283"/>
              <w:jc w:val="right"/>
              <w:rPr/>
            </w:pPr>
            <w:r>
              <w:rPr/>
              <w:t>272,574</w:t>
            </w:r>
          </w:p>
        </w:tc>
        <w:tc>
          <w:tcPr>
            <w:tcW w:w="1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249,279</w:t>
            </w:r>
          </w:p>
        </w:tc>
        <w:tc>
          <w:tcPr>
            <w:tcW w:w="171" w:type="dxa"/>
            <w:tcBorders/>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2"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share-based compensation expense related to employees and Non-Employee Directors.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write-off of unamortized debt issuance costs and discounts, as well as certain other costs incurred related to the Refinancing Term Loans, the Secured Notes and the Revolving Credit Facility.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effects of (i) fluctuations in foreign currency exchange rates, (ii) non-cash mark-to-fair value of embedded derivatives relating to certain customer and supply contracts at Nordion, and (iii) unrealized gains and losses on interest rate derivatives not designated as hedging instruments.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 The year ended December 31, 2023 includes a $1.0 million cancellation fee received from a tenant in connection with the termination of an office space lease at the Nordion facility.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impairment charge on an equity method investment in a joint venture.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litigation and other professional fees associated with our EO sterilization facilities.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presented for the year ended December 31, 2022 represent the cost to settle 880 pending and threatened EO claims in Illinois pursuant to settlement agreements entered into on January 9, 2023 and finalized on March 28, 2023. Amounts presented for the six months ended June 30, 2025 represent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cost to settle 79 pending EO claims in Georgia under a settlement entered into on December 21,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non-cash accretion of ARO related to Co-60 gamma and EO sterilization facilities, which are based on estimated site remediation costs for any future decommissioning of these facilities and are accreted over the life of the asset.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(j)</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non-recurring costs associated with the COVID-19 pandemic, including incremental costs to implement workplace health and safety measures.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(k)</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income tax impact of adjustments calculated based on the tax rate applicable to each item. We eliminate the effect of tax rate changes as applied to tax assets and liabilities and unusual items from our presentation of adjusted net income.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(l)</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depreciation of Co-60 held at gamma irradiation sites. The year ended December 31, 2024 and six months ended June 30, 2025 exclude accelerated depreciation associated with business optimization activities.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(m)</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difference between the income tax provision/benefit as determined under U.S. GAAP and the income tax provision/benefit associated with pre-tax adjustments described in footnote (k).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(n)</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$97.1 million and $94.1 million of the adjustments for the year ended December 31, 2024, and 2023, respectively, and $48.6 million and $47.2 million of the adjustments for the six months ended June 30, 2025 and 2024, respectively, are included in cost of revenues, primarily consisting of amortization of intangible assets, depreciation, and accretion of ARO.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912969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You should carefully consider the following risks together will the other information included or incorporated by reference in this prospectus supplement and the accompanying prospectus before deciding to invest in our common stock, including the risks described under “Risk Factors” in Part I, Item. 1A of our Annual Report. The occurrence of any of the following risks could harm our business, revenue and financial results. In addition, risks and uncertainties that are not presently known to us or that we currently believe are immaterial could also harm our business, revenue and financial results. If any of these risks occur, the value of our common stock could decline and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Offering and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and trading volume of our common stock may be volatile, and you could lose all or part of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our common stock may fluctuate or decline significantly in the future. Some of the factors that could negatively affect our share price or result in fluctuations in the price or trading volume of our common stock include those listed in the related Risk Factors described under “Risk Factors—Risks Related to the Company” and “—Risks Related to Our Indebtedness and Liquidity” in our Annual Report, and the following, some of which are beyond our control: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in our litigation matters and governmental investigations or additional significant lawsuits or governmental investigations relating to our services or facilities, including our susceptibility as a publicly-traded company to enforcement proceedings and civil litigation alleging that our disclosures have not complied with federal and state securities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the jurisdictions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about us or the industries in which we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our quarterly or annual results of operations, or in those of our competitors or of companies in the medical device and pharmaceutical industries;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projections we may provide to the public, any changes in these projections or our failure to meet these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our common stock by us or our stockholders in the future or the perception that such sales may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about the industries in which we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analysts’ estimates, investors’ perceptions, recommendations by securities analysts, our failure to achieve analysts’ estimates or failure of analysts to maintain coverage of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in the trading prices and trading volumes of companies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operating performance and stock market valuations of companies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principles, policies, guidance, interpretations or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or economic downturns in the markets in which we, our suppliers or our customers are located caused by pandemics, such as the COVID-19 pandemic, and related policies and restrictions undertaken to contain the spread of such pandemics or potential pandemics;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 and costs associated with potential shareholder activism campaigns and outreach efforts;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conditions and other factors unrelated to our operating performance or the operating performance of our competitors.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companies’ securities, securities class action litigation has often been instituted against these companies, and a putative class action of this kind is currently pending against us. See Note 14, “Commitments and Contingencies” to our consolidated financial statements under the heading “Sotera Health Company Securities Litigation and Related Matters” in our Quarterly Report on Form 10-Q for the quarter ended June 30, 2025. Such litigation could result in substantial costs and a diversion of our management’s attention and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future issuance of additional common stock in connection with our incentive plans, acquisitions or otherwise will dilute all other stockholdings. </w:t>
      </w:r>
    </w:p>
    <w:p>
      <w:pPr>
        <w:pStyle w:val="TextBody"/>
        <w:bidi w:val="0"/>
        <w:spacing w:before="120" w:after="0"/>
        <w:jc w:val="left"/>
        <w:rPr>
          <w:rFonts w:ascii="Times New Roman" w:hAnsi="Times New Roman"/>
          <w:sz w:val="20"/>
        </w:rPr>
      </w:pPr>
      <w:r>
        <w:rPr>
          <w:rFonts w:ascii="Times New Roman" w:hAnsi="Times New Roman"/>
          <w:sz w:val="20"/>
        </w:rPr>
        <w:t xml:space="preserve">As of July 29, 2025, we had an aggregate of 886,109,800 shares of common stock that are not currently reserved for issuance under our 2020 Plan, as well as 1,990,546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own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offerings of debt or equity securities by us may adversely affect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requiring substantial additional capital through a combination of additional issuances of equity, corporate indebtedness, asset-backed acquisition financing and/or cash from operations. </w:t>
      </w:r>
    </w:p>
    <w:p>
      <w:pPr>
        <w:pStyle w:val="TextBody"/>
        <w:bidi w:val="0"/>
        <w:spacing w:before="240" w:after="0"/>
        <w:jc w:val="left"/>
        <w:rPr>
          <w:rFonts w:ascii="Times New Roman" w:hAnsi="Times New Roman"/>
          <w:sz w:val="20"/>
        </w:rPr>
      </w:pPr>
      <w:r>
        <w:rPr>
          <w:rFonts w:ascii="Times New Roman" w:hAnsi="Times New Roman"/>
          <w:sz w:val="20"/>
        </w:rPr>
        <w:t xml:space="preserve">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sale of a substantial number of shares of our common stock, or the perception that such sales might occur, may cause the price of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Future sales of substantial amounts of our common stock in the public market,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our initial public offering (“IPO”), we entered into a stockholders’ agreement with certain holders of our common stock, including investment funds and entities affiliated with either Warburg Pincus or GTCR and members of our management team, which we refer to as the “Stockholders Agreement.” Under the Stockholders Agreement, individual stockholders who were members of our management before the IPO, and other persons related to these individuals, are subject to contractual restrictions on transfer of shares of our common stock until November 19, 2026. These restrictions apply to approximately 19,035,813 shares as of July 29, 2025, but may be waived at any time by a majority of the members of the leadership development and compensation committee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supplement, the Sponsors own approximately 43.3% of our outstanding common stock, and following completion of this offering the Sponsors will own approximately 36.28%, and have rights to require us to file registration statements covering their shares. The Sponsors and certain other stockholders could also require us to include their shares in registration statements that we may file for ourselves or our stockholders. Additionally, the Sponsors and our officers and directors may sell shares into the public markets in accordance with the requirements of Rule 144 under the Securities Act of 1933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Any sales of securities by any of our stockholders described above could have a material adverse effect on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interests of the Sponsors may differ from the interests of other stockholders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supplement, the Sponsors own approximately 43.3% of our outstanding common stock, and following completion of this offering we expect that the Sponsors will own approximately 36.28%, and retain the right to designate five of our directors (subject to further reduction as ownership levels decrease). As a result, even after their ownership is reduced by this offering, the Sponsors will have substantial influence over all matters requiring a stockholder vote. The Stockholders Agreement contains agreements with respect to certain other matters,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the termination of our chief executive officer or designation of a new chief executive officer; changes in the composition of committees of our board of directors; entry into or changes to certain compensation agreements; and the issuance of additional shares of our common stock. This concentration of ownership, together with the Sponsors’ rights under the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were sold to the public in our IPO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 holders of the Sponsors, from losses arising out of any threatened or actual litigation by reason of the fact that the indemnified person is or was a holder of our common stock or of equity interests in Sotera Health Company. Public stockholders will not benefit from this indemnification provision. </w:t>
      </w:r>
    </w:p>
    <w:p>
      <w:pPr>
        <w:pStyle w:val="TextBody"/>
        <w:bidi w:val="0"/>
        <w:spacing w:before="240" w:after="0"/>
        <w:jc w:val="left"/>
        <w:rPr>
          <w:rFonts w:ascii="Times New Roman" w:hAnsi="Times New Roman"/>
          <w:sz w:val="20"/>
        </w:rPr>
      </w:pPr>
      <w:r>
        <w:rPr>
          <w:rFonts w:ascii="Times New Roman" w:hAnsi="Times New Roman"/>
          <w:sz w:val="20"/>
        </w:rPr>
        <w:t xml:space="preserve">This concentration of ownership, together with the Sponsors’ rights under the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the Stockholders Agreement, may adversely affect the trading price of our common stock because investors may perceive disadvantages in owning shares in a company with significant stockholders with correspondingly significant voting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Certain of our stockholders have the right to engage or invest in the same or similar businesses as us. </w:t>
      </w:r>
    </w:p>
    <w:p>
      <w:pPr>
        <w:pStyle w:val="TextBody"/>
        <w:bidi w:val="0"/>
        <w:spacing w:before="120" w:after="0"/>
        <w:jc w:val="left"/>
        <w:rPr>
          <w:rFonts w:ascii="Times New Roman" w:hAnsi="Times New Roman"/>
          <w:sz w:val="20"/>
        </w:rPr>
      </w:pPr>
      <w:r>
        <w:rPr>
          <w:rFonts w:ascii="Times New Roman" w:hAnsi="Times New Roman"/>
          <w:sz w:val="20"/>
        </w:rPr>
        <w:t xml:space="preserve">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of our directors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and such person acts in good faith.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our amended and restated certificate of incorporation, amended and restated bylaws and the Stockholders Agreement, as well as Delaware law, could discourage a change in control of our company or a change in our management.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the Stockholders Agreement and Delaware law contain provisions that might discourage, delay or prevent a merger, acquisition, or other change in control that stockholders may consider favorable, including transactions in which our stockholders might otherwise receive a premium for shares of our common stock. These provisions may also prevent or frustrate attempts by our stockholders to replace or remove our management.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liability of, and providing indemnification to, our directors and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 classified board of directors with three-year staggered terms, which could delay the ability of stockholders to change the membership of a majority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that directors may be removed only for cause by the affirmative vote of the holders of at least 75% of the voting power of our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the affirmative vote of at least 66 2/3% of the voting power of our outstanding common stock to amend certain provisions of our amended and restated certificate of incorporation and amended and restated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that for so long as investment funds and entities affiliated with either Warburg Pincus or GTCR have the right (individually) to designate at least three directors for election to our board of directors, certain board approvals, including amendments to our amended and restated certificate of incorporation or amended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 restated bylaws and certain specified corporate transactions, including certain acquisitions, mergers, other business combination transactions and dispositions, may be effected only with the affirmative vote of 75% of our board of directors, in addition to any other vote required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issue blank check preferred stock without stockholder approval, which could be used to dilute the stock ownership of a potential hostile acquirer or adopt a stockholder rights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requirement that our stockholders may only take action at annual or special meetings of our stockholders and may not act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ability of stockholders to call and bring business before special meetings;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forum to the Court of Chancery of the State of Delaware or federal court located within the State of Delaware for certain types of actions and proceedings that may be initiated against us by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stockholder approval is obtained prior to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might discourage, delay or prevent a change in control of our company or a change in our management. For example, because investment funds and entities affiliated with either Warburg Pincus or GTCR together will continue to own a substantial portion of the voting power of our common stock, they could prevent or make more difficult a third party acquisition of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Securities Exchange Act of 1934, as amended (the “Exchange Act”). Section 27 of the Exchange Act creates exclusive federal jurisdiction over all suits brought to enforce any duty or liability created by the Exchange Act or the rules and regulations thereunder. Our amended and restated certificate of incorporation further provides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 </w:t>
      </w:r>
    </w:p>
    <w:p>
      <w:pPr>
        <w:pStyle w:val="TextBody"/>
        <w:bidi w:val="0"/>
        <w:spacing w:before="240" w:after="0"/>
        <w:jc w:val="left"/>
        <w:rPr>
          <w:rFonts w:ascii="Times New Roman" w:hAnsi="Times New Roman"/>
          <w:sz w:val="20"/>
        </w:rPr>
      </w:pPr>
      <w:r>
        <w:rPr>
          <w:rFonts w:ascii="Times New Roman" w:hAnsi="Times New Roman"/>
          <w:sz w:val="20"/>
        </w:rPr>
        <w:t xml:space="preserve">The Delaware Forum Provision and the Federal Forum Provision may limit a stockholder’s ability to bring a claim in a judicial forum that the stockholder believes might be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anticipate paying any dividends on our common stock in the foreseeable future, and, consequently, our stockholders’ ability to achieve a return on their investment depends on appreciation in the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do not expect to declare or pay dividends on our common stock in the foreseeable future. We currently expect to use any cash flow generated by operations to pay for our operations, grow our business and repay existing indebtedness.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our senior secured first lien credit facilities and senior secured first lien notes. As a result, capital appreciation, if any, of our common stock will be the sole source of potential gain for the foreseeable future, and our stockholders will have to sell some or all of their common stock holdings to generate cash flow from their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912969_7"/>
      <w:bookmarkEnd w:id="9"/>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and any documents incorporated by reference in this prospectus supplement and accompanying prospectus may contain or incorporate by reference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disruption in the availability or supply of, or increases in the price of, EO, Co-60 or our other direct materials, services and supplies, including as a result of geopolitical instability and/or sanctions against Russia by the United States, Canada, United Kingdom and/or the European Union;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foreign currency exchange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evolving changes in environmental, health and safety regulations or preferences, and general economic, social and business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 and safety risks associated with the use, storage, transportation and disposal of potentially hazardous materials such as EO and Co-60;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and outcome of current and future legal proceedings and liability claims, including litigation related to the use, emissions and releases of EO from our facilities in California, Georgia, Illinois and New Mexico and the possibility that additional claims will be made in the future relating to these or other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satisfy the conditions for settlement of the EO claims related to our former facility in Willowbrook, Illinois;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allegations of our failure to properly perform services and potential product liability claims, recalls, penalties and reputational harm;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extensive regulatory requirements to which we are subject, the related costs, and any failures to receive or maintain, or delays in receiving, required clearances or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in industry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we face;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and changes, including inflationary trends and the impact of tariffs, that impact our long-term supply contracts with variable price clauses and increase our cost of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continuity hazards, including supply chain disruptions and other risks associated with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of doing business internationally, including global and regional economic and political instability and compliance with various applicable laws and potentially inconsistent laws and regulations in multiple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increase capacity at existing facilities, build new facilities in a timely and cost-effective manner and renew leases for our leased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severe health events or environmental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incidents, unauthorized data disclosures, and our dependence on information technology systems;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pursue strategic transactions, find suitable acquisition targets, or integrate strategic acquisitions into our business successfully;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effective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intellectual property to maintain our competitive position and the risk of claims from third parties that we have infringed or misappropriated, or are infringing or misappropriating, their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rapidly evolving data privacy and security laws and regulations in various jurisdictions and any ineffective compliance efforts with such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profitability in future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on our goodwill and other intangible assets with indefinite lives, as well as other long-lived assets and intangible assets with definite lives;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unionization efforts and labor regulations in countries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to our tax positions in U.S. or non-U.S. jurisdictions or the interpretation and application of U.S. tax legislation or other changes in U.S. or non-U.S. taxation of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agreements governing our indebtedness;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control that certain investment funds and entities affiliated with the Sponsors to have over us, which could limit stockholders’ ability to influence the outcome of key transactions, including a change of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above factors, as well as the factors discussed elsewhere in this prospectus supplement and accompanying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912969_8"/>
      <w:bookmarkEnd w:id="10"/>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common stock as of the date of this prospectus supplement by each of the selling stockholders covered by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284,046,606 shares of common stock outstanding as of July 29, 2025.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32"/>
        <w:gridCol w:w="140"/>
        <w:gridCol w:w="60"/>
        <w:gridCol w:w="1210"/>
        <w:gridCol w:w="60"/>
        <w:gridCol w:w="140"/>
        <w:gridCol w:w="60"/>
        <w:gridCol w:w="595"/>
        <w:gridCol w:w="275"/>
        <w:gridCol w:w="88"/>
        <w:gridCol w:w="67"/>
        <w:gridCol w:w="1364"/>
        <w:gridCol w:w="67"/>
        <w:gridCol w:w="152"/>
        <w:gridCol w:w="67"/>
        <w:gridCol w:w="1364"/>
        <w:gridCol w:w="67"/>
        <w:gridCol w:w="152"/>
        <w:gridCol w:w="67"/>
        <w:gridCol w:w="697"/>
        <w:gridCol w:w="281"/>
      </w:tblGrid>
      <w:tr>
        <w:trPr/>
        <w:tc>
          <w:tcPr>
            <w:tcW w:w="3232"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1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w:t>
              <w:br/>
              <w:t>Owned Prior to the</w:t>
              <w:br/>
              <w:t>Offering</w:t>
            </w:r>
          </w:p>
        </w:tc>
        <w:tc>
          <w:tcPr>
            <w:tcW w:w="27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06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Shares Beneficially Owned After the</w:t>
              <w:br/>
              <w:t>Offering</w:t>
            </w:r>
          </w:p>
        </w:tc>
        <w:tc>
          <w:tcPr>
            <w:tcW w:w="281" w:type="dxa"/>
            <w:tcBorders/>
            <w:vAlign w:val="bottom"/>
          </w:tcPr>
          <w:p>
            <w:pPr>
              <w:pStyle w:val="TableContents"/>
              <w:bidi w:val="0"/>
              <w:spacing w:before="0" w:after="283"/>
              <w:jc w:val="left"/>
              <w:rPr/>
            </w:pPr>
            <w:r>
              <w:rPr/>
              <w:t> </w:t>
            </w:r>
          </w:p>
        </w:tc>
      </w:tr>
      <w:tr>
        <w:trPr/>
        <w:tc>
          <w:tcPr>
            <w:tcW w:w="3232" w:type="dxa"/>
            <w:tcBorders/>
            <w:vAlign w:val="bottom"/>
          </w:tcPr>
          <w:p>
            <w:pPr>
              <w:pStyle w:val="TableContents"/>
              <w:bidi w:val="0"/>
              <w:spacing w:before="0" w:after="283"/>
              <w:jc w:val="left"/>
              <w:rPr>
                <w:b/>
              </w:rPr>
            </w:pPr>
            <w:r>
              <w:rPr>
                <w:b/>
              </w:rPr>
              <w:t>Name of Selling Stockholder(1)</w:t>
            </w:r>
          </w:p>
        </w:tc>
        <w:tc>
          <w:tcPr>
            <w:tcW w:w="140" w:type="dxa"/>
            <w:tcBorders/>
            <w:vAlign w:val="bottom"/>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Shares</w:t>
            </w:r>
            <w:r>
              <w:rPr/>
              <w:br/>
            </w:r>
            <w:r>
              <w:rPr>
                <w:b/>
              </w:rPr>
              <w:t>Held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Offered</w:t>
              <w:br/>
              <w:t>Hereby</w:t>
            </w:r>
          </w:p>
        </w:tc>
        <w:tc>
          <w:tcPr>
            <w:tcW w:w="6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Shares</w:t>
              <w:br/>
              <w:t>Held</w:t>
            </w:r>
          </w:p>
        </w:tc>
        <w:tc>
          <w:tcPr>
            <w:tcW w:w="6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1" w:type="dxa"/>
            <w:tcBorders/>
            <w:vAlign w:val="bottom"/>
          </w:tcPr>
          <w:p>
            <w:pPr>
              <w:pStyle w:val="TableContents"/>
              <w:bidi w:val="0"/>
              <w:spacing w:before="0" w:after="283"/>
              <w:jc w:val="left"/>
              <w:rPr/>
            </w:pPr>
            <w:r>
              <w:rPr/>
              <w:t> </w:t>
            </w:r>
          </w:p>
        </w:tc>
      </w:tr>
      <w:tr>
        <w:trPr/>
        <w:tc>
          <w:tcPr>
            <w:tcW w:w="32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Warburg Pincus(2)</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73,822,952</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25.99</w:t>
            </w:r>
          </w:p>
        </w:tc>
        <w:tc>
          <w:tcPr>
            <w:tcW w:w="27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12,000,000</w:t>
            </w:r>
          </w:p>
        </w:tc>
        <w:tc>
          <w:tcPr>
            <w:tcW w:w="6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61,822,952</w:t>
            </w:r>
          </w:p>
        </w:tc>
        <w:tc>
          <w:tcPr>
            <w:tcW w:w="6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21.77</w:t>
            </w:r>
          </w:p>
        </w:tc>
        <w:tc>
          <w:tcPr>
            <w:tcW w:w="281" w:type="dxa"/>
            <w:tcBorders/>
            <w:shd w:fill="CCEEFF" w:val="clear"/>
            <w:vAlign w:val="bottom"/>
          </w:tcPr>
          <w:p>
            <w:pPr>
              <w:pStyle w:val="TableContents"/>
              <w:bidi w:val="0"/>
              <w:spacing w:before="0" w:after="283"/>
              <w:jc w:val="left"/>
              <w:rPr/>
            </w:pPr>
            <w:r>
              <w:rPr/>
              <w:t>% </w:t>
            </w:r>
          </w:p>
        </w:tc>
      </w:tr>
      <w:tr>
        <w:trPr/>
        <w:tc>
          <w:tcPr>
            <w:tcW w:w="3232" w:type="dxa"/>
            <w:tcBorders/>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GTCR(3)</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49,215,301</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17.33</w:t>
            </w:r>
          </w:p>
        </w:tc>
        <w:tc>
          <w:tcPr>
            <w:tcW w:w="27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8,000,000</w:t>
            </w:r>
          </w:p>
        </w:tc>
        <w:tc>
          <w:tcPr>
            <w:tcW w:w="6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41,215,301</w:t>
            </w:r>
          </w:p>
        </w:tc>
        <w:tc>
          <w:tcPr>
            <w:tcW w:w="6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14.51</w:t>
            </w:r>
          </w:p>
        </w:tc>
        <w:tc>
          <w:tcPr>
            <w:tcW w:w="28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shown in the table above include shares held in the selling stockholder’s name or jointly with others, or in the name of a bank, nominee or trustee for the selling stockholder’s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59,079,058 shares held of record by Bull Holdco L.P., a Delaware limited partnership (“Bull Holdco”) and (ii) 14,743,894 shares held of record by Bull Co-Invest L.P., a Delaware limited partnership (“Bull Co-Invest”).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 </w:t>
      </w:r>
    </w:p>
    <w:p>
      <w:pPr>
        <w:pStyle w:val="TextBody"/>
        <w:bidi w:val="0"/>
        <w:spacing w:before="120" w:after="0"/>
        <w:jc w:val="left"/>
        <w:rPr>
          <w:rFonts w:ascii="Times New Roman" w:hAnsi="Times New Roman"/>
          <w:sz w:val="20"/>
        </w:rPr>
      </w:pPr>
      <w:r>
        <w:rPr>
          <w:rFonts w:ascii="Times New Roman" w:hAnsi="Times New Roman"/>
          <w:sz w:val="20"/>
        </w:rPr>
        <w:t xml:space="preserve">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member of WP XI-C LLC. Warburg Pincus (Bermuda) Private Equity GP Ltd., a Bermuda exempted 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39,061,101 shares held of record by GTCR Fund XI/A LP, (ii) 9,841,141 shares held of record by GTCR Fund XI/C LP and (iii) 313,059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912969_9"/>
      <w:bookmarkEnd w:id="11"/>
      <w:r>
        <w:rPr>
          <w:rFonts w:ascii="Times New Roman" w:hAnsi="Times New Roman"/>
          <w:b/>
          <w:sz w:val="20"/>
        </w:rPr>
        <w:t xml:space="preserve">MATERIAL U.S. FEDERAL INCOME TAX CONSIDERATIONS FOR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describes the material U.S. federal income tax considerations that are likely to be relevant to the purchase, ownership, and disposition of shares of our common stock. This discussion deals only with shares of our common stock held as capital assets by investors who purchased shares of our common stock in this offering. This discussion does not cover all aspects of U.S. federal taxation that may be relevant to the purchase, ownership or disposition of shares of our common stock by prospective investors in light of their specific facts and circumstances. In particular, this discussion does not address all of the tax considerations that may be relevant to persons in special tax situations, including banks, insurance companies or other financial institutions, dealers in securities, persons that will hold (actually or constructively) more than 5% of our common stock, certain former citizens or residents of the United States, a person that is a “controlled foreign corporation,” a person that is a “passive foreign investment company,” persons holding shares of our common stock as part of a hedge, straddle, conversion or other integrated financial transaction, entities that are treated as partnerships for U.S. federal income tax purposes (or partners therein) or persons that are otherwise subject to special treatment under the Internal Revenue Code of 1986, as amended (the “Code”). This section does not address any other U.S. federal tax considerations (such as estate tax, gift taxes or the Medicare tax on net investment income) or any state, local or non-U.S. tax considerations. Except with respect to the discussion in “—Information Reporting and Backup Withholding,” this section addresses only Non-U.S. Holders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You should consult your own tax advisors about the tax consequences of the purchase, ownership and disposition of shares of our common stock in light of your own particular circumstances, including the tax consequences under state, local, non-U.S. and other tax laws and the possible effects of any changes in applicable tax laws.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means a beneficial owner of shares of our common stock that is an individual citizen or resident of the United States, a domestic corporation or otherwise subject to U.S. federal income tax on a net basis with respect to income from our common stock. A “Non-U.S. Holder” means any beneficial owner of shares of our common stock that is not a U.S. Holder and is not an entity that is treated as a partnership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tax laws of the United States, including the Code, existing and proposed regulations, and administrative and judicial interpretations, all as currently in effect. Such authorities may be repealed, revoked, modified or subject to differing interpretations, possibly on a retroactive basis, so as to result in U.S. federal income tax consequences different from those discussed below.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A distribution of cash or property with respect to shares of our common stock generally will be treated as a dividend to the extent paid out of our current or accumulated earnings and profits, as determined under U.S. federal income tax principles. If such a distribution exceeds our current and accumulated earnings and profits, the excess will be first treated as a tax-free return of the Non-U.S. Holder’s investment, up to the Non-U.S. Holder’s tax basis in the shares of our common stock, and thereafter as a capital gain subject to the tax treatment described below in “—Sale, Exchange or Other Taxable Disposition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Non-U.S. Holder generally will be subject to withholding of U.S. federal income tax at a 30% rate, or such lower rate as may be specified by an applicable tax treaty. </w:t>
      </w:r>
    </w:p>
    <w:p>
      <w:pPr>
        <w:pStyle w:val="TextBody"/>
        <w:bidi w:val="0"/>
        <w:spacing w:before="240" w:after="0"/>
        <w:jc w:val="left"/>
        <w:rPr>
          <w:rFonts w:ascii="Times New Roman" w:hAnsi="Times New Roman"/>
          <w:sz w:val="20"/>
        </w:rPr>
      </w:pPr>
      <w:r>
        <w:rPr>
          <w:rFonts w:ascii="Times New Roman" w:hAnsi="Times New Roman"/>
          <w:sz w:val="20"/>
        </w:rPr>
        <w:t xml:space="preserve">Even if a Non-U.S. Holder is eligible for a lower treaty rate, a withholding agent generally will be required to withhold at a 30% rate (rather than the lower treaty rate) unless the Non-U.S. Holder has furnished a valid Internal Revenue Service (“IRS”) Form W-8BEN or W-8BEN-E, or other documentary evidence establishing the Non-U.S. Holder’s entitlement to the lower treaty rate with respect to such dividend payments, and the withholding agent does not have actual knowledge or reason to know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under the U.S. tax rules known as the Foreign Account Tax Compliance Act (“FATCA”), a Non-U.S. Holder will generally be subject to a 30% U.S. withholding tax on dividends in respect of our common stock if the Non-U.S. Holder is not FATCA compliant or holds its common stock through a foreign financial institution that is not FATCA compliant.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is eligible for a reduced rate of U.S. federal withholding tax pursuant to an applicable income tax treaty or otherwise, the Non-U.S. Holder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Investors should consult their own tax advisors about how these information reporting and withholding tax rules may apply to their investment in shares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Sale, Exchange or Other Taxable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Non-U.S. Holders generally will not be subject to U.S. federal income tax with respect to gain recognized on a sale, exchange or other taxable disposition of shares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are required to be filed with the IRS with respect to payments made to certain U.S. and Non-U.S. Holders in connection with distributions or the sale or other disposition of our common stock. In addition, certain U.S. Holders may be subject to backup withholding tax in respect of such payments if they do not provide their taxpayer identification numbers to the applicable withholding agent, fail to certify that they are not subject to backup withholding tax or otherwise fail to comply with applicable backup withholding tax rules. Non-U.S. Holders may be required to comply with applicable certification procedures to establish that they are Non-U.S. Holders in order to avoid the application of certain information reporting requirements or backup withholding tax. Any amount paid as backup withholding may be creditable against the holder’s U.S. federal income tax liability or allowed as a refund, provided that the required information is timely furnished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912969_10"/>
      <w:bookmarkEnd w:id="12"/>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expect to pay any dividends on our common stock. Instead, we intend to use any future earnings for the operation and growth of our business and the repayment of indebtedness. </w:t>
      </w:r>
    </w:p>
    <w:p>
      <w:pPr>
        <w:pStyle w:val="TextBody"/>
        <w:bidi w:val="0"/>
        <w:spacing w:before="240" w:after="0"/>
        <w:jc w:val="left"/>
        <w:rPr>
          <w:rFonts w:ascii="Times New Roman" w:hAnsi="Times New Roman"/>
          <w:sz w:val="20"/>
        </w:rPr>
      </w:pPr>
      <w:r>
        <w:rPr>
          <w:rFonts w:ascii="Times New Roman" w:hAnsi="Times New Roman"/>
          <w:sz w:val="20"/>
        </w:rPr>
        <w:t xml:space="preserve">Future cash dividends on our common stock,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may deem relevant.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imposes requirements that may restrict our ability to pay dividends. See “Risk Factors—Risks Related to this Offering and Ownership of Our Common Stock—We do not anticipate paying any dividends on our common stock in the foreseeable future, and, consequently, our stockholders’ ability to achieve a return on their investment depends on appreciation in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For a discussion of the application of withholding taxes on dividends, see “Material U.S. Federal Income Tax Considerations for Non-U.S.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912969_11"/>
      <w:bookmarkEnd w:id="13"/>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the selling stockholders and Goldman Sachs &amp; Co. LLC (the “underwriter”) have entered into an underwriting agreement with respect to the shares of our common stock being offered by the selling stockholders. Subject to certain conditions, the underwriter has agreed to purchase an aggregate of 20,000,000 shares of our common stock from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is committed to take and pay for all of the shares of our common stock being offered by the selling stockholders, if any are taken. </w:t>
      </w:r>
    </w:p>
    <w:p>
      <w:pPr>
        <w:pStyle w:val="TextBody"/>
        <w:bidi w:val="0"/>
        <w:spacing w:before="240" w:after="0"/>
        <w:jc w:val="left"/>
        <w:rPr>
          <w:rFonts w:ascii="Times New Roman" w:hAnsi="Times New Roman"/>
          <w:sz w:val="20"/>
        </w:rPr>
      </w:pPr>
      <w:r>
        <w:rPr>
          <w:rFonts w:ascii="Times New Roman" w:hAnsi="Times New Roman"/>
          <w:sz w:val="20"/>
        </w:rPr>
        <w:t xml:space="preserve">Shares sold by the underwriter to the public will initially be offered at the public offering price as set forth on the cover of this prospectus. Any shares sold by the underwriter to securities dealers may be sold at a discount of up to $ per share from the initial public offering price. After the initial offering of the shares, the underwriter may change the offering price and the other selling terms. The offering of the shares by the underwriter is subject to receipt and acceptance and subject to the underwriter’s right to reject any order in whole or in part. The following table summarizes the underwriting discounts and commissions the selling stockholders will pay to the underwriter.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08"/>
        <w:gridCol w:w="344"/>
        <w:gridCol w:w="170"/>
        <w:gridCol w:w="942"/>
        <w:gridCol w:w="60"/>
        <w:gridCol w:w="344"/>
        <w:gridCol w:w="149"/>
        <w:gridCol w:w="1374"/>
        <w:gridCol w:w="64"/>
      </w:tblGrid>
      <w:tr>
        <w:trPr/>
        <w:tc>
          <w:tcPr>
            <w:tcW w:w="4308"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08"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1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5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4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15.35</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374" w:type="dxa"/>
            <w:tcBorders/>
            <w:shd w:fill="CCEEFF" w:val="clear"/>
            <w:vAlign w:val="bottom"/>
          </w:tcPr>
          <w:p>
            <w:pPr>
              <w:pStyle w:val="TableContents"/>
              <w:bidi w:val="0"/>
              <w:spacing w:before="0" w:after="283"/>
              <w:jc w:val="right"/>
              <w:rPr/>
            </w:pPr>
            <w:r>
              <w:rPr/>
              <w:t>307,000,000</w:t>
            </w:r>
          </w:p>
        </w:tc>
        <w:tc>
          <w:tcPr>
            <w:tcW w:w="64"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34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42" w:type="dxa"/>
            <w:tcBorders/>
            <w:vAlign w:val="bottom"/>
          </w:tcPr>
          <w:p>
            <w:pPr>
              <w:pStyle w:val="TableContents"/>
              <w:bidi w:val="0"/>
              <w:spacing w:before="0" w:after="283"/>
              <w:jc w:val="right"/>
              <w:rPr/>
            </w:pPr>
            <w:r>
              <w:rPr/>
              <w:t>0.239</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374" w:type="dxa"/>
            <w:tcBorders/>
            <w:vAlign w:val="bottom"/>
          </w:tcPr>
          <w:p>
            <w:pPr>
              <w:pStyle w:val="TableContents"/>
              <w:bidi w:val="0"/>
              <w:spacing w:before="0" w:after="283"/>
              <w:jc w:val="right"/>
              <w:rPr/>
            </w:pPr>
            <w:r>
              <w:rPr/>
              <w:t>4,780,000</w:t>
            </w:r>
          </w:p>
        </w:tc>
        <w:tc>
          <w:tcPr>
            <w:tcW w:w="64"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selling stockholders, before expenses</w:t>
            </w:r>
          </w:p>
        </w:tc>
        <w:tc>
          <w:tcPr>
            <w:tcW w:w="34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15.111</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374" w:type="dxa"/>
            <w:tcBorders/>
            <w:shd w:fill="CCEEFF" w:val="clear"/>
            <w:vAlign w:val="bottom"/>
          </w:tcPr>
          <w:p>
            <w:pPr>
              <w:pStyle w:val="TableContents"/>
              <w:bidi w:val="0"/>
              <w:spacing w:before="0" w:after="283"/>
              <w:jc w:val="right"/>
              <w:rPr/>
            </w:pPr>
            <w:r>
              <w:rPr/>
              <w:t>302,220,000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the common stock, the underwriter may be deemed to have received compensation in the form of underwriting discounts. The underwriter may effect such transactions by selling the common stock to or through dealers, and such dealers may receive compensation in the form of discounts, concessions or commissions from the underwriter and/or purchasers of the common stock for whom they may act as an agent or to whom they may sell as principal. The difference between the price at which the underwriter purchases the common stock and the price at which the underwriter resells such shares may be deemed underwriting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including registration, filing and listing fees, printing fees and legal and accounting expenses, but excluding the underwriting discounts and commissions, will be approximately $500,000.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subject to certain exceptions, we will not, without the prior written consent of the underwriter for a period of 45 days after the date of this prospectus supplement, (i) offer, pledge, sell, contract to sell, sell any option or contract to purchase, purchase any option or contract to sell, grant any option, right or warrant to purchase, lend, or otherwise transfer or dispose of, directly or indirectly, or publicly file with, the SEC a registration statement under the Securities Act relating to, any shares of common stock or any securities convertible into or exercisable or exchangeable for common stock, or publicly disclose the intention to undertake any of the foregoing or (ii) enter into any swap or other agreement that transfers, in whole or in part, any of the economic consequences of ownership of common stock or any such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executive officers, directors and the selling stockholders have entered into lock-up agreements with the underwriter pursuant to which each of them, subject to certain exceptions, for a period of 45 days after the date of this prospectus supplement, may not, without the prior written consent of the underwriter,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(ii) enter into any hedging, swap, or other agreement or transaction that transfers, in whole or in part, any of the economic consequences of ownership of the common stock or such other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make any demand for or exercise any right with respect to the registration of any shares of our common stock or any security convertible into or exercisable or exchangeable for our common stock, except as those demands or exercises do not involve any public disclosure or filing; or (iv) publicly disclose the intention to undertake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lock-up restrictions described in the immediately preceding paragraph are subject to certain exceptions including, without limitation: (i) transfers as part of a sale of lock-up securities in open market transactions after the closing of this offering, (ii) transfers to us in connection with the vesting, settlement, or exercise of restricted stock units, performance stock units, shares of restricted stock, options, warrants or other rights to purchase shares of common stock, (iii) transfers pursuant to an order of a court or regulatory agency related to the lock-up party’s ownership of the lock-up securities; and (iv) transfers by pledging, hypothecating or otherwise granting a security interest in any lock-up securities as collateral and transfer such lock-up securities upon foreclosure, among others.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stockholders have agreed to indemnify the underwriter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under the symbol “SHC.”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 of a greater number of shares of common stock than it is required to purchase in this offering, and purchasing shares of common stock on the open market to cover positions created by short sales.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has advised us that, pursuant to Regulation M of the Securities Act, the underwriter may also engage in other activities that stabilize, maintain or otherwise affect the price of the common stock, including the imposition of penalty bids.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Nasdaq,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and its affiliates are full service financial institutions engaged in various activities, which may include sales and trading, commercial and investment banking, advisory, investment management, investment research, principal investment, hedging, market-making, brokerage and other financial and non-financial activities and services.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and its affiliates may have provided in the past to us and our affiliates and may provide from time to time in the future certain commercial banking, financial advisory, investment banking and other services for us and such affiliates in the ordinary course of their business, for which they may have received and may from time to time in the future receive customary fees and commissions. In addition, from time to time, the underwriter and its affiliates may effect transactions for their own account or the account of customers, and hold on behalf of themselves or their customers, long or short positions in our debt or equity securities or loans, and may do so in the future. The underwriter and/or its affiliates are lenders, and/or act as agents or arrangers, under our senior secured first lien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 and its affiliates, officers, directors and employees may purchase, sell or hold a broad array of investments and actively traded securities, derivatives,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 and its affiliates may also communicate independent investment recommendations, market color or trading ideas and/or publish or express independent research views in respect of such securities or instruments and may at any time hold, or recommend to clients that they should acquire, long and/or short positions in such assets,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Other than in the United States, no action has been taken by us, the selling stockholders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Member State”), no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offers of shares may be made to the public in that Relevant Member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provided that no such offer of shares shall require the company or the underwriter to publish a prospectus pursuant to Article 3 of the Prospectus Regulation or supplement a prospectus pursuant to Article 23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in a Relevant Member State (other than a Relevant Member State where there is a permitted public offer) who initially acquires any shares or to whom any offer is made will be deemed to have represented, acknowledged and agreed to and with the company and the underwriter that it is a qualified investor within the meaning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underwriter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underwriter and their affiliates will rely upon the truth and accuracy of the foregoing representations, acknowledgements and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have been offered or will be offered pursuant to the offering to the public in the United Kingdom prior to the publication of a prospectus in relation to the shares which has been approved by the Financial Conduct Authority or is to be treated as if it had been approved by the Financial Conduct Authority in accordance with the transitional provisions in Article 74 (transitional provisions) of the Prospectus Amendment etc (EU Exit) Regulations 2019/1234, except that the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Financial Services and Markets Act 2000 (as amended, “FSMA”);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Shares shall require the Issuer or any Manager to publish a prospectus pursuant to Section 85 of the FSMA or supplement a prospectus pursuant to Article 23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 </w:t>
      </w:r>
    </w:p>
    <w:p>
      <w:pPr>
        <w:pStyle w:val="TextBody"/>
        <w:bidi w:val="0"/>
        <w:spacing w:before="240" w:after="0"/>
        <w:jc w:val="left"/>
        <w:rPr>
          <w:rFonts w:ascii="Times New Roman" w:hAnsi="Times New Roman"/>
          <w:sz w:val="20"/>
        </w:rPr>
      </w:pPr>
      <w:r>
        <w:rPr>
          <w:rFonts w:ascii="Times New Roman" w:hAnsi="Times New Roman"/>
          <w:sz w:val="20"/>
        </w:rPr>
        <w:t xml:space="preserve">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w:t>
      </w:r>
    </w:p>
    <w:p>
      <w:pPr>
        <w:pStyle w:val="TextBody"/>
        <w:bidi w:val="0"/>
        <w:spacing w:before="360" w:after="0"/>
        <w:jc w:val="left"/>
        <w:rPr>
          <w:rFonts w:ascii="Times New Roman" w:hAnsi="Times New Roman"/>
          <w:i/>
          <w:sz w:val="20"/>
        </w:rPr>
      </w:pPr>
      <w:r>
        <w:rPr>
          <w:rFonts w:ascii="Times New Roman" w:hAnsi="Times New Roman"/>
          <w:i/>
          <w:sz w:val="20"/>
        </w:rPr>
        <w:t xml:space="preserve">Notice of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does not constitute an offer to the public or a solicitation to purchase or invest in any shares. No shares have been offered or will be offered to the public in Switzerland, except that offers of shares may be made to the public in Switzerland at any time under the following exemptions under the Swiss Financial Services Act (“FinSA”):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person which is a professional client as defined under the FinSA;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36 FinSA in connection with Article 44 of the Swiss Financial Services Ordinance;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that no such offer of shares shall require the Company or any underwriter to publish a prospectus pursuant to Article 35 FinSA. </w:t>
      </w:r>
    </w:p>
    <w:p>
      <w:pPr>
        <w:pStyle w:val="TextBody"/>
        <w:bidi w:val="0"/>
        <w:spacing w:before="240" w:after="0"/>
        <w:jc w:val="left"/>
        <w:rPr>
          <w:rFonts w:ascii="Times New Roman" w:hAnsi="Times New Roman"/>
          <w:sz w:val="20"/>
        </w:rPr>
      </w:pPr>
      <w:r>
        <w:rPr>
          <w:rFonts w:ascii="Times New Roman" w:hAnsi="Times New Roman"/>
          <w:sz w:val="20"/>
        </w:rPr>
        <w:t xml:space="preserve">The shares have not been and will not be listed or admitted to trading on a trading venue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shares constitutes a prospectus as such term is understood pursuant to the FinSA and neither this document nor any other offering or marketing material relating to the shares may be publicly distributed or otherwise made publicly available in Switzerland.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 disclosure document or a prospectus under Chapter 6D.2 of the Corporations Act 2001 (Cth)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available under section 708 of the Corporations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 </w:t>
      </w:r>
    </w:p>
    <w:p>
      <w:pPr>
        <w:pStyle w:val="TextBody"/>
        <w:bidi w:val="0"/>
        <w:spacing w:before="240" w:after="0"/>
        <w:jc w:val="left"/>
        <w:rPr>
          <w:rFonts w:ascii="Times New Roman" w:hAnsi="Times New Roman"/>
          <w:sz w:val="20"/>
        </w:rPr>
      </w:pPr>
      <w:r>
        <w:rPr>
          <w:rFonts w:ascii="Times New Roman" w:hAnsi="Times New Roman"/>
          <w:sz w:val="20"/>
        </w:rPr>
        <w:t xml:space="preserve">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pursuant to Article 4, Paragraph 1 of the Financial Instruments and Exchange Law of Japan.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 has acknowledged that this prospectus supplement has not been registered as a prospectus with the Monetary Authority of Singapore. Accordingly, the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(as defined in Section 4A of the Securities and Futures Act (Chapter 289) of Singapore, as modified or amended from time to time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(iv)</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 is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912969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New York, New York will pass upon the legality of the shares of common stock to be issued in this offering. Certain legal matters will be passed upon for the underwriter by Simpson Thacher &amp; Bartlett LLP, New York,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912969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Sotera Health Company appearing in Sotera Health Company’s Annual Report on Form 10-K for the year ended December 31, 2024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912969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Form S-3 with the SEC under the Securities Act with respect to the common stock offered by this prospectus supplement and the accompanying prospectus. You should review the information and exhibits in the registration statement for further information about us and the securities that are being offered by this prospectus supplement and the accompanying prospectus. Statements in this prospectus supplement and the accompanying prospectus concerning any document we filed as an exhibit to the registration statement or that we otherwise filed with the SEC are not intended to be comprehensive and are qualified by reference to those filings. You should review the complete document to evaluate those statements.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including the filings that are incorporated by reference into this prospectus supplement, are available to the public over the Internet at the SEC’s website at www.sec.gov. Copies of certain information filed by us with the SEC are also available on our website at https://investors.soterahealth.com. Information accessible on or through our website is not a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upp912969_15"/>
      <w:bookmarkEnd w:id="17"/>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into this prospectus supplement the information we file with the SEC. This means that we are disclosing important information to you by referring to other documents. The information incorporated by reference is considered to be part of this prospectus supplement, except for any information superseded by information contained directly in this prospectus supplement. We incorporate by reference the documents listed below (other than any portions thereof, which under the Exchange Act, and applicable SEC rules, are not deemed “filed” under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2024, filed with the SEC on February 27,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w:t>
            </w:r>
            <w:hyperlink r:id="rId4">
              <w:r>
                <w:rPr>
                  <w:rStyle w:val="InternetLink"/>
                  <w:rFonts w:ascii="Times New Roman" w:hAnsi="Times New Roman"/>
                  <w:sz w:val="20"/>
                </w:rPr>
                <w:t>Form 10-Q</w:t>
              </w:r>
            </w:hyperlink>
            <w:r>
              <w:rPr>
                <w:rFonts w:ascii="Times New Roman" w:hAnsi="Times New Roman"/>
                <w:sz w:val="20"/>
              </w:rPr>
              <w:t xml:space="preserve"> for the quarters ended March 31, 2025, filed with the SEC on May  1, 2025, and </w:t>
            </w:r>
            <w:hyperlink r:id="rId5">
              <w:r>
                <w:rPr>
                  <w:rStyle w:val="InternetLink"/>
                  <w:rFonts w:ascii="Times New Roman" w:hAnsi="Times New Roman"/>
                  <w:sz w:val="20"/>
                </w:rPr>
                <w:t>June 30, 2025</w:t>
              </w:r>
            </w:hyperlink>
            <w:r>
              <w:rPr>
                <w:rFonts w:ascii="Times New Roman" w:hAnsi="Times New Roman"/>
                <w:sz w:val="20"/>
              </w:rPr>
              <w:t xml:space="preserve">, filed with the SEC on August 8,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rFonts w:ascii="Times New Roman" w:hAnsi="Times New Roman"/>
                <w:sz w:val="20"/>
              </w:rPr>
              <w:t xml:space="preserve">our Current Reports on </w:t>
            </w:r>
            <w:hyperlink r:id="rId6">
              <w:r>
                <w:rPr>
                  <w:rStyle w:val="InternetLink"/>
                  <w:rFonts w:ascii="Times New Roman" w:hAnsi="Times New Roman"/>
                  <w:sz w:val="20"/>
                </w:rPr>
                <w:t>Form 8-K</w:t>
              </w:r>
            </w:hyperlink>
            <w:r>
              <w:rPr>
                <w:rFonts w:ascii="Times New Roman" w:hAnsi="Times New Roman"/>
                <w:sz w:val="20"/>
              </w:rPr>
              <w:t xml:space="preserve"> dated January 2, 2025, filed with the SEC on January 6, 2025, and </w:t>
            </w:r>
            <w:hyperlink r:id="rId7">
              <w:r>
                <w:rPr>
                  <w:rStyle w:val="InternetLink"/>
                  <w:rFonts w:ascii="Times New Roman" w:hAnsi="Times New Roman"/>
                  <w:sz w:val="20"/>
                </w:rPr>
                <w:t>May 21, 2025</w:t>
              </w:r>
            </w:hyperlink>
            <w:r>
              <w:rPr>
                <w:rFonts w:ascii="Times New Roman" w:hAnsi="Times New Roman"/>
                <w:sz w:val="20"/>
              </w:rPr>
              <w:t xml:space="preserve">, filed with the SEC on May 23,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Definitive Proxy Statement on </w:t>
            </w:r>
            <w:hyperlink r:id="rId8">
              <w:r>
                <w:rPr>
                  <w:rStyle w:val="InternetLink"/>
                  <w:rFonts w:ascii="Times New Roman" w:hAnsi="Times New Roman"/>
                  <w:sz w:val="20"/>
                </w:rPr>
                <w:t>Schedule 14A</w:t>
              </w:r>
            </w:hyperlink>
            <w:r>
              <w:rPr>
                <w:rFonts w:ascii="Times New Roman" w:hAnsi="Times New Roman"/>
                <w:sz w:val="20"/>
              </w:rPr>
              <w:t xml:space="preserve">, filed with the SEC on </w:t>
            </w:r>
            <w:hyperlink r:id="rId9">
              <w:r>
                <w:rPr>
                  <w:rStyle w:val="InternetLink"/>
                  <w:rFonts w:ascii="Times New Roman" w:hAnsi="Times New Roman"/>
                  <w:sz w:val="20"/>
                </w:rPr>
                <w:t>April  10, 2025</w:t>
              </w:r>
            </w:hyperlink>
            <w:r>
              <w:rPr>
                <w:rFonts w:ascii="Times New Roman" w:hAnsi="Times New Roman"/>
                <w:sz w:val="20"/>
              </w:rPr>
              <w:t xml:space="preserve"> and supplemented on </w:t>
            </w:r>
            <w:hyperlink r:id="rId10">
              <w:r>
                <w:rPr>
                  <w:rStyle w:val="InternetLink"/>
                  <w:rFonts w:ascii="Times New Roman" w:hAnsi="Times New Roman"/>
                  <w:sz w:val="20"/>
                </w:rPr>
                <w:t>May 2, 2025</w:t>
              </w:r>
            </w:hyperlink>
            <w:r>
              <w:rPr>
                <w:rFonts w:ascii="Times New Roman" w:hAnsi="Times New Roman"/>
                <w:sz w:val="20"/>
              </w:rPr>
              <w:t xml:space="preserve">, as amended (solely to the extent specifically incorporated by reference into our Annual Report on </w:t>
            </w:r>
            <w:hyperlink r:id="rId11">
              <w:r>
                <w:rPr>
                  <w:rStyle w:val="InternetLink"/>
                  <w:rFonts w:ascii="Times New Roman" w:hAnsi="Times New Roman"/>
                  <w:sz w:val="20"/>
                </w:rPr>
                <w:t>Form 10-K</w:t>
              </w:r>
            </w:hyperlink>
            <w:r>
              <w:rPr>
                <w:rFonts w:ascii="Times New Roman" w:hAnsi="Times New Roman"/>
                <w:sz w:val="20"/>
              </w:rPr>
              <w:t xml:space="preserve"> for the fiscal year ended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supplement is delivered, upon written or oral request of such person, a copy of any or all of the documents referred to above which have been incorporated by reference in this prospectus supplement and the accompanying prospectus. You should direct requests for those documents to Sotera Health Company, 9100 South Hills Blvd, Suite 300, Broadview Heights, Ohio 44147. </w:t>
      </w:r>
    </w:p>
    <w:p>
      <w:pPr>
        <w:pStyle w:val="TextBody"/>
        <w:bidi w:val="0"/>
        <w:spacing w:before="240" w:after="0"/>
        <w:jc w:val="left"/>
        <w:rPr>
          <w:rFonts w:ascii="Times New Roman" w:hAnsi="Times New Roman"/>
          <w:sz w:val="20"/>
        </w:rPr>
      </w:pPr>
      <w:r>
        <w:rPr>
          <w:rFonts w:ascii="Times New Roman" w:hAnsi="Times New Roman"/>
          <w:sz w:val="20"/>
        </w:rPr>
        <w:t xml:space="preserve">Exhibits to any documents incorporated by reference in this prospectus supplement will not be sent, however, unless those exhibits have been specifically referenced in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725295" cy="5759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1725295" cy="5759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SOTERA HEALTH COMPANY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Sotera Health Company (the Company or we) may offer, issue and sell an indeterminate amount of our common stock, par value $0.01 per share (common stock), from time to time in one or more offerings. In addition, this prospectus relates to the resale of common stock of the Company that may be offered and sold from time to time in one or more offerings by the selling stockholders named in this prospectus. This prospectus describes some of the general terms that may apply to an offering of our common stock. The Company will not receive any of the proceeds from the sale of the common stock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may be offered in amounts, at prices and on other terms to be determined at the time of the offering and described in an accompanying prospectus supplement. You should read this prospectus, any related prospectus supplement and any documents incorporated by reference carefully before you invest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or the selling stockholders may offer and sell common stock through one or more underwriters, dealers or agents, through underwriting syndicates managed or co-managed by one or more underwriters, or directly to purchasers, on a continuous or delayed basis. To the extent that any selling stockholder resells shares of our common stock, the selling stockholder may be required to provide you with this prospectus and a prospectus supplement identifying and containing specific information about the selling stockholder and the terms on which the common stock is offered. The prospectus supplement for each offering of common stock will describe in detail the plan of distribution for that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not an offer to sell our common stock, and it is not soliciting an offer to buy our common stock, in any state or other jurisdiction where the offer or sale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(Nasdaq) under the symbol SHC.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our common stock involves a number of risks. Before you make your investment decision, you should consider the risk factors described in any applicable prospectus supplement and in the documents we file from time to time with the Securities and Exchange Commission (the SEC).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determined if this prospectus or any accompanying prospectus supplement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27,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
      <w:bookmarkEnd w:id="18"/>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912969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2">
              <w:r>
                <w:rPr>
                  <w:rStyle w:val="InternetLink"/>
                  <w:rFonts w:ascii="Times New Roman" w:hAnsi="Times New Roman"/>
                  <w:sz w:val="20"/>
                </w:rPr>
                <w:t>ABOUT SOTERA HEALTH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6">
              <w:r>
                <w:rPr>
                  <w:rStyle w:val="InternetLink"/>
                  <w:rFonts w:ascii="Times New Roman" w:hAnsi="Times New Roman"/>
                  <w:sz w:val="20"/>
                </w:rPr>
                <w:t>DESCRIPTION OF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9">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10">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12969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912969_1"/>
      <w:bookmarkEnd w:id="19"/>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Unless expressly indicated or the context requires otherwise, the terms Sotera Health, Company, we, us, and our in this document refer to Sotera Health Company, a Delaware corporation, and, where appropriate, its subsidiaries on a consolidated basis.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using an automatic shelf registration process as a well-known seasoned issuer as defined in Rule 405 of the Securities Act of 1933, as amended (the Securities Act). Under this shelf registration process, we and/or the selling stockholders named in this prospectus may periodically offer and sell the common stock described in this prospectus in one or more offerings. This prospectus only provides a general description of our common stock that we and/or the selling stockholders may offer. Each time we and/or any selling stockholders offer common stock, to the extent applicable, we and/or any selling stockholders may be required to provide you with this prospectus, and in certain cases, a prospectus supplement that will contain specific information about the terms of that offering. The prospectus supplement may also add, delete, update or change information, including information about us, contained in this prospectus. Therefore, before making your investment decision, you should carefully read: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documents referred to in Where You Can Find More Information and Incorporation by Reference.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912969_2"/>
      <w:bookmarkEnd w:id="20"/>
      <w:r>
        <w:rPr>
          <w:rFonts w:ascii="Times New Roman" w:hAnsi="Times New Roman"/>
          <w:b/>
          <w:sz w:val="20"/>
        </w:rPr>
        <w:t xml:space="preserve">ABOUT SOTERA HEALTH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leading global provider of mission-critical end-to-end sterilization solutions, lab testing and advisory services for the healthcare industry. We are driven by our mission: Safeguarding Global Health®.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over 40 of the top 50 medical device companies and nine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are a trusted partner to approximately 5,000 customers in over 50 countries. We give our customers confidence that their products meet regulatory, safety and effectiveness requirements. With our industry-recognized scientific and technological expertise, we help to ensure the safety of millions of patients and healthcare practitioners around the world every year. Across our 63 facilities worldwide, we have over 3,000 employees who are dedicated to safety and quality. </w:t>
      </w:r>
    </w:p>
    <w:p>
      <w:pPr>
        <w:pStyle w:val="TextBody"/>
        <w:bidi w:val="0"/>
        <w:spacing w:before="240" w:after="0"/>
        <w:jc w:val="left"/>
        <w:rPr>
          <w:rFonts w:ascii="Times New Roman" w:hAnsi="Times New Roman"/>
          <w:sz w:val="20"/>
        </w:rPr>
      </w:pPr>
      <w:r>
        <w:rPr>
          <w:rFonts w:ascii="Times New Roman" w:hAnsi="Times New Roman"/>
          <w:sz w:val="20"/>
        </w:rPr>
        <w:t xml:space="preserve">Sotera Health Company was incorporated in Delaware in November 2017 as the parent company for Sterigenics, Nordion and Nelson Labs. Our corporate headquarters and principal executive offices are located at 9100 South Hills Boulevard, Suite 300, Broadview Heights, Ohio 44147. Our telephone number is (440) 262-1410.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912969_3"/>
      <w:bookmarkEnd w:id="21"/>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and any documents incorporated by reference may contain or incorporate by reference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 European Union;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foreign currency exchange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environmental, health and safety regulations or preferences, and general economic, social and business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 and safety risks associated with the use, storage, transportation and disposal of potentially hazardous materials such as EO and Co-60;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and outcome of current and future legal proceedings and liability claims, including litigation related to the use, emissions and releases of EO from our facilities in Illinois, Georgia and New Mexico and the possibility that other claims will be made in the future relating to these or other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allegations of our failure to properly perform services and potential product liability claims, recalls, penalties and reputational harm;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extensive regulatory requirements to which we are subject, the related costs, and any failures to receive or maintain, or delays in receiving, required clearances or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in industry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we face;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changes, including inflationary trends, that impact our long-term supply contracts with variable price clauses and increase our cost of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continuity hazards, including supply chain disruptions and other risks associated with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of doing business internationally, including global and regional economic and political instability and compliance with numerous and sometimes inconsistent laws and regulations in multiple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increase capacity at existing facilities, build new facilities in a timely and cost-effective manner and renew leases for our leased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severe health events or environmental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breaches, unauthorized data disclosures, our dependence on information technology systems;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pursue strategic transactions, find suitable acquisition targets, or integrate strategic acquisitions into our business successfully;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effective internal controls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intellectual property to maintain our competitive position and the risk of claims from third parties that we have infringed or misappropriated, or are infringing or misappropriating, their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rapidly evolving data privacy and security laws and regulations in various jurisdictions and any ineffective compliance efforts with such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profitability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on our goodwill and other intangible assets with indefinite lives, as well as other long-lived assets and intangible assets with definite lives;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unionization efforts and labor regulations in countries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to our tax positions in U.S. or non-U.S. jurisdictions or the interpretation and application of recent U.S. tax legislation or other changes in U.S. or non-U.S. taxation of our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above factors, as well as the factors discussed elsewhere in this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912969_4"/>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deciding to invest in our securities, you should carefully consider the discussion of risks and uncertainties under the heading Risk Factors contained in any applicable prospectus supplement and in the documents referred to in Where You Can Find More Information and Incorporation by Reference, together with all of the other information included in this prospectus. The occurrence of any of these risks, as well as other risks and uncertainties, could cause you to lose all or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912969_5"/>
      <w:bookmarkEnd w:id="23"/>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a prospectus supplement, we intend to use the net proceeds from any sale of our common stock described in this prospectus for our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a prospectus supplement, we will not receive any proceeds from any sale of our common stock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912969_6"/>
      <w:bookmarkEnd w:id="24"/>
      <w:r>
        <w:rPr>
          <w:rFonts w:ascii="Times New Roman" w:hAnsi="Times New Roman"/>
          <w:b/>
          <w:sz w:val="20"/>
        </w:rPr>
        <w:t xml:space="preserve">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have one class of securities, common stock, par value $0.01 per share, registered pursuant to Section 12 of the Securities Exchange Act of 1934, as amended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descriptions are summaries of the material terms of our amended and restated certificate of incorporation and amended and restated bylaws. These descriptions summarize the general terms of our common stock and contain all information which we consider to be material but may not contain all of the information that is important to you. To understand them fully, you should read our amended and restated certificate of incorporation and amended and restated bylaws, copies of which are filed with the Securities and Exchange Commission as exhibits to our Annual Report on Form 10-K. The summary below is subject to, and qualified in its entirety by, reference to the provisions of our amended and restated certificate of incorporation and amended and restated bylaws. The terms of these securities may also be affected by the Delaware General Corporation Law (DGCL). </w:t>
      </w:r>
    </w:p>
    <w:p>
      <w:pPr>
        <w:pStyle w:val="TextBody"/>
        <w:bidi w:val="0"/>
        <w:spacing w:before="240" w:after="0"/>
        <w:jc w:val="left"/>
        <w:rPr>
          <w:rFonts w:ascii="Times New Roman" w:hAnsi="Times New Roman"/>
          <w:sz w:val="20"/>
        </w:rPr>
      </w:pPr>
      <w:r>
        <w:rPr>
          <w:rFonts w:ascii="Times New Roman" w:hAnsi="Times New Roman"/>
          <w:sz w:val="20"/>
        </w:rPr>
        <w:t xml:space="preserve">We may periodically issue shares of our common stock or other securities that can be exercised, converted or exchanged into shares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We are authorized to issue 1,200,000,000 shares of common stock, par value $0.01 per share, of which 282,832,200 shares were outstanding as of February 20, 2024, and 120,000,000 shares of preferred stock, par value $0.01 per share, of which no shares were outstanding as of February 20,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common stock are entitled to one vote for each share held on all matters submitted to a vote of stockholders, subject to the restrictions described below under the caption Anti-Takeover Effects of Provisions of Our Amended and Restated Certificate of Incorporation, Our Amended and Restated Bylaws and Delaware Law. The holders of common stock do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is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Subject to preferences that may be applicable to any then-outstanding preferred stock, holders of our common stock are entitled to receive ratably those dividends, if any, as may be declared by the board of directors out of legally available funds. </w:t>
      </w:r>
    </w:p>
    <w:p>
      <w:pPr>
        <w:pStyle w:val="TextBody"/>
        <w:bidi w:val="0"/>
        <w:spacing w:before="240" w:after="0"/>
        <w:jc w:val="left"/>
        <w:rPr>
          <w:rFonts w:ascii="Times New Roman" w:hAnsi="Times New Roman"/>
          <w:sz w:val="20"/>
        </w:rPr>
      </w:pPr>
      <w:r>
        <w:rPr>
          <w:rFonts w:ascii="Times New Roman" w:hAnsi="Times New Roman"/>
          <w:i/>
          <w:sz w:val="20"/>
        </w:rPr>
        <w:t>Liquidation, Dissolution, and Winding Up</w:t>
      </w:r>
      <w:r>
        <w:rPr>
          <w:rFonts w:ascii="Times New Roman" w:hAnsi="Times New Roman"/>
          <w:sz w:val="20"/>
        </w:rPr>
        <w:t xml:space="preserve">. Upon our liquidation, dissolution or winding up, the holders of our common stock will be entitled to share equally and ratably in the net assets legally available for distribution to stockholders after the payment of all of our debts and other liabilities, subject to the prior rights of any preferred stock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No Preemptive or Similar Rights</w:t>
      </w:r>
      <w:r>
        <w:rPr>
          <w:rFonts w:ascii="Times New Roman" w:hAnsi="Times New Roman"/>
          <w:sz w:val="20"/>
        </w:rPr>
        <w:t xml:space="preserve">. Holders of our common stock have no preemptive or conversion rights or other subscription rights, and there are no redemption or sinking fund provisions applicable to our common stock. </w:t>
      </w:r>
    </w:p>
    <w:p>
      <w:pPr>
        <w:pStyle w:val="TextBody"/>
        <w:bidi w:val="0"/>
        <w:spacing w:before="240" w:after="0"/>
        <w:jc w:val="left"/>
        <w:rPr>
          <w:rFonts w:ascii="Times New Roman" w:hAnsi="Times New Roman"/>
          <w:sz w:val="20"/>
        </w:rPr>
      </w:pPr>
      <w:r>
        <w:rPr>
          <w:rFonts w:ascii="Times New Roman" w:hAnsi="Times New Roman"/>
          <w:i/>
          <w:sz w:val="20"/>
        </w:rPr>
        <w:t>Assessment</w:t>
      </w:r>
      <w:r>
        <w:rPr>
          <w:rFonts w:ascii="Times New Roman" w:hAnsi="Times New Roman"/>
          <w:sz w:val="20"/>
        </w:rPr>
        <w:t xml:space="preserve">. All outstanding shares of our common stock are fully paid and nonassessable.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limitations prescribed by Delaware law and the Nasdaq, our board of directors may issue preferred stock, without stockholder approval, in such series and with such designations, preferences, conversion or other rights, voting powers and qualifications, limitations or restrictions thereof, as the board of directors 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Effects of Provisions of Our Amended and Restated Certificate of Incorporation, Our Amended and Restated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Delaware law contains, and our amended and restated certificate of incorporation and amended and restated bylaws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 </w:t>
      </w:r>
    </w:p>
    <w:p>
      <w:pPr>
        <w:pStyle w:val="TextBody"/>
        <w:bidi w:val="0"/>
        <w:spacing w:before="240" w:after="0"/>
        <w:jc w:val="left"/>
        <w:rPr>
          <w:rFonts w:ascii="Times New Roman" w:hAnsi="Times New Roman"/>
          <w:sz w:val="20"/>
        </w:rPr>
      </w:pPr>
      <w:r>
        <w:rPr>
          <w:rFonts w:ascii="Times New Roman" w:hAnsi="Times New Roman"/>
          <w:i/>
          <w:sz w:val="20"/>
        </w:rPr>
        <w:t>Classified board of directors; removal of directors</w:t>
      </w:r>
      <w:r>
        <w:rPr>
          <w:rFonts w:ascii="Times New Roman" w:hAnsi="Times New Roman"/>
          <w:sz w:val="20"/>
        </w:rPr>
        <w:t xml:space="preserve">. Our amended and restated certificate of incorporation provides that our board of directors is divided into three classes of directors, with the classes to be as nearly equal in number as possible, and with staggered three-year terms. As a result, approximately one-third of our board of directors will be elected each year.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provides that our directors may be removed only for cause by the affirmative vote of the holders of at least 75% of the voting power of our outstanding common stock; provided that for so long as investment funds and entities affiliated with either Warburg Pincus LLC (Warburg Pincus) or GTCR, LLC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 </w:t>
      </w:r>
    </w:p>
    <w:p>
      <w:pPr>
        <w:pStyle w:val="TextBody"/>
        <w:bidi w:val="0"/>
        <w:spacing w:before="240" w:after="0"/>
        <w:jc w:val="left"/>
        <w:rPr>
          <w:rFonts w:ascii="Times New Roman" w:hAnsi="Times New Roman"/>
          <w:sz w:val="20"/>
        </w:rPr>
      </w:pPr>
      <w:r>
        <w:rPr>
          <w:rFonts w:ascii="Times New Roman" w:hAnsi="Times New Roman"/>
          <w:sz w:val="20"/>
        </w:rPr>
        <w:t xml:space="preserve">Any vacancy on our board of directors, including a vacancy resulting from an enlargement of our board of directors, may be filled only by vote of a majority of our directors then in office; provided that for so long as investment funds and entities affiliated with either Warburg Pincus or GTCR have the right to designate at least one director for election to our board of directors, any vacancies will be filled in accordance with the designation provisions set forth in our stockholders agreement dated November 19, 2020, among Sotera Health and certain of our stockholders party thereto (the Stockholders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classification of our board of directors and the limitations on the removal of directors and filling of vacancies could make it more difficult for a third party to acquire, or discourage a third party from seeking to acquire, control of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Advance notice requirements for stockholder proposals and director nominations</w:t>
      </w:r>
      <w:r>
        <w:rPr>
          <w:rFonts w:ascii="Times New Roman" w:hAnsi="Times New Roman"/>
          <w:sz w:val="20"/>
        </w:rPr>
        <w:t xml:space="preserve">. Our amended and restated bylaws provide advance notice procedures for stockholders seeking to bring business before our annual meeting of stockholders or to nominate candidates for election as directors at our annual meeting of stockholders, other than nominations made by or at the direction of the board of directors or pursuant to the Stockholders Agreement.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 </w:t>
      </w:r>
    </w:p>
    <w:p>
      <w:pPr>
        <w:pStyle w:val="TextBody"/>
        <w:bidi w:val="0"/>
        <w:spacing w:before="240" w:after="0"/>
        <w:jc w:val="left"/>
        <w:rPr>
          <w:rFonts w:ascii="Times New Roman" w:hAnsi="Times New Roman"/>
          <w:sz w:val="20"/>
        </w:rPr>
      </w:pPr>
      <w:r>
        <w:rPr>
          <w:rFonts w:ascii="Times New Roman" w:hAnsi="Times New Roman"/>
          <w:i/>
          <w:sz w:val="20"/>
        </w:rPr>
        <w:t>Amendment of certificate of incorporation and bylaws provisions</w:t>
      </w:r>
      <w:r>
        <w:rPr>
          <w:rFonts w:ascii="Times New Roman" w:hAnsi="Times New Roman"/>
          <w:sz w:val="20"/>
        </w:rPr>
        <w:t xml:space="preserve">. Our amended and restated certificate of incorporation provides that approval of stockholders holding a majority of the then-outstanding voting power of our capital stock, so long as investment funds and entities affiliated with either Warburg Pincus or GTCR, collectively, hold at least a majority of our outstanding capital stock, is required for stockholders to amend or adopt certain provisions of our amended and restated certificate of incorporation and any provision of our amended and restated bylaws, and at all other times by the affirmative vote of at least 66 2/3% of the voting power of our outstanding common stock. So long as investment funds and entities affiliated with either Warburg Pincus or GTCR have the right to designate three directors for election to our board of directors, at least 75% of the board must approve any amendments to the amended and restated certificate of incorporation or amended and restated bylaws. </w:t>
      </w:r>
    </w:p>
    <w:p>
      <w:pPr>
        <w:pStyle w:val="TextBody"/>
        <w:bidi w:val="0"/>
        <w:spacing w:before="240" w:after="0"/>
        <w:jc w:val="left"/>
        <w:rPr>
          <w:rFonts w:ascii="Times New Roman" w:hAnsi="Times New Roman"/>
          <w:sz w:val="20"/>
        </w:rPr>
      </w:pPr>
      <w:r>
        <w:rPr>
          <w:rFonts w:ascii="Times New Roman" w:hAnsi="Times New Roman"/>
          <w:i/>
          <w:sz w:val="20"/>
        </w:rPr>
        <w:t>Authorized but unissued or undesignated capital stock</w:t>
      </w:r>
      <w:r>
        <w:rPr>
          <w:rFonts w:ascii="Times New Roman" w:hAnsi="Times New Roman"/>
          <w:sz w:val="20"/>
        </w:rPr>
        <w:t xml:space="preserve">. Our authorized capital stock consists of 1,200,000,000 shares of common stock and 1,200,000 shares of preferred stock. A large quantity of authorized but unissued shares may deter potential takeover attempts because of the ability of our board of directors to authorize the issuance of some or all of these shares to a friendly party, or to the public or in connection with a stockholder rights plan,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amended and restated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 </w:t>
      </w:r>
    </w:p>
    <w:p>
      <w:pPr>
        <w:pStyle w:val="TextBody"/>
        <w:bidi w:val="0"/>
        <w:spacing w:before="240" w:after="0"/>
        <w:jc w:val="left"/>
        <w:rPr>
          <w:rFonts w:ascii="Times New Roman" w:hAnsi="Times New Roman"/>
          <w:sz w:val="20"/>
        </w:rPr>
      </w:pPr>
      <w:r>
        <w:rPr>
          <w:rFonts w:ascii="Times New Roman" w:hAnsi="Times New Roman"/>
          <w:i/>
          <w:sz w:val="20"/>
        </w:rPr>
        <w:t>Stockholder action; special meeting of stockholders</w:t>
      </w:r>
      <w:r>
        <w:rPr>
          <w:rFonts w:ascii="Times New Roman" w:hAnsi="Times New Roman"/>
          <w:sz w:val="20"/>
        </w:rPr>
        <w:t xml:space="preserve">. Our amended and restated certificate of incorporation provides that our stockholders will not be able to take action by written consent for any matter and may only take action at annual or special meetings. For so long as investment funds and entities affiliated with either Warburg Pincus or GTCR, collectively, hold a majority of our outstanding capital stock, however,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Our amended and restated certificate of incorporation further provides that, except as otherwise required by law, special meetings of our stockholders may be called only by the majority of the board of directors or by the chairman of our board of directors or our chief executive officer, thus limiting the ability of a stockholder to call a special meeting. For so long as investment funds and entities affiliated with either Warburg Pincus or GTCR, collectively, hold a majority of our outstanding capital stock, however, special meetings of our stockholders may be called by the affirmative vote of the holders of a majority of our outstanding voting stock. These provisions might delay the ability of our stockholders to force consideration of a proposal or for stockholders controlling a majority of our capital stock to take any action, including the removal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No cumulative voting</w:t>
      </w:r>
      <w:r>
        <w:rPr>
          <w:rFonts w:ascii="Times New Roman" w:hAnsi="Times New Roman"/>
          <w:sz w:val="20"/>
        </w:rPr>
        <w:t xml:space="preserve">. The DGCL provides that stockholders are not entitled to cumulate votes in the election of directors unless a corporations certificate of incorporation provides otherwise. Our amended and restated certificate of incorporation does not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 </w:t>
      </w:r>
    </w:p>
    <w:p>
      <w:pPr>
        <w:pStyle w:val="TextBody"/>
        <w:bidi w:val="0"/>
        <w:spacing w:before="240" w:after="0"/>
        <w:jc w:val="left"/>
        <w:rPr>
          <w:rFonts w:ascii="Times New Roman" w:hAnsi="Times New Roman"/>
          <w:sz w:val="20"/>
        </w:rPr>
      </w:pPr>
      <w:r>
        <w:rPr>
          <w:rFonts w:ascii="Times New Roman" w:hAnsi="Times New Roman"/>
          <w:i/>
          <w:sz w:val="20"/>
        </w:rPr>
        <w:t>Supermajority voting on board actions</w:t>
      </w:r>
      <w:r>
        <w:rPr>
          <w:rFonts w:ascii="Times New Roman" w:hAnsi="Times New Roman"/>
          <w:sz w:val="20"/>
        </w:rPr>
        <w:t xml:space="preserve">. For so long as investment funds and entities affiliated with either Warburg Pincus or GTCR have the right (individually) to designate at least three directors for election to our board of directors, the following actions may only be effected with the affirmative vote of 75% of our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acquisitions, mergers, other business combination transactions and dispositions;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modification or repeal of any provision of the certificate of incorporation or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size and composition of the board of directors or the compensation of its committees, other than in accordance with the Stockholders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termination of the chief executive officer or designation of a new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ordinary course compensation arrangements, entering into, or modifying, any compensation arrangements with an executive officer or any of an executive officers affiliates or associates;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issuance of additional shares of Company or subsidiaries capital stock, subject to certain limited exceptions;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incurrence of certain indebtedness. </w:t>
            </w:r>
          </w:p>
        </w:tc>
      </w:tr>
    </w:tbl>
    <w:p>
      <w:pPr>
        <w:pStyle w:val="TextBody"/>
        <w:bidi w:val="0"/>
        <w:spacing w:before="240" w:after="0"/>
        <w:jc w:val="left"/>
        <w:rPr>
          <w:rFonts w:ascii="Times New Roman" w:hAnsi="Times New Roman"/>
          <w:sz w:val="20"/>
        </w:rPr>
      </w:pPr>
      <w:r>
        <w:rPr>
          <w:rFonts w:ascii="Times New Roman" w:hAnsi="Times New Roman"/>
          <w:i/>
          <w:sz w:val="20"/>
        </w:rPr>
        <w:t>Delaware Anti-Takeover Statute</w:t>
      </w:r>
      <w:r>
        <w:rPr>
          <w:rFonts w:ascii="Times New Roman" w:hAnsi="Times New Roman"/>
          <w:sz w:val="20"/>
        </w:rPr>
        <w:t>. We are not subject to the provisions of Section 203 of the DGCL. In general, Section 203 prohibits a publicly held Delaware corporation from engaging in a business combination with an interested shareholder for a three-year period following the time that the person becomes an interested shareholder, unless the business combination is approved in a prescribed manner. A </w:t>
      </w:r>
      <w:r>
        <w:rPr>
          <w:rFonts w:ascii="Times New Roman" w:hAnsi="Times New Roman"/>
          <w:i/>
          <w:sz w:val="20"/>
        </w:rPr>
        <w:t>business</w:t>
      </w:r>
      <w:r>
        <w:rPr>
          <w:rFonts w:ascii="Times New Roman" w:hAnsi="Times New Roman"/>
          <w:sz w:val="20"/>
        </w:rPr>
        <w:t xml:space="preserve">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 </w:t>
      </w:r>
    </w:p>
    <w:p>
      <w:pPr>
        <w:pStyle w:val="TextBody"/>
        <w:bidi w:val="0"/>
        <w:spacing w:before="240" w:after="0"/>
        <w:jc w:val="left"/>
        <w:rPr>
          <w:rFonts w:ascii="Times New Roman" w:hAnsi="Times New Roman"/>
          <w:sz w:val="20"/>
        </w:rPr>
      </w:pPr>
      <w:r>
        <w:rPr>
          <w:rFonts w:ascii="Times New Roman" w:hAnsi="Times New Roman"/>
          <w:sz w:val="20"/>
        </w:rPr>
        <w:t xml:space="preserve">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opted out of Section 203; however, our amended and restated certificate of incorporation contains similar provisions providing that we may not engage in certain business combinations with any interested shareholder for a three-year period following the time that the shareholder became an interested shareholder,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such time, our board of directors approved either the business combination or the transaction which resulted in the shareholder becoming an interested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shareholder becoming an interested shareholder, the interested shareholder owned at least 85% of our voting stock outstanding at the time the transaction commenced, excluding certain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that time, the business combination is approved by our Board and by the affirmative vote of holders of at least 66 2/3% of our outstanding voting stock that is not owned by the interested shareholder.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this provision will make it more difficult for a person who would be an interested shareholder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approves either the business combination or the transaction which results in the shareholder becoming an interested shareholder. These provisions also may have the effect of preventing changes in our board of directors and may make it more difficult to accomplish transactions which shareholders may otherwise deem to be in their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that Warburg and GTCR, and any of their respective direct or indirect transferees and any group as to which such persons are a party, do not constitute interested shareholders for purposes of this provision.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Notwithstanding the foregoing, our amended and restated certificate of incorporation provides that the Delaware Forum Provision will not apply to suits brought to enforce a duty or liability created by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amended and restated certificate of incorporation provides that unless the Company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shares of capital stock of the Company are deemed to have notice of and consented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provision. The Supreme Court of Delaware has held that this type of exclusive federal forum provision is enforceable. There may be uncertainty, however, as to whether courts of other jurisdictions would enforce such provision, if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of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acts as transfer agent and registrar for our common stock. The transfer agent and registrars address is 118 Fernwood Avenue, Edison, New Jersey 08837.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under the symbol SHC.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912969_7"/>
      <w:bookmarkEnd w:id="25"/>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common stock as of the date of this prospectus by each of the selling stockholders covered by this prospectus, including the number of shares of our common stock owned, the number of shares that may be offered by this prospectus and the number and percentage of outstanding shares that will be owned after the offering, assuming all shares covered by this prospectus are sold. The information concerning beneficial ownership has been provided by the selling stockholders. Information concerning the selling stockholders may change from time to time, and any changed information will be set forth if and when required in prospectus supplements or other appropriate forms permitted to be used by the SEC. Such selling stockholders may be parties to registration rights agreements with us, or we otherwise may have agreed or agree to register their shares of common stock for resale. </w:t>
      </w:r>
    </w:p>
    <w:p>
      <w:pPr>
        <w:pStyle w:val="TextBody"/>
        <w:bidi w:val="0"/>
        <w:spacing w:before="240" w:after="0"/>
        <w:jc w:val="left"/>
        <w:rPr>
          <w:rFonts w:ascii="Times New Roman" w:hAnsi="Times New Roman"/>
          <w:sz w:val="20"/>
        </w:rPr>
      </w:pPr>
      <w:r>
        <w:rPr>
          <w:rFonts w:ascii="Times New Roman" w:hAnsi="Times New Roman"/>
          <w:sz w:val="20"/>
        </w:rPr>
        <w:t xml:space="preserve">We do not know when or in what amounts the selling stockholders may offer shares of our common stock for sale. The selling stockholders may choose not to sell any or all of the shares offered by this prospectus. Because the selling stockholders may offer all or some of the shares, we cannot accurately report the number of the shares that will be held by the selling stockholders after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282,832,200 shares of common stock outstanding, as of February 20, 2024. For purposes of calculating each persons percentage ownership, common stock issuable pursuant to options exercisable within 60 days of the date of this prospectus and common stock issuable in connection with outstanding Restricted Stock Units (RSUs), which will vest within 60 days of this prospectus, are included as outstanding and beneficially owned for that person or group, and are deemed outstanding for purposes of computing the percentage ownership of that person only.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table or footnotes below, the address for each beneficial owner is c/o Sotera Health, 9100 South Hills Blvd, Suite 300 Broadview Heights, Ohio 44147. </w:t>
      </w:r>
    </w:p>
    <w:p>
      <w:pPr>
        <w:pStyle w:val="TextBody"/>
        <w:bidi w:val="0"/>
        <w:spacing w:before="0" w:after="0"/>
        <w:jc w:val="left"/>
        <w:rPr/>
      </w:pPr>
      <w:r>
        <w:rPr/>
        <w:t> </w:t>
      </w:r>
    </w:p>
    <w:tbl>
      <w:tblPr>
        <w:tblW w:w="10470" w:type="dxa"/>
        <w:jc w:val="center"/>
        <w:tblInd w:w="0" w:type="dxa"/>
        <w:tblLayout w:type="fixed"/>
        <w:tblCellMar>
          <w:top w:w="0" w:type="dxa"/>
          <w:left w:w="0" w:type="dxa"/>
          <w:bottom w:w="0" w:type="dxa"/>
          <w:right w:w="0" w:type="dxa"/>
        </w:tblCellMar>
      </w:tblPr>
      <w:tblGrid>
        <w:gridCol w:w="3170"/>
        <w:gridCol w:w="120"/>
        <w:gridCol w:w="75"/>
        <w:gridCol w:w="1535"/>
        <w:gridCol w:w="60"/>
        <w:gridCol w:w="120"/>
        <w:gridCol w:w="155"/>
        <w:gridCol w:w="1455"/>
        <w:gridCol w:w="275"/>
        <w:gridCol w:w="60"/>
        <w:gridCol w:w="478"/>
        <w:gridCol w:w="1117"/>
        <w:gridCol w:w="60"/>
        <w:gridCol w:w="120"/>
        <w:gridCol w:w="483"/>
        <w:gridCol w:w="1127"/>
        <w:gridCol w:w="60"/>
      </w:tblGrid>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bottom"/>
          </w:tcPr>
          <w:p>
            <w:pPr>
              <w:pStyle w:val="TableContents"/>
              <w:bidi w:val="0"/>
              <w:spacing w:before="0" w:after="283"/>
              <w:jc w:val="left"/>
              <w:rPr>
                <w:b/>
              </w:rPr>
            </w:pPr>
            <w:r>
              <w:rPr>
                <w:b/>
              </w:rPr>
              <w:t>Name of Selling Stockholder(1)</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Beneficially</w:t>
              <w:br/>
              <w:t>Owned Prior to</w:t>
              <w:br/>
              <w:t>the 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Common Stock</w:t>
              <w:br/>
              <w:t>Beneficially</w:t>
              <w:br/>
              <w:t>Owned Prior to</w:t>
              <w:br/>
              <w:t>the 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Beneficially</w:t>
              <w:br/>
              <w:t>Owned After</w:t>
              <w:br/>
              <w:t>the 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Common Stock</w:t>
              <w:br/>
              <w:t>Beneficially</w:t>
              <w:br/>
              <w:t>Owned Prior to</w:t>
              <w:br/>
              <w:t>the Offering</w:t>
            </w:r>
          </w:p>
        </w:tc>
        <w:tc>
          <w:tcPr>
            <w:tcW w:w="60"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5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sz w:val="4"/>
                <w:szCs w:val="4"/>
              </w:rPr>
            </w:pPr>
            <w:r>
              <w:rPr>
                <w:sz w:val="4"/>
                <w:szCs w:val="4"/>
              </w:rPr>
            </w:r>
          </w:p>
        </w:tc>
        <w:tc>
          <w:tcPr>
            <w:tcW w:w="11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Warburg Pincus(2)</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105,417,315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37.27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GTCR(3)</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70,278,209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24.85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Selling Stockholders:</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5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4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B. Petras, Jr.(4)</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8,587,855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3.04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Michael P. Rutz(5)</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709,336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Ann R. Klee(6)</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76,773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shown in the table above include shares held in the selling stockholders name or jointly with others, or in the name of a bank, nominee or trustee for the selling stockholders account.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84,363,406 shares held of record by Bull Holdco L.P., a Delaware limited partnership (Bull Holdco) and (ii) 21,053,909 shares held of record by Bull Co-Invest L.P., a Delaware limited partnership (Bull Co-Invest).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 </w:t>
      </w:r>
    </w:p>
    <w:p>
      <w:pPr>
        <w:pStyle w:val="TextBody"/>
        <w:bidi w:val="0"/>
        <w:spacing w:before="120" w:after="0"/>
        <w:jc w:val="left"/>
        <w:rPr>
          <w:rFonts w:ascii="Times New Roman" w:hAnsi="Times New Roman"/>
          <w:sz w:val="20"/>
        </w:rPr>
      </w:pPr>
      <w:r>
        <w:rPr>
          <w:rFonts w:ascii="Times New Roman" w:hAnsi="Times New Roman"/>
          <w:sz w:val="20"/>
        </w:rPr>
        <w:t xml:space="preserve">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55,778,268 shares held of record by GTCR Fund XI/A LP, (ii) 14,052,901 shares held of record by GTCR Fund XI/C LP and (iii) 447,040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Petras is the grantor and trustee of estate planning trusts (the Petras Trusts). As a result, Mr. Petras may have voting and investment control over, and may be deemed to be the beneficial owner of, an aggregate of 6,377,185 shares of common stock owned by the Petras Trusts. Also includes 152,199 shares of common stock, 133,469 shares of common stock issuable in connection with outstanding RSUs, which will vest within 60 days of February 27, 2024, and 1,925,002 shares underlying options that are currently exercisable or exercisable within 60 days of February 27,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547,161 shares of common stock, of which 139,536 shares are restricted and remain subject to vesting, 17,795 shares of common stock issuable in connection with outstanding RSUs, which will vest within 60 days of February 27, 2024, and 144,380 shares underlying options that are currently exercisable or exercisable within 60 days of February 27,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76,773 shares of common stock, of which 8,638 shares are restricted and remain subject to vesting.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912969_8"/>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and/or the selling stockholders may offer and sell the securities covered by this prospectus from time to time, in one or more or any combination of the following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broker-dealers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effected after the date the registration statement of which this prospectus is a part is filed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securities at a stipulated price per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a limited number of purchasers or to a single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under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including in a block trade in which a broker-dealer will attempt to sell the offered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purchases by a broker-dealer as principal and resale by the broker-dealer for its account pursuant to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and/or selling stockholders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or borrowed from us, the selling stockholders or others to settle those sales or to close out any related open borrowings of stock and may use securities received from us, the selling stockholders or others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At any time a particular offering of securities covered by this prospectus is made, a revised prospectus or prospectus supplement, if required, will set forth the amount of securities covered by this prospectus being offered and terms of the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brokers or agents and the amounts of securities underwritten or purchased by each of them;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public offering price of the securities, if a fixed price offering, and the proceeds to us or any selling stockholders and, to the extent required, any discounts, commissions or concessions allowed or reallowed or paid to dealers.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such required prospectus or prospectus supplement, and, if necessary, a post-effective amendment to the registration statement of which this prospectus is a part, will be filed with the SEC to reflect the disclosure of additional information with respect to the distribution of our common stock covered by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Underwriters or the third parties described above may offer and sell the offered securities from time to time in one or more transactions, including negotiated transactions, at a fixed public offering price or at varying prices determined at the time of sale. If underwriters are used in the sale of any securities, the securities will be acquired by the underwriters for their own account and may be resold from time to time in one or more transactions described above. The securities may be offered to the public either through underwriting syndicates represented by managing underwriters or directly by underwriters. The obligations of the underwriters to purchase the securities will be subject to the conditions set forth in the applicable underwriting agreement. The underwriters will be obligated to purchase all of the offered securities if they purchase any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and/or the selling stockholders may sell the securities at prices then prevailing or related to the then current market price or at negotiated prices. The offering price of the securities from time to time will be determined by us or the selling stockholders, as applicable, and, at the time of the determination, may be higher or lower than the market price of the securities on any securities exchanges on which the securities may be listed.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a securities offering, certain persons participating in the offering may engage in transactions that stabilize, maintain or otherwise affect the price of the securities. Specifically, in connection with underwritten offerings of the offered securities and in accordance with applicable law and industry practice, the underwriters may over-allot and may bid for, and purchase, the securities in the open market. The applicable prospectus supplement will describe any such activities. Should any of these activities be undertaken, they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agents, underwriters and other third parties described above that participate in the distribution of the offered securities may be underwriters as defined in the Securities Act, and any discounts or commissions they receive from us and any profit on their resale of the securities may be treated as underwriting discounts and commissions under the Securities Act. We or the selling stockholders may have agreements with the agents, underwriters and those other third parties to indemnify them against specified civil liabilities, including liabilities under the Securities Act, or to contribute to payments they may be required to make in respect of those liabilities. Agents, underwriters and those other third parties may engage in transactions with or perform services for us in the ordinary course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To comply with applicable state securities laws, the securities covered by this prospectus will be sold, if necessary, in such jurisdictions only through registered or licensed brokers or dealers. In addition, the securities may not be sold in some states absent registration or pursuant to an exemption from applicable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912969_9"/>
      <w:bookmarkEnd w:id="2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including the filings that are incorporated by reference into this prospectus, are available to the public over the Internet at the SEC’s website at www.sec.gov. Copies of certain information filed by us with the SEC are also available on our website at http://investors.soterahealth.com. Information accessible on or through our website is not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912969_10"/>
      <w:bookmarkEnd w:id="28"/>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3">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February 27,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Definitive Proxy Statement on </w:t>
            </w:r>
            <w:hyperlink r:id="rId14">
              <w:r>
                <w:rPr>
                  <w:rStyle w:val="InternetLink"/>
                  <w:rFonts w:ascii="Times New Roman" w:hAnsi="Times New Roman"/>
                  <w:sz w:val="20"/>
                </w:rPr>
                <w:t>Schedule 14A</w:t>
              </w:r>
            </w:hyperlink>
            <w:r>
              <w:rPr>
                <w:rFonts w:ascii="Times New Roman" w:hAnsi="Times New Roman"/>
                <w:sz w:val="20"/>
              </w:rPr>
              <w:t xml:space="preserve">, filed with the SEC on </w:t>
            </w:r>
            <w:hyperlink r:id="rId15">
              <w:r>
                <w:rPr>
                  <w:rStyle w:val="InternetLink"/>
                  <w:rFonts w:ascii="Times New Roman" w:hAnsi="Times New Roman"/>
                  <w:sz w:val="20"/>
                </w:rPr>
                <w:t>April  13, 2023</w:t>
              </w:r>
            </w:hyperlink>
            <w:r>
              <w:rPr>
                <w:rFonts w:ascii="Times New Roman" w:hAnsi="Times New Roman"/>
                <w:sz w:val="20"/>
              </w:rPr>
              <w:t xml:space="preserve"> (solely to the extent specifically incorporated by reference into our Annual Report on </w:t>
            </w:r>
            <w:hyperlink r:id="rId16">
              <w:r>
                <w:rPr>
                  <w:rStyle w:val="InternetLink"/>
                  <w:rFonts w:ascii="Times New Roman" w:hAnsi="Times New Roman"/>
                  <w:sz w:val="20"/>
                </w:rPr>
                <w:t>Form 10-K</w:t>
              </w:r>
            </w:hyperlink>
            <w:r>
              <w:rPr>
                <w:rFonts w:ascii="Times New Roman" w:hAnsi="Times New Roman"/>
                <w:sz w:val="20"/>
              </w:rPr>
              <w:t xml:space="preserve"> for the fiscal year ended December 31, 2022);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additional documents that we file with the SEC under Sections 13(a), 13(c), 14 or 15(d) of the Securities and Exchange Act of 1934 between the date of this prospectus and the end of the offering of the securities described in this prospectus. Those documents include Annual Reports on Form 10-K, Quarterly Reports on Form 10-Q, and Current Reports on Form 8-K mailed to our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Sotera Health Company, 9100 South Hills Blvd, Suite 300 Broadview Heights, Ohio 44147. </w:t>
      </w:r>
    </w:p>
    <w:p>
      <w:pPr>
        <w:pStyle w:val="TextBody"/>
        <w:bidi w:val="0"/>
        <w:spacing w:before="240" w:after="0"/>
        <w:jc w:val="left"/>
        <w:rPr>
          <w:rFonts w:ascii="Times New Roman" w:hAnsi="Times New Roman"/>
          <w:sz w:val="20"/>
        </w:rPr>
      </w:pPr>
      <w:r>
        <w:rPr>
          <w:rFonts w:ascii="Times New Roman" w:hAnsi="Times New Roman"/>
          <w:sz w:val="20"/>
        </w:rPr>
        <w:t xml:space="preserve">Exhibits to any documents incorporated by reference in this prospectus will not be sent, however, unless those exhibits have been specifically referenced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912969_11"/>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New York, New York will pass upon the legality of the shares of common stock covered by this prospectus. Any underwriters will be advised about legal matters by their own counsel, which will be named in an accompanying prospectus supplement. Certain legal matters with respect to any selling stockholder will be passed upon by their own counsel, which will be named in an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912969_12"/>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Sotera Health Company appearing in Sotera Health Companys Annual Report on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720" w:after="0"/>
        <w:jc w:val="center"/>
        <w:rPr>
          <w:rFonts w:ascii="Times New Roman" w:hAnsi="Times New Roman"/>
          <w:b/>
          <w:sz w:val="32"/>
        </w:rPr>
      </w:pPr>
      <w:r>
        <w:rPr>
          <w:rFonts w:ascii="Times New Roman" w:hAnsi="Times New Roman"/>
          <w:b/>
          <w:sz w:val="32"/>
        </w:rPr>
        <w:t xml:space="preserve">20,000,000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398905" cy="473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7"/>
                    <a:stretch>
                      <a:fillRect/>
                    </a:stretch>
                  </pic:blipFill>
                  <pic:spPr bwMode="auto">
                    <a:xfrm>
                      <a:off x="0" y="0"/>
                      <a:ext cx="1398905" cy="47307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28"/>
        </w:rPr>
      </w:pPr>
      <w:r>
        <w:rPr>
          <w:rFonts w:ascii="Times New Roman" w:hAnsi="Times New Roman"/>
          <w:b/>
          <w:sz w:val="28"/>
        </w:rPr>
        <w:t xml:space="preserve">September 3, 2025 </w:t>
      </w:r>
    </w:p>
    <w:p>
      <w:pPr>
        <w:pStyle w:val="TextBody"/>
        <w:bidi w:val="0"/>
        <w:spacing w:before="0" w:after="0"/>
        <w:jc w:val="left"/>
        <w:rPr/>
      </w:pPr>
      <w:r>
        <w:rPr/>
        <w:t> </w:t>
      </w:r>
    </w:p>
    <w:p>
      <w:pPr>
        <w:pStyle w:val="TextBody"/>
        <w:bidi w:val="0"/>
        <w:spacing w:before="480" w:after="0"/>
        <w:jc w:val="center"/>
        <w:rPr>
          <w:rFonts w:ascii="Times New Roman" w:hAnsi="Times New Roman"/>
          <w:b/>
          <w:sz w:val="28"/>
        </w:rPr>
      </w:pPr>
      <w:r>
        <w:rPr>
          <w:rFonts w:ascii="Times New Roman" w:hAnsi="Times New Roman"/>
          <w:b/>
          <w:sz w:val="28"/>
        </w:rPr>
        <w:t xml:space="preserve">Goldman Sachs &amp; Co. LLC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1" w:name="d912969dexfilingfees.htm"/>
      <w:bookmarkStart w:id="32" w:name="ksd912969dexfilingfees"/>
      <w:bookmarkStart w:id="33" w:name="d912969dexfilingfees.htm"/>
      <w:bookmarkStart w:id="34" w:name="ksd912969dexfilingfees"/>
      <w:bookmarkEnd w:id="33"/>
      <w:bookmarkEnd w:id="34"/>
      <w:r>
        <w:br w:type="page"/>
      </w:r>
    </w:p>
    <w:tbl>
      <w:tblPr>
        <w:tblW w:w="3564" w:type="dxa"/>
        <w:jc w:val="left"/>
        <w:tblInd w:w="0" w:type="dxa"/>
        <w:tblLayout w:type="fixed"/>
        <w:tblCellMar>
          <w:top w:w="28" w:type="dxa"/>
          <w:left w:w="28" w:type="dxa"/>
          <w:bottom w:w="28" w:type="dxa"/>
          <w:right w:w="28" w:type="dxa"/>
        </w:tblCellMar>
      </w:tblPr>
      <w:tblGrid>
        <w:gridCol w:w="3410"/>
        <w:gridCol w:w="154"/>
      </w:tblGrid>
      <w:tr>
        <w:trPr/>
        <w:tc>
          <w:tcPr>
            <w:tcW w:w="356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0"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b/>
              </w:rPr>
            </w:pPr>
            <w:r>
              <w:rPr>
                <w:b/>
              </w:rPr>
              <w:t xml:space="preserve">Sotera Health Co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20,000,000 </w:t>
            </w:r>
          </w:p>
        </w:tc>
        <w:tc>
          <w:tcPr>
            <w:tcW w:w="1156" w:type="dxa"/>
            <w:tcBorders/>
            <w:shd w:fill="E7E7E2" w:val="clear"/>
            <w:vAlign w:val="center"/>
          </w:tcPr>
          <w:p>
            <w:pPr>
              <w:pStyle w:val="TableContents"/>
              <w:bidi w:val="0"/>
              <w:spacing w:before="0" w:after="283"/>
              <w:jc w:val="right"/>
              <w:rPr/>
            </w:pPr>
            <w:r>
              <w:rPr/>
              <w:t xml:space="preserve">$ 15.35 </w:t>
            </w:r>
          </w:p>
        </w:tc>
        <w:tc>
          <w:tcPr>
            <w:tcW w:w="1786" w:type="dxa"/>
            <w:tcBorders/>
            <w:shd w:fill="E7E7E2" w:val="clear"/>
            <w:vAlign w:val="center"/>
          </w:tcPr>
          <w:p>
            <w:pPr>
              <w:pStyle w:val="TableContents"/>
              <w:bidi w:val="0"/>
              <w:spacing w:before="0" w:after="283"/>
              <w:jc w:val="right"/>
              <w:rPr/>
            </w:pPr>
            <w:r>
              <w:rPr/>
              <w:t xml:space="preserve">$ 307,000,000.00 </w:t>
            </w:r>
          </w:p>
        </w:tc>
        <w:tc>
          <w:tcPr>
            <w:tcW w:w="1126" w:type="dxa"/>
            <w:tcBorders/>
            <w:shd w:fill="E7E7E2" w:val="clear"/>
            <w:vAlign w:val="center"/>
          </w:tcPr>
          <w:p>
            <w:pPr>
              <w:pStyle w:val="TableContents"/>
              <w:bidi w:val="0"/>
              <w:spacing w:before="0" w:after="283"/>
              <w:jc w:val="right"/>
              <w:rPr/>
            </w:pPr>
            <w:r>
              <w:rPr/>
              <w:t xml:space="preserve">0.0001531 </w:t>
            </w:r>
          </w:p>
        </w:tc>
        <w:tc>
          <w:tcPr>
            <w:tcW w:w="1351" w:type="dxa"/>
            <w:tcBorders/>
            <w:shd w:fill="E7E7E2" w:val="clear"/>
            <w:vAlign w:val="center"/>
          </w:tcPr>
          <w:p>
            <w:pPr>
              <w:pStyle w:val="TableContents"/>
              <w:bidi w:val="0"/>
              <w:spacing w:before="0" w:after="283"/>
              <w:jc w:val="right"/>
              <w:rPr/>
            </w:pPr>
            <w:r>
              <w:rPr/>
              <w:t xml:space="preserve">$ 47,001.70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5" w:name="MaxAggtOfferingPrice"/>
            <w:bookmarkEnd w:id="35"/>
            <w:r>
              <w:rPr/>
              <w:t xml:space="preserve">$ 307,000,000.00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6" w:name="TotalFeeAmt"/>
            <w:bookmarkEnd w:id="36"/>
            <w:r>
              <w:rPr/>
              <w:t xml:space="preserve">$ 47,001.70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PreviouslyPaid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Offset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NetFeeAmt"/>
            <w:bookmarkEnd w:id="39"/>
            <w:r>
              <w:rPr/>
              <w:t xml:space="preserve">$ 47,001.70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4"/>
        <w:gridCol w:w="1292"/>
        <w:gridCol w:w="8699"/>
      </w:tblGrid>
      <w:tr>
        <w:trPr/>
        <w:tc>
          <w:tcPr>
            <w:tcW w:w="214"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1" w:type="dxa"/>
            <w:gridSpan w:val="2"/>
            <w:tcBorders/>
            <w:vAlign w:val="center"/>
          </w:tcPr>
          <w:p>
            <w:pPr>
              <w:pStyle w:val="TableContents"/>
              <w:bidi w:val="0"/>
              <w:spacing w:before="0" w:after="283"/>
              <w:jc w:val="left"/>
              <w:rPr/>
            </w:pPr>
            <w:r>
              <w:rPr/>
              <w:t xml:space="preserve">Calculated in accordance with Rule 457(r) under the Securities Act of 1933, as amended (the "Securities Act"). Payment of the registration fee at the time of filing of the registrant's Registration Statement on Form S-3 was deferred pursuant to Rules 456(b) and 456(r) under the Securities Act and is paid herewith. </w:t>
            </w:r>
          </w:p>
        </w:tc>
      </w:tr>
      <w:tr>
        <w:trPr/>
        <w:tc>
          <w:tcPr>
            <w:tcW w:w="1506" w:type="dxa"/>
            <w:gridSpan w:val="2"/>
            <w:tcBorders/>
            <w:vAlign w:val="center"/>
          </w:tcPr>
          <w:p>
            <w:pPr>
              <w:pStyle w:val="HorizontalLine"/>
              <w:pBdr>
                <w:bottom w:val="double" w:sz="2" w:space="0" w:color="808080"/>
              </w:pBdr>
              <w:bidi w:val="0"/>
              <w:spacing w:before="0" w:after="283"/>
              <w:jc w:val="left"/>
              <w:rPr/>
            </w:pPr>
            <w:r>
              <w:rPr/>
            </w:r>
          </w:p>
        </w:tc>
        <w:tc>
          <w:tcPr>
            <w:tcW w:w="869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22479/000182247925000015/shc-20241231.htm" TargetMode="External"/><Relationship Id="rId4" Type="http://schemas.openxmlformats.org/officeDocument/2006/relationships/hyperlink" Target="http://www.sec.gov/Archives/edgar/data/../../../ix?doc=/Archives/edgar/data/1822479/000182247925000025/shc-20250331.htm" TargetMode="External"/><Relationship Id="rId5" Type="http://schemas.openxmlformats.org/officeDocument/2006/relationships/hyperlink" Target="http://www.sec.gov/Archives/edgar/data/../../../ix?doc=/Archives/edgar/data/1822479/000182247925000044/shc-20250630.htm" TargetMode="External"/><Relationship Id="rId6" Type="http://schemas.openxmlformats.org/officeDocument/2006/relationships/hyperlink" Target="http://www.sec.gov/Archives/edgar/data/../../../ix?doc=/Archives/edgar/data/1822479/000182247925000003/shc-20250102.htm" TargetMode="External"/><Relationship Id="rId7" Type="http://schemas.openxmlformats.org/officeDocument/2006/relationships/hyperlink" Target="http://www.sec.gov/Archives/edgar/data/../../../ix?doc=/Archives/edgar/data/1822479/000182247925000028/shc-20250521.htm" TargetMode="External"/><Relationship Id="rId8" Type="http://schemas.openxmlformats.org/officeDocument/2006/relationships/hyperlink" Target="http://www.sec.gov/Archives/edgar/data/../../../ix?doc=/Archives/edgar/data/1822479/000110465925033563/tm253344-4_def14a.htm" TargetMode="External"/><Relationship Id="rId9" Type="http://schemas.openxmlformats.org/officeDocument/2006/relationships/hyperlink" Target="http://www.sec.gov/Archives/edgar/data/../../../ix?doc=/Archives/edgar/data/1822479/000110465925033563/tm253344-4_def14a.htm" TargetMode="External"/><Relationship Id="rId10" Type="http://schemas.openxmlformats.org/officeDocument/2006/relationships/hyperlink" Target="http://www.sec.gov/Archives/edgar/data/1822479/000110465925044107/tm2513916d1_defa14a.htm" TargetMode="External"/><Relationship Id="rId11" Type="http://schemas.openxmlformats.org/officeDocument/2006/relationships/hyperlink" Target="http://www.sec.gov/Archives/edgar/data/../../../ix?doc=/Archives/edgar/data/1822479/000182247925000015/shc-20241231.htm" TargetMode="External"/><Relationship Id="rId12" Type="http://schemas.openxmlformats.org/officeDocument/2006/relationships/image" Target="media/image2.jpeg"/><Relationship Id="rId13" Type="http://schemas.openxmlformats.org/officeDocument/2006/relationships/hyperlink" Target="http://www.sec.gov/Archives/edgar/data/1822479/000182247924000011/shc-20231231.htm" TargetMode="External"/><Relationship Id="rId14" Type="http://schemas.openxmlformats.org/officeDocument/2006/relationships/hyperlink" Target="http://www.sec.gov/Archives/edgar/data/../../../ix?doc=/Archives/edgar/data/1822479/000119312523099939/d425483ddef14a.htm" TargetMode="External"/><Relationship Id="rId15" Type="http://schemas.openxmlformats.org/officeDocument/2006/relationships/hyperlink" Target="http://www.sec.gov/Archives/edgar/data/1822479/000119312523099939/d425483ddef14a.htm" TargetMode="External"/><Relationship Id="rId16" Type="http://schemas.openxmlformats.org/officeDocument/2006/relationships/hyperlink" Target="http://www.sec.gov/Archives/edgar/data/../../../ix?doc=/Archives/edgar/data/1822479/000182247923000015/shc-20221231.htm" TargetMode="External"/><Relationship Id="rId17" Type="http://schemas.openxmlformats.org/officeDocument/2006/relationships/image" Target="media/image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26528</Words>
  <Characters>141097</Characters>
  <CharactersWithSpaces>168726</CharactersWithSpaces>
  <Paragraphs>3369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424B7</dc:title>
</cp:coreProperties>
</file>